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Orozco Commercial &amp; Residential Roofing — Final Copy Deck (v2)</w:t>
      </w:r>
    </w:p>
    <w:p>
      <w:r>
        <w:rPr>
          <w:sz w:val="22"/>
        </w:rPr>
        <w:t xml:space="preserve">HOMEPAGE: South Texas Commercial Flat Roofing &amp; Storm Restoration Specialists.</w:t>
      </w:r>
    </w:p>
    <w:p>
      <w:r>
        <w:rPr>
          <w:sz w:val="22"/>
        </w:rPr>
        <w:t xml:space="preserve">SERVICES BREAKDOWN: Single-Ply TPO Membranes, Standing Seam Architectural Metal, Shingle Replacement.</w:t>
      </w:r>
    </w:p>
    <w:p>
      <w:r>
        <w:rPr>
          <w:sz w:val="22"/>
        </w:rPr>
        <w:t xml:space="preserve">COMMERCIAL WARRANTIES: 20-Year NDL (No Dollar Limit) Manufacturer Backed Warranties.</w:t>
      </w:r>
    </w:p>
    <w:p>
      <w:r>
        <w:rPr>
          <w:sz w:val="22"/>
        </w:rPr>
        <w:t xml:space="preserve">ESTIMATE INTAKE: Simple 4-step emergency inspection request for commercial facility managers.</w:t>
      </w:r>
    </w:p>
  </w:body>
</w:document>
</file>