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Commercial Facility Maintenance Proposal — Edited &amp; Formatted (v1)</w:t>
      </w:r>
    </w:p>
    <w:p>
      <w:r>
        <w:rPr>
          <w:sz w:val="22"/>
        </w:rPr>
        <w:t xml:space="preserve">Standardized all headings, fixed page breaks across the 5 preventive maintenance tables, and tightened scope language.</w:t>
      </w:r>
    </w:p>
    <w:p>
      <w:r>
        <w:rPr>
          <w:sz w:val="22"/>
        </w:rPr>
        <w:t xml:space="preserve">Aligned pricing columns and SLA response tiers on pages 11-15.</w:t>
      </w:r>
    </w:p>
  </w:body>
</w:document>
</file>