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Cuevas Speech &amp; Language Therapy — Rough Intake Notes &amp; Policy Scramble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CLINIC INTAKE DESK NOTES (ROUGH DRAFT — ISSA CUEVAS)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Practice: Cuevas Speech &amp; Language Therapy, PLLC · 3410 Far West Blvd, Suite 280, Austin, TX 78731.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Issues with current 2019 paperwork: Parents constantly argue over missed sessions. Last week Mrs. Henderson refused to pay the $50 late fee because she claimed 'it wasn't clear in the paperwork' that sick days still hold the therapist's hour.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Need to change the policy wording: It must state '$75 reserved clinical hour fee' — not an admin charge or late fee. In pediatric speech pathology, we reserve an entire treatment room and 60 minutes of clinician time. Third-party insurance never reimburses missed hours.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HIPAA notice needs major overhaul: Form is from 2019. Does not mention telepractice video recording, two-way mirror observation rooms, or our new encrypted EHR tablet check-in system.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Guarantor confusion: We treat pediatric minors, but parents often write down split custody or say 'bill my ex-husband'. We need strict legal language that whoever signs the agreement is the sole Legal Financial Guarantor personally liable for all fees.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Superbills: Parents keep asking when superbills are ready for their out-of-network insurance reimbursement. We need a fixed schedule: Superbills are generated on the 1st of each calendar month with CPT codes (92507, 92523, 92526) and ICD-10 codes.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Disclaimer required: Need an explicit disclaimer that progress evaluations are clinical estimates and not guaranteed medical or developmental outcomes.</w:t>
      </w:r>
    </w:p>
  </w:body>
</w:document>
</file>