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120" w:after="240"/>
      </w:pPr>
      <w:r>
        <w:rPr>
          <w:b/>
          <w:color w:val="0F172A"/>
          <w:sz w:val="32"/>
        </w:rPr>
        <w:t xml:space="preserve">Estella Williams — Refined Q3 Leadership Memo (Final)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CONFIDENTIAL LEADERSHIP &amp; INVESTOR UPDATE — OCTOBER 2026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From: Estella Williams, Founder &amp; CEO · InfiniAI Operations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Team &amp; Partners,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As we close out Q3 2026, I want to share where we stand across our key operational pillars and outline our strategic focus for the upcoming quarter.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1. CORE OPERATIONAL HIGHLIGHTS &amp; FINANCIAL MOMENTUM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We crossed $4.2M in Annual Recurring Revenue (ARR), representing an 18% quarter-over-quarter expansion. More importantly, our gross revenue retention reached 96.4%, and our net revenue expansion rate held strong at 114% across mid-market enterprise carrier fleets.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Our cloud hosting optimizations and automated OCR bill of lading processing reduced infrastructure unit costs per terminal from $142 to $84/month, lifting gross margins to 77.2%. Net monthly burn dropped to $94,000, extending our cash runway to 18.2 months with $4.42M in cash reserves.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2. TERMINAL ADOPTION &amp; PRODUCT VELOCITY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We currently power 65 active logistics facilities across the Midwest, Texas, and Pacific Northwest corridors. Apex Cold Storage expanded their deployment from 3 pilot facilities to 14 regional distribution centers after measuring an average monthly demurrage savings of $14,800 per terminal.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Our mobile geofenced check-in engine has eliminated frontline terminal dead-time, reducing average trailer turn times by 38% while maintaining a 4.9/5 frontline dispatcher satisfaction score across 840 active operators.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3. STRATEGIC PRIORITIES FOR Q4 &amp; 2027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1. Scale terminal deployments from 65 to 110 facilities, targeting $5.1M ARR by year-end.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2. Finalize our SAP PartnerEdge certification and direct Blue Yonder connector.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3. Onboard 4 key operational roles (Lead Dispatcher, Customer Operations, Billing Specialist, Account Executive) with structured 30-60-90 day benchmarks.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Thank you for the relentless focus and execution.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Warmly, Estella Williams, Founder &amp; CEO</w:t>
      </w:r>
    </w:p>
  </w:body>
</w:document>
</file>