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Q4 Executive Board Briefing Memo — Estella Williams (Final)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CONFIDENTIAL BOARD OF DIRECTORS BRIEFING MEMO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Date: October 21, 2026 · InfiniAI Logistics Inc. · Executive Governance Record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TO: Board of Directors, InfiniAI Logistics Inc.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FROM: Estella Williams, Founder &amp; Chief Executive Officer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Q3 2026 Operational Performance, Financial Trajectory, and Series A Preparation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1: EXECUTIVE OVERVIEW &amp; Q3 PERFORMANCE SNAPSHOT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During the third quarter of fiscal year 2026, InfiniAI demonstrated sustained operational acceleration across its core enterprise yard and terminal logistics platform. We concluded Q3 at $4,200,000 in Annual Recurring Revenue (ARR), representing an 18.2% quarter-over-quarter expansion and 142% net growth year-over-year. Mid-market enterprise carrier adoption accelerated across our priority freight corridors (Midwest, Texas, and Pacific Northwest), driven by demonstrable customer ROI in demurrage and dock detention prevention.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2: FINANCIAL RECONCILIATION &amp; CASH RUNWAY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Gross margin expanded 120 basis points to 77.2%, reflecting infrastructure efficiency gains from automated optical character recognition (OCR) of bills of lading and container drayage interchange receipts. Hosting cost per terminal fell from $142/mo to $84/mo.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Cash Position: Ending cash and cash equivalents as of September 30, 2026, stood at $4,420,000. Net average monthly cash burn for the quarter was $94,000 (substantially below our board-approved budget of $125,000/mo). Current cash runway extends to 18.2 months (through April 2028) without requiring outside capital injections.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Q1 2026 Actuals: $2.8M ARR across 180 active terminals.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Q2 2026 Actuals: $3.4M ARR with 28 new carrier fleet logos.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Q3 2026 Actuals: $4.2M ARR driven by $420K organic expansion.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Q4 2026 Target: $5.1M ARR (92% visibility on pipeline contracts).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3: ENTERPRISE CUSTOMER COHORT HEALTH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Gross Revenue Retention (GRR) remained steady at 96.4%, while Net Revenue Retention (NRR) reached 114.2%. Over the past six consecutive quarters, we have experienced zero enterprise logo churn. Customer payback period on fully loaded CAC ($480/terminal) remains under 8 months against an average annual customer value of $6,084.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Apex Cold Storage completed their pilot expansion, scaling from 3 to 14 facilities and documenting an average savings of $14,800/month per facility in avoided driver detention claims.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4: PRODUCT &amp; TECHNICAL ARCHITECTURE MILESTONES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Mobile Geofenced Check-In: Successfully processed 450,000 automated driver arrivals without requiring proprietary mobile application installation.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ERP Connectors: Completed beta testing on bi-directional EDI 204/214 connectors for SAP S/4HANA and Blue Yonder.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Security &amp; Compliance: Independent SOC-2 Type II audit completed with zero material exceptions.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5: SERIES A CAPITAL FORMATION &amp; STRATEGIC PRIORITIES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are initiating preliminary discussions for a $4,500,000 Series A funding round targeted for Q1 2027. Proceeds will be allocated 55% to engineering (distributed yard scheduling engine), 30% to enterprise sales expansion, and 15% to working capital reserves.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6: ITEMS SUBMITTED FOR FORMAL BOARD APPROVAL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Formal adoption of the FY 2027 Annual Operating Plan and Gated Headcount Budget (14 to 22 FTEs, triggered upon reaching $4.8M ARR).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Authorization to expand the employee stock option pool by 3.5% to support senior executive recruiting (VP Enterprise Sales).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Approval of minutes from the July 16, 2026, quarterly board meeting.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Respectfully submitted, Estella Williams, Founder &amp; CEO</w:t>
      </w:r>
    </w:p>
  </w:body>
</w:document>
</file>