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before="120" w:after="240"/>
      </w:pPr>
      <w:r>
        <w:rPr>
          <w:b/>
          <w:color w:val="0F172A"/>
          <w:sz w:val="32"/>
        </w:rPr>
        <w:t xml:space="preserve">Q4 B2B Website &amp; 12-Slide Enterprise Deck Brief</w:t>
      </w:r>
    </w:p>
    <w:p>
      <w:pPr>
        <w:spacing w:before="240" w:after="80"/>
      </w:pPr>
      <w:r>
        <w:rPr>
          <w:b/>
          <w:color w:val="0F172A"/>
          <w:sz w:val="24"/>
        </w:rPr>
        <w:t xml:space="preserve">CREATIVE BRIEF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Target Audience: VP of Logistics and Operations Directors at mid-market 3PLs.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Core Goal: Communicate 38% dock turn time improvement and eliminate dispatch friction.</w:t>
      </w:r>
    </w:p>
  </w:body>
</w:document>
</file>