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Calibri" w:hAnsi="Calibri"/>
          <w:b/>
          <w:color w:val="0F172A"/>
          <w:sz w:val="44"/>
        </w:rPr>
        <w:t>Cuevas Pediatric Speech Therapy — Clinical Intake &amp; Medical Consent Packet</w:t>
      </w:r>
    </w:p>
    <w:p>
      <w:pPr>
        <w:spacing w:before="0" w:after="120" w:line="276" w:lineRule="auto"/>
      </w:pPr>
      <w:r>
        <w:rPr>
          <w:rFonts w:ascii="Calibri" w:hAnsi="Calibri"/>
          <w:color w:val="1E293B"/>
          <w:sz w:val="20"/>
        </w:rPr>
        <w:t>PRACTICE: Cuevas Pediatric Speech &amp; Language Therapy LLC</w:t>
      </w:r>
    </w:p>
    <w:p>
      <w:pPr>
        <w:spacing w:before="0" w:after="120" w:line="276" w:lineRule="auto"/>
      </w:pPr>
      <w:r>
        <w:rPr>
          <w:rFonts w:ascii="Calibri" w:hAnsi="Calibri"/>
          <w:color w:val="1E293B"/>
          <w:sz w:val="20"/>
        </w:rPr>
        <w:t>LOCATION: 1211 W 6th St, Suite 300, Austin, TX 78703</w:t>
      </w:r>
    </w:p>
    <w:p>
      <w:pPr>
        <w:spacing w:before="0" w:after="120" w:line="276" w:lineRule="auto"/>
      </w:pPr>
      <w:r>
        <w:rPr>
          <w:rFonts w:ascii="Calibri" w:hAnsi="Calibri"/>
          <w:color w:val="1E293B"/>
          <w:sz w:val="20"/>
        </w:rPr>
        <w:t>CLINICAL CREDENTIALS: Issa Cuevas, M.S., CCC-SLP · Texas License #72841 · NPI #1982736450</w:t>
      </w:r>
    </w:p>
    <w:p>
      <w:pPr>
        <w:spacing w:before="0" w:after="120" w:line="276" w:lineRule="auto"/>
      </w:pPr>
      <w:r>
        <w:rPr>
          <w:rFonts w:ascii="Calibri" w:hAnsi="Calibri"/>
          <w:color w:val="1E293B"/>
          <w:sz w:val="20"/>
        </w:rPr>
        <w:t>DOCUMENT: Comprehensive Pediatric Intake, Medical History &amp; Consent Agreement</w:t>
      </w:r>
    </w:p>
    <w:p>
      <w:r>
        <w:br w:type="page"/>
      </w:r>
    </w:p>
    <w:p>
      <w:pPr>
        <w:keepNext/>
        <w:spacing w:before="280" w:after="80"/>
      </w:pPr>
      <w:r>
        <w:rPr>
          <w:rFonts w:ascii="Calibri" w:hAnsi="Calibri"/>
          <w:b/>
          <w:color w:val="0F172A"/>
          <w:sz w:val="26"/>
        </w:rPr>
        <w:t>SECTION 1: PATIENT &amp; GUARANTOR IDENTIFICATION</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Field</w:t>
            </w:r>
          </w:p>
        </w:tc>
        <w:tc>
          <w:tcPr>
            <w:tcW w:type="dxa" w:w="234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Primary Patient Record</w:t>
            </w:r>
          </w:p>
        </w:tc>
        <w:tc>
          <w:tcPr>
            <w:tcW w:type="dxa" w:w="234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Field</w:t>
            </w:r>
          </w:p>
        </w:tc>
        <w:tc>
          <w:tcPr>
            <w:tcW w:type="dxa" w:w="234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Secondary / Alternate</w:t>
            </w:r>
          </w:p>
        </w:tc>
      </w:tr>
      <w:tr>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Child Legal Name</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Leo Alexander Martinez</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Preferred Name / Nickname</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Leo</w:t>
            </w:r>
          </w:p>
        </w:tc>
      </w:tr>
      <w:tr>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Date of Birth</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March 14, 2023</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Chronological Age</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3 Years, 7 Months</w:t>
            </w:r>
          </w:p>
        </w:tc>
      </w:tr>
      <w:tr>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Biological Sex</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Male</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Gestational Age at Birth</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38 Weeks (Full Term)</w:t>
            </w:r>
          </w:p>
        </w:tc>
      </w:tr>
      <w:tr>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Primary Parent/Guardian</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Elena Martinez, M.D.</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Relationship to Child</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Mother (Legal Guardian)</w:t>
            </w:r>
          </w:p>
        </w:tc>
      </w:tr>
      <w:tr>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Home Address</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3812 Oakview Terrace, Austin, TX 78704</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Primary Phone</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(512) 555-0182</w:t>
            </w:r>
          </w:p>
        </w:tc>
      </w:tr>
      <w:tr>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Guarantor Email</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elena.martinez@austinpediatrics.org</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Secondary Parent/Guardian</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David Martinez (Father)</w:t>
            </w:r>
          </w:p>
        </w:tc>
      </w:tr>
      <w:tr>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Primary Care Physician</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Dr. Patricia Warren, MD</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Pediatric Clinic</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Bee Cave Pediatrics</w:t>
            </w:r>
          </w:p>
        </w:tc>
      </w:tr>
      <w:tr>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Referring Provider</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Bee Cave Pediatrics (Annual Well-Check Referral)</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Date of Referral</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October 02, 2026</w:t>
            </w:r>
          </w:p>
        </w:tc>
      </w:tr>
    </w:tbl>
    <w:p>
      <w:pPr>
        <w:spacing w:before="0" w:after="160"/>
      </w:pPr>
    </w:p>
    <w:p>
      <w:pPr>
        <w:keepNext/>
        <w:spacing w:before="280" w:after="80"/>
      </w:pPr>
      <w:r>
        <w:rPr>
          <w:rFonts w:ascii="Calibri" w:hAnsi="Calibri"/>
          <w:b/>
          <w:color w:val="0F172A"/>
          <w:sz w:val="26"/>
        </w:rPr>
        <w:t>SECTION 2: CHIEF COMPLAINT &amp; DEVELOPMENTAL CONCERNS</w:t>
      </w:r>
    </w:p>
    <w:p>
      <w:pPr>
        <w:spacing w:before="0" w:after="120" w:line="276" w:lineRule="auto"/>
      </w:pPr>
      <w:r>
        <w:rPr>
          <w:rFonts w:ascii="Calibri" w:hAnsi="Calibri"/>
          <w:color w:val="1E293B"/>
          <w:sz w:val="20"/>
        </w:rPr>
        <w:t>Primary Caregiver Statement: Parents note Leo has a vocabulary of approximately 45 single words but rarely combines words into two-word phrases. He experiences frequent frustration when attempting to communicate desires, frequently resorting to pointing, leading parents by the hand, or crying.</w:t>
      </w:r>
    </w:p>
    <w:p>
      <w:pPr>
        <w:spacing w:before="0" w:after="120" w:line="276" w:lineRule="auto"/>
      </w:pPr>
      <w:r>
        <w:rPr>
          <w:rFonts w:ascii="Calibri" w:hAnsi="Calibri"/>
          <w:color w:val="1E293B"/>
          <w:sz w:val="20"/>
        </w:rPr>
        <w:t>Specific Articulation Concerns: Inability to pronounce initial consonants /b/, /d/, and /m/. Unfamiliar listeners understand less than 30% of Leo's verbal attempts.</w:t>
      </w:r>
    </w:p>
    <w:p>
      <w:pPr>
        <w:spacing w:before="0" w:after="120" w:line="276" w:lineRule="auto"/>
      </w:pPr>
      <w:r>
        <w:rPr>
          <w:rFonts w:ascii="Calibri" w:hAnsi="Calibri"/>
          <w:color w:val="1E293B"/>
          <w:sz w:val="20"/>
        </w:rPr>
        <w:t>Previous Evaluations: Audiology screening completed at Dell Children's Medical Center on August 15, 2026. Bilateral tympanometry indicated normal middle ear function; hearing acuity within normal pediatric thresholds bilaterally.</w:t>
      </w:r>
    </w:p>
    <w:p>
      <w:r>
        <w:br w:type="page"/>
      </w:r>
    </w:p>
    <w:p>
      <w:pPr>
        <w:keepNext/>
        <w:spacing w:before="280" w:after="80"/>
      </w:pPr>
      <w:r>
        <w:rPr>
          <w:rFonts w:ascii="Calibri" w:hAnsi="Calibri"/>
          <w:b/>
          <w:color w:val="0F172A"/>
          <w:sz w:val="26"/>
        </w:rPr>
        <w:t>SECTION 3: BIRTH, PRENATAL &amp; MEDICAL TIMELINE</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Developmental Milestone</w:t>
            </w:r>
          </w:p>
        </w:tc>
        <w:tc>
          <w:tcPr>
            <w:tcW w:type="dxa" w:w="234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Age Achieved</w:t>
            </w:r>
          </w:p>
        </w:tc>
        <w:tc>
          <w:tcPr>
            <w:tcW w:type="dxa" w:w="234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Clinical Reference Range</w:t>
            </w:r>
          </w:p>
        </w:tc>
        <w:tc>
          <w:tcPr>
            <w:tcW w:type="dxa" w:w="234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Status</w:t>
            </w:r>
          </w:p>
        </w:tc>
      </w:tr>
      <w:tr>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First Social Smile</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6 Weeks</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4–8 Weeks</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Typical</w:t>
            </w:r>
          </w:p>
        </w:tc>
      </w:tr>
      <w:tr>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Sat Independently Without Support</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6.5 Months</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5–8 Months</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Typical</w:t>
            </w:r>
          </w:p>
        </w:tc>
      </w:tr>
      <w:tr>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Crawled on Hands and Knees</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9 Months</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7–10 Months</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Typical</w:t>
            </w:r>
          </w:p>
        </w:tc>
      </w:tr>
      <w:tr>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Walked Independently</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13 Months</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11–15 Months</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Typical</w:t>
            </w:r>
          </w:p>
        </w:tc>
      </w:tr>
      <w:tr>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First True Consonant Babbling (ba-ba, ma-ma)</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14 Months</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6–9 Months</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Delayed</w:t>
            </w:r>
          </w:p>
        </w:tc>
      </w:tr>
      <w:tr>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First Meaningful Single Word</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22 Months</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10–14 Months</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Delayed</w:t>
            </w:r>
          </w:p>
        </w:tc>
      </w:tr>
      <w:tr>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Spontaneous Two-Word Combinations</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Not Yet Emerging</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18–24 Months</w:t>
            </w:r>
          </w:p>
        </w:tc>
        <w:tc>
          <w:tcPr>
            <w:tcW w:type="dxa" w:w="234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Significantly Delayed</w:t>
            </w:r>
          </w:p>
        </w:tc>
      </w:tr>
      <w:tr>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Independent Cup Drinking &amp; Chewing Solids</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12 Months</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9–14 Months</w:t>
            </w:r>
          </w:p>
        </w:tc>
        <w:tc>
          <w:tcPr>
            <w:tcW w:type="dxa" w:w="234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Typical</w:t>
            </w:r>
          </w:p>
        </w:tc>
      </w:tr>
    </w:tbl>
    <w:p>
      <w:pPr>
        <w:spacing w:before="0" w:after="160"/>
      </w:pPr>
    </w:p>
    <w:p>
      <w:pPr>
        <w:spacing w:before="0" w:after="120" w:line="276" w:lineRule="auto"/>
      </w:pPr>
      <w:r>
        <w:rPr>
          <w:rFonts w:ascii="Calibri" w:hAnsi="Calibri"/>
          <w:color w:val="1E293B"/>
          <w:sz w:val="20"/>
        </w:rPr>
        <w:t>Medical History: Born via uncomplicated spontaneous vaginal delivery. Birth weight 7 lbs 6 oz. No neonatal ICU stay. Experienced three recurrent episodes of acute otitis media between 9 and 16 months of age; treated successfully with oral amoxicillin. No history of seizures, head trauma, or chronic medical diagnoses.</w:t>
      </w:r>
    </w:p>
    <w:p>
      <w:pPr>
        <w:keepNext/>
        <w:spacing w:before="280" w:after="80"/>
      </w:pPr>
      <w:r>
        <w:rPr>
          <w:rFonts w:ascii="Calibri" w:hAnsi="Calibri"/>
          <w:b/>
          <w:color w:val="0F172A"/>
          <w:sz w:val="26"/>
        </w:rPr>
        <w:t>SECTION 4: CLINICAL SPEECH &amp; PRAGMATIC COMMUNICATION MATRIX</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Domain</w:t>
            </w:r>
          </w:p>
        </w:tc>
        <w:tc>
          <w:tcPr>
            <w:tcW w:type="dxa" w:w="312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Observed Behaviors</w:t>
            </w:r>
          </w:p>
        </w:tc>
        <w:tc>
          <w:tcPr>
            <w:tcW w:type="dxa" w:w="312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Clinical Screener Status</w:t>
            </w:r>
          </w:p>
        </w:tc>
      </w:tr>
      <w:tr>
        <w:tc>
          <w:tcPr>
            <w:tcW w:type="dxa" w:w="312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Receptive Language</w:t>
            </w:r>
          </w:p>
        </w:tc>
        <w:tc>
          <w:tcPr>
            <w:tcW w:type="dxa" w:w="312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Follows 1-step familiar commands ('get your shoes'). Struggles with 2-step unrelated directives.</w:t>
            </w:r>
          </w:p>
        </w:tc>
        <w:tc>
          <w:tcPr>
            <w:tcW w:type="dxa" w:w="312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Mild Delay (-1.2 SD)</w:t>
            </w:r>
          </w:p>
        </w:tc>
      </w:tr>
      <w:tr>
        <w:tc>
          <w:tcPr>
            <w:tcW w:type="dxa" w:w="312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Expressive Vocabulary</w:t>
            </w:r>
          </w:p>
        </w:tc>
        <w:tc>
          <w:tcPr>
            <w:tcW w:type="dxa" w:w="312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Estimated 40–50 single nouns and proto-words. Missing verbs, prepositions, and pronouns.</w:t>
            </w:r>
          </w:p>
        </w:tc>
        <w:tc>
          <w:tcPr>
            <w:tcW w:type="dxa" w:w="312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Moderate-Severe Delay (-2.1 SD)</w:t>
            </w:r>
          </w:p>
        </w:tc>
      </w:tr>
      <w:tr>
        <w:tc>
          <w:tcPr>
            <w:tcW w:type="dxa" w:w="312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Speech Intelligibility</w:t>
            </w:r>
          </w:p>
        </w:tc>
        <w:tc>
          <w:tcPr>
            <w:tcW w:type="dxa" w:w="312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Understood 60% by parents, &lt;25% by unfamiliar adults. Frequent vowel elongation with final consonant deletion.</w:t>
            </w:r>
          </w:p>
        </w:tc>
        <w:tc>
          <w:tcPr>
            <w:tcW w:type="dxa" w:w="312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Significant Phonological Delay</w:t>
            </w:r>
          </w:p>
        </w:tc>
      </w:tr>
      <w:tr>
        <w:tc>
          <w:tcPr>
            <w:tcW w:type="dxa" w:w="312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Social / Pragmatic</w:t>
            </w:r>
          </w:p>
        </w:tc>
        <w:tc>
          <w:tcPr>
            <w:tcW w:type="dxa" w:w="312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Maintains warm eye contact, engages in reciprocal peek-a-boo, shares joint attention with preferred toys.</w:t>
            </w:r>
          </w:p>
        </w:tc>
        <w:tc>
          <w:tcPr>
            <w:tcW w:type="dxa" w:w="312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Age Appropriate</w:t>
            </w:r>
          </w:p>
        </w:tc>
      </w:tr>
      <w:tr>
        <w:tc>
          <w:tcPr>
            <w:tcW w:type="dxa" w:w="312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Oral Motor &amp; Feeding</w:t>
            </w:r>
          </w:p>
        </w:tc>
        <w:tc>
          <w:tcPr>
            <w:tcW w:type="dxa" w:w="312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No dysphagia or pocketing observed. Accepts diverse textures. Mild open-mouth posture at rest.</w:t>
            </w:r>
          </w:p>
        </w:tc>
        <w:tc>
          <w:tcPr>
            <w:tcW w:type="dxa" w:w="312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Within Functional Limits</w:t>
            </w:r>
          </w:p>
        </w:tc>
      </w:tr>
    </w:tbl>
    <w:p>
      <w:pPr>
        <w:spacing w:before="0" w:after="160"/>
      </w:pPr>
    </w:p>
    <w:p>
      <w:r>
        <w:br w:type="page"/>
      </w:r>
    </w:p>
    <w:p>
      <w:pPr>
        <w:keepNext/>
        <w:spacing w:before="280" w:after="80"/>
      </w:pPr>
      <w:r>
        <w:rPr>
          <w:rFonts w:ascii="Calibri" w:hAnsi="Calibri"/>
          <w:b/>
          <w:color w:val="0F172A"/>
          <w:sz w:val="26"/>
        </w:rPr>
        <w:t>SECTION 5: CLINICAL INFORMED CONSENT &amp; PRACTICE POLICIES</w:t>
      </w:r>
    </w:p>
    <w:p>
      <w:pPr>
        <w:spacing w:before="0" w:after="120" w:line="276" w:lineRule="auto"/>
      </w:pPr>
      <w:r>
        <w:rPr>
          <w:rFonts w:ascii="Calibri" w:hAnsi="Calibri"/>
          <w:color w:val="1E293B"/>
          <w:sz w:val="20"/>
        </w:rPr>
        <w:t>1. Consent for Speech-Language Evaluation &amp; Treatment</w:t>
      </w:r>
    </w:p>
    <w:p>
      <w:pPr>
        <w:spacing w:before="0" w:after="120" w:line="276" w:lineRule="auto"/>
      </w:pPr>
      <w:r>
        <w:rPr>
          <w:rFonts w:ascii="Calibri" w:hAnsi="Calibri"/>
          <w:color w:val="1E293B"/>
          <w:sz w:val="20"/>
        </w:rPr>
        <w:t>I hereby authorize Issa Cuevas, M.S., CCC-SLP (Cuevas Pediatric Speech &amp; Language Therapy LLC) to perform comprehensive speech, language, and pragmatic evaluations and administer evidence-based therapeutic interventions for the minor patient named herein.</w:t>
      </w:r>
    </w:p>
    <w:p>
      <w:pPr>
        <w:spacing w:before="0" w:after="120" w:line="276" w:lineRule="auto"/>
      </w:pPr>
      <w:r>
        <w:rPr>
          <w:rFonts w:ascii="Calibri" w:hAnsi="Calibri"/>
          <w:color w:val="1E293B"/>
          <w:sz w:val="20"/>
        </w:rPr>
        <w:t>2. Notice of HIPAA Privacy Practices</w:t>
      </w:r>
    </w:p>
    <w:p>
      <w:pPr>
        <w:spacing w:before="0" w:after="120" w:line="276" w:lineRule="auto"/>
      </w:pPr>
      <w:r>
        <w:rPr>
          <w:rFonts w:ascii="Calibri" w:hAnsi="Calibri"/>
          <w:color w:val="1E293B"/>
          <w:sz w:val="20"/>
        </w:rPr>
        <w:t>Protected Health Information (PHI) is handled in strict compliance with the Health Insurance Portability and Accountability Act of 1996. Clinical progress notes, standardized assessment scores, and evaluation summaries are retained securely for a statutory minimum of 7 years.</w:t>
      </w:r>
    </w:p>
    <w:p>
      <w:pPr>
        <w:spacing w:before="0" w:after="120" w:line="276" w:lineRule="auto"/>
      </w:pPr>
      <w:r>
        <w:rPr>
          <w:rFonts w:ascii="Calibri" w:hAnsi="Calibri"/>
          <w:color w:val="1E293B"/>
          <w:sz w:val="20"/>
        </w:rPr>
        <w:t>3. Attendance Policy &amp; $75 Reserved Hour Fee</w:t>
      </w:r>
    </w:p>
    <w:p>
      <w:pPr>
        <w:spacing w:before="0" w:after="120" w:line="276" w:lineRule="auto"/>
      </w:pPr>
      <w:r>
        <w:rPr>
          <w:rFonts w:ascii="Calibri" w:hAnsi="Calibri"/>
          <w:color w:val="1E293B"/>
          <w:sz w:val="20"/>
        </w:rPr>
        <w:t>Therapy time is reserved exclusively for your child. In the event of illness or emergency, notice must be provided at least 24 hours in advance. Cancellations made with less than 24 hours notice or unattended sessions incur a $75 reserved hour charge (not billable to insurance). Alternatively, families may convert the session to a HIPAA-compliant telehealth consultation.</w:t>
      </w:r>
    </w:p>
    <w:p>
      <w:pPr>
        <w:spacing w:before="0" w:after="120" w:line="276" w:lineRule="auto"/>
      </w:pPr>
      <w:r>
        <w:rPr>
          <w:rFonts w:ascii="Calibri" w:hAnsi="Calibri"/>
          <w:color w:val="1E293B"/>
          <w:sz w:val="20"/>
        </w:rPr>
        <w:t>4. Commercial Insurance &amp; Private Pay Acknowledgement</w:t>
      </w:r>
    </w:p>
    <w:p>
      <w:pPr>
        <w:spacing w:before="0" w:after="120" w:line="276" w:lineRule="auto"/>
      </w:pPr>
      <w:r>
        <w:rPr>
          <w:rFonts w:ascii="Calibri" w:hAnsi="Calibri"/>
          <w:color w:val="1E293B"/>
          <w:sz w:val="20"/>
        </w:rPr>
        <w:t>Cuevas Pediatric Speech Therapy operates as an in-network provider with Blue Cross Blue Shield of Texas and a non-participating out-of-network provider for commercial plans. Families are provided itemized Superbills containing standard AMA CPT codes (e.g. CPT 92523, 92507) and ICD-10 diagnostic codes for insurance reimbursement.</w:t>
      </w:r>
    </w:p>
    <w:p>
      <w:pPr>
        <w:keepNext/>
        <w:spacing w:before="280" w:after="80"/>
      </w:pPr>
      <w:r>
        <w:rPr>
          <w:rFonts w:ascii="Calibri" w:hAnsi="Calibri"/>
          <w:b/>
          <w:color w:val="0F172A"/>
          <w:sz w:val="26"/>
        </w:rPr>
        <w:t>SECTION 6: GUARANTOR ACKNOWLEDGEMENT &amp; EXECUTION</w:t>
      </w:r>
    </w:p>
    <w:p>
      <w:pPr>
        <w:spacing w:before="0" w:after="120" w:line="276" w:lineRule="auto"/>
      </w:pPr>
      <w:r>
        <w:rPr>
          <w:rFonts w:ascii="Calibri" w:hAnsi="Calibri"/>
          <w:color w:val="1E293B"/>
          <w:sz w:val="20"/>
        </w:rPr>
        <w:t>I certify that I am the legal parent or court-appointed guardian of the patient. I have read, understood, and agree to the policies, consent provisions, and fee schedules outlined in this document.</w:t>
      </w:r>
    </w:p>
    <w:p>
      <w:pPr>
        <w:spacing w:before="0" w:after="120" w:line="276" w:lineRule="auto"/>
      </w:pPr>
      <w:r>
        <w:rPr>
          <w:rFonts w:ascii="Calibri" w:hAnsi="Calibri"/>
          <w:color w:val="1E293B"/>
          <w:sz w:val="20"/>
        </w:rPr>
        <w:t>Parent / Legal Guardian Signature: _____________________________________   Date: October 24, 2026</w:t>
      </w:r>
    </w:p>
    <w:p>
      <w:pPr>
        <w:spacing w:before="0" w:after="120" w:line="276" w:lineRule="auto"/>
      </w:pPr>
      <w:r>
        <w:rPr>
          <w:rFonts w:ascii="Calibri" w:hAnsi="Calibri"/>
          <w:color w:val="1E293B"/>
          <w:sz w:val="20"/>
        </w:rPr>
        <w:t>Printed Name: Elena Martinez, M.D.                                         Relationship to Child: Mother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Cuevas Pediatric Speech Therapy — Clinical Intake &amp; Medical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