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</w:pPr>
      <w:r>
        <w:rPr>
          <w:rFonts w:ascii="Calibri" w:hAnsi="Calibri"/>
          <w:b/>
          <w:color w:val="0F172A"/>
          <w:sz w:val="44"/>
        </w:rPr>
        <w:t>Cruz Metro Freight — Carrier Capabilities, Fleet Operating Profile &amp; Rate Scramble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COMPANY: Cruz Metro Freight LLC · Dallas, Texas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OWNER / OPERATOR: Jose Cruz (Direct Cell: 214-592-1084)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DISPATCH OFFICE: 4820 W Davis St, Dallas, TX 75211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DOCUMENT: Internal Carrier Operational Profile &amp; Outbound Rate Notes</w:t>
      </w:r>
    </w:p>
    <w:p>
      <w:r>
        <w:br w:type="page"/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6"/>
        </w:rPr>
        <w:t>SECTION 1: COMMERCIAL OPERATING AUTHORITY &amp; REGULATORY COMPLIANCE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Entity Structure: Texas Limited Liability Company · Active and In Good Standing since March 2021.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Federal Motor Carrier Safety Administration (FMCSA) Authority: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0"/>
        </w:rPr>
        <w:t>USDOT Number: 3918204 · Active Motor Carrier Operating Authority.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0"/>
        </w:rPr>
        <w:t>Interstate Commerce Commission / Motor Carrier Number: MC-1488209.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0"/>
        </w:rPr>
        <w:t>Texas Department of Motor Vehicles (TxDMV) Certificate: #0094182.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Commercial Fleet Insurance Program: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0"/>
        </w:rPr>
        <w:t>Commercial Auto Liability: $1,000,000 Combined Single Limit (CSL) through Great West Casualty Company.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0"/>
        </w:rPr>
        <w:t>Motor Truck Cargo Insurance: $100,000 Broad-Form Cargo Liability with zero reefer/breakdown exclusion.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0"/>
        </w:rPr>
        <w:t>Commercial General Liability: $1,000,000 per occurrence / $2,000,000 aggregate.</w:t>
      </w:r>
    </w:p>
    <w:p>
      <w:r>
        <w:br w:type="page"/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6"/>
        </w:rPr>
        <w:t>SECTION 2: FLEET ASSET INVENTORY &amp; EQUIPMENT SPECIFICATIONS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Cruz Metro Freight owns and operates four late-model commercial vehicles dedicated to metro DFW freight: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Unit 101 &amp; Unit 102 — 26ft Freightliner M2-106 Box Trucks: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0"/>
        </w:rPr>
        <w:t>Cummins B6.7 Turbo Diesel engines with Allison 2500 RDS automatic transmissions.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0"/>
        </w:rPr>
        <w:t>Gross Vehicle Weight Rating (GVWR): 26,000 lbs (Non-CDL compliant, enabling flexible driver scheduling without HOS logbook friction on short local runs).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0"/>
        </w:rPr>
        <w:t>Legal Cargo Payload Capacity: 10,000 lbs (12 standard 40x48 pallets dock-height or floor-loaded).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0"/>
        </w:rPr>
        <w:t>Liftgate Specs: 3,500-lb Maxon hydraulic tuck-under liftgates with 60x80 inch heavy-duty aluminum platforms.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0"/>
        </w:rPr>
        <w:t>Interior Cargo Protection: Dual-row E-track cargo rails, marine-grade plywood lining, and translucent fiberglass roof.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Unit 201 &amp; Unit 202 — Mercedes-Benz Sprinter 3500 High-Roof Cargo Vans: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0"/>
        </w:rPr>
        <w:t>3.0L V6 Turbo Diesel with 170-inch extended wheelbase and high-roof clearance (79-inch interior standing height).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0"/>
        </w:rPr>
        <w:t>Cargo Capacity: 3,850 lbs payload capacity (holds 3 full standard pallets or 450 cubic feet of cargo).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0"/>
        </w:rPr>
        <w:t>Dedicated Mission: Critical aerospace hot-shots, time-sensitive medical diagnostic specimens, and emergency line-down factory deliveries.</w:t>
      </w:r>
    </w:p>
    <w:p>
      <w:r>
        <w:br w:type="page"/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6"/>
        </w:rPr>
        <w:t>SECTION 3: COMMON SHIPPER GRIEVANCES WITH FREIGHT BROKERS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Notes from Jose on why shippers are fed up with digital freight brokerages (CH Robinson, Coyote, Uber Freight):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1. Ghost Pickups: Digital brokers post loads on DAT load boards, book an unvetted bottom-dollar carrier, and when that driver flakes at 4:30 PM, the shipper's dock is left with stranded freight and angry customers.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2. Missing Liftgates: Shippers explicitly order a liftgate truck for a retail delivery with no loading dock; broker sends a standard dry van with no liftgate, forcing the warehouse to reject the load or rent an emergency forklift.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3. Opaque Fuel Surcharges: Brokers quote a flat $350 run, then slap on an unannounced 28% fuel index fee on the final invoice.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4. Punitive Detention Charges: Brokers charge $75/hr detention starting after just 60 minutes, even when the delay was caused by the broker's own dispatch confusion.</w:t>
      </w:r>
    </w:p>
    <w:p>
      <w:r>
        <w:br w:type="page"/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6"/>
        </w:rPr>
        <w:t>SECTION 4: THE CRUZ METRO FREIGHT VALUE PROPOSITION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0"/>
        </w:rPr>
        <w:t>Direct Asset Carrier: You talk directly to Jose or our lead dispatcher—never an outsourced call center in another country.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0"/>
        </w:rPr>
        <w:t>Guaranteed Equipment: When you book a 26ft liftgate with pallet jack, that exact truck pulls up to your dock.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0"/>
        </w:rPr>
        <w:t>2 Full Hours Free Dock Detention: We absorb standard warehouse staging delays at zero extra charge.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0"/>
        </w:rPr>
        <w:t>Real-Time e-POD: Digital proof of delivery photos and signed receiver BOL emailed within 15 minutes of delivery.</w:t>
      </w:r>
    </w:p>
    <w:p>
      <w:r>
        <w:br w:type="page"/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6"/>
        </w:rPr>
        <w:t>SECTION 5: OUTBOUND CAMPAIGN TARGETING &amp; REVENUE GOALS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Target Audience in DFW Industrial Parks (Brookhollow, Great Southwest / Arlington, Alliance, Coppell):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0"/>
        </w:rPr>
        <w:t>Local logistics directors, warehouse terminal shipping managers, and regional 3PL dispatchers.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0"/>
        </w:rPr>
        <w:t>Goal: Secure 4 dedicated recurring weekday routes (e.g. Tuesday/Thursday scheduled DFW-to-Fort Worth replenishment) to generate $14,000/month in predictable contractual billing.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t>CONFIDENTIAL &amp; PROPRIETARY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Cruz Metro Freight — Carrier Capabilities, Fleet Operating 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94A3B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94A3B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