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>Williams Agency Group — Board of Directors Briefing Memorandum (Confidential)</w:t>
      </w:r>
    </w:p>
    <w:p>
      <w:r>
        <w:rPr>
          <w:sz w:val="22"/>
        </w:rPr>
        <w:t xml:space="preserve">MEMORANDUM TO: Board of Directors &amp; Advisory Committee</w:t>
      </w:r>
    </w:p>
    <w:p>
      <w:r>
        <w:rPr>
          <w:sz w:val="22"/>
        </w:rPr>
        <w:t xml:space="preserve">FROM: Estella Williams, Chief Executive Officer</w:t>
      </w:r>
    </w:p>
    <w:p>
      <w:r>
        <w:rPr>
          <w:sz w:val="22"/>
        </w:rPr>
        <w:t xml:space="preserve">DATE: October 21, 2026</w:t>
      </w:r>
    </w:p>
    <w:p>
      <w:r>
        <w:rPr>
          <w:sz w:val="22"/>
        </w:rPr>
        <w:t xml:space="preserve">SUBJECT: Q3 Operating Results, Sales Unit Economics, and Liquidity Runway</w:t>
      </w:r>
    </w:p>
    <w:p>
      <w:r>
        <w:rPr>
          <w:sz w:val="22"/>
        </w:rPr>
        <w:t xml:space="preserve"/>
      </w:r>
    </w:p>
    <w:p>
      <w:r>
        <w:rPr>
          <w:sz w:val="22"/>
        </w:rPr>
        <w:t xml:space="preserve">1. EXECUTIVE SUMMARY &amp; REVENUE REPORTING</w:t>
      </w:r>
    </w:p>
    <w:p>
      <w:r>
        <w:rPr>
          <w:sz w:val="22"/>
        </w:rPr>
        <w:t xml:space="preserve">Q3 consolidated revenue closed at $1,842,000, representing an 18.2% expansion against Q3 2025.</w:t>
      </w:r>
    </w:p>
    <w:p>
      <w:r>
        <w:rPr>
          <w:sz w:val="22"/>
        </w:rPr>
        <w:t xml:space="preserve">Contracted Annual Recurring Revenue (ARR) across agency retainers reached $2,210,000.</w:t>
      </w:r>
    </w:p>
    <w:p>
      <w:r>
        <w:rPr>
          <w:sz w:val="22"/>
        </w:rPr>
        <w:t xml:space="preserve"/>
      </w:r>
    </w:p>
    <w:p>
      <w:r>
        <w:rPr>
          <w:sz w:val="22"/>
        </w:rPr>
        <w:t xml:space="preserve">2. SALES EFFICIENCY &amp; COHORT EXPANSION</w:t>
      </w:r>
    </w:p>
    <w:p>
      <w:r>
        <w:rPr>
          <w:sz w:val="22"/>
        </w:rPr>
        <w:t xml:space="preserve">While blended CAC rose 14.1% ($4,120 per client), 60-day net cohort retention expanded to 89.4%.</w:t>
      </w:r>
    </w:p>
    <w:p>
      <w:r>
        <w:rPr>
          <w:sz w:val="22"/>
        </w:rPr>
        <w:t xml:space="preserve">Lifetime value to CAC ratio improved to 4.8x on 12-month agency contracts.</w:t>
      </w:r>
    </w:p>
    <w:p>
      <w:r>
        <w:rPr>
          <w:sz w:val="22"/>
        </w:rPr>
        <w:t xml:space="preserve"/>
      </w:r>
    </w:p>
    <w:p>
      <w:r>
        <w:rPr>
          <w:sz w:val="22"/>
        </w:rPr>
        <w:t xml:space="preserve">3. LIQUIDITY RUNWAY &amp; CAPITAL PRESERVATION</w:t>
      </w:r>
    </w:p>
    <w:p>
      <w:r>
        <w:rPr>
          <w:sz w:val="22"/>
        </w:rPr>
        <w:t xml:space="preserve">Under a conservative stress-tested burn scenario ($1.4M quarterly spend), cash runway extends through Q2 2027.</w:t>
      </w:r>
    </w:p>
    <w:p>
      <w:r>
        <w:rPr>
          <w:sz w:val="22"/>
        </w:rPr>
        <w:t xml:space="preserve">Under baseline operating cash flow ($1.1M quarterly spend), company maintains funding through Q4 2027 without bridge debt.</w:t>
      </w:r>
    </w:p>
  </w:body>
</w:document>
</file>