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Cuevas Speech &amp; Language Therapy LLC — Rough Intake &amp; Policy Notes</w:t>
      </w:r>
    </w:p>
    <w:p>
      <w:r>
        <w:rPr>
          <w:sz w:val="22"/>
        </w:rPr>
        <w:t xml:space="preserve">Practice Overview: Private pediatric speech, language, and feeding therapy clinic located in Austin, TX.</w:t>
      </w:r>
    </w:p>
    <w:p>
      <w:r>
        <w:rPr>
          <w:sz w:val="22"/>
        </w:rPr>
        <w:t xml:space="preserve">Draft Policy Notes: Need a strict 24-hour cancellation rule because parents cancel 30 minutes before appointment and leave therapists with dead hours.</w:t>
      </w:r>
    </w:p>
    <w:p>
      <w:r>
        <w:rPr>
          <w:sz w:val="22"/>
        </w:rPr>
        <w:t xml:space="preserve">HIPAA Consent: Need updated disclosures for teletherapy video recording, mirror observation by student clinicians, and coordination with school district ARD committees.</w:t>
      </w:r>
    </w:p>
    <w:p>
      <w:r>
        <w:rPr>
          <w:sz w:val="22"/>
        </w:rPr>
        <w:t xml:space="preserve">Insurance &amp; Billing: We are private pay but provide monthly superbills. Parents need to understand they are 100% financially responsible if out-of-network insurance denies the claim.</w:t>
      </w:r>
    </w:p>
  </w:body>
</w:document>
</file>