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Cuevas Speech &amp; Language Therapy — Master Clinical Service Agreement &amp; Consent (v2 Final)</w:t>
      </w:r>
    </w:p>
    <w:p>
      <w:r>
        <w:rPr>
          <w:sz w:val="22"/>
        </w:rPr>
        <w:t xml:space="preserve">1. MASTER CLINICAL SERVICE AGREEMENT</w:t>
      </w:r>
    </w:p>
    <w:p>
      <w:r>
        <w:rPr>
          <w:sz w:val="22"/>
        </w:rPr>
        <w:t xml:space="preserve">Legally binding clinical agreement between Cuevas Speech &amp; Language Therapy LLC and Parent/Legal Guardian (Guarantor).</w:t>
      </w:r>
    </w:p>
    <w:p>
      <w:r>
        <w:rPr>
          <w:sz w:val="22"/>
        </w:rPr>
        <w:t xml:space="preserve">Distinguishes pediatric patient receiving clinical therapy from parent guarantor responsible for financial undertakings.</w:t>
      </w:r>
    </w:p>
    <w:p>
      <w:r>
        <w:rPr>
          <w:sz w:val="22"/>
        </w:rPr>
        <w:t xml:space="preserve">2. RESERVED CLINICAL HOUR &amp; CANCELLATION POLICY</w:t>
      </w:r>
    </w:p>
    <w:p>
      <w:r>
        <w:rPr>
          <w:sz w:val="22"/>
        </w:rPr>
        <w:t xml:space="preserve">Unscheduled missed sessions without 24-hour advance written notice are subject to the reserved clinical hour fee of $75.00.</w:t>
      </w:r>
    </w:p>
    <w:p>
      <w:r>
        <w:rPr>
          <w:sz w:val="22"/>
        </w:rPr>
        <w:t xml:space="preserve">Designation satisfies commercial healthcare insurance billing compliance for unrendered scheduled units.</w:t>
      </w:r>
    </w:p>
    <w:p>
      <w:r>
        <w:rPr>
          <w:sz w:val="22"/>
        </w:rPr>
        <w:t xml:space="preserve">3. SUPERBILL &amp; OUT-OF-NETWORK REIMBURSEMENT</w:t>
      </w:r>
    </w:p>
    <w:p>
      <w:r>
        <w:rPr>
          <w:sz w:val="22"/>
        </w:rPr>
        <w:t xml:space="preserve">Superbills with standardized ICD-10 diagnostic codes and CPT therapy codes (92507, 92523) are generated on the 1st of each calendar month.</w:t>
      </w:r>
    </w:p>
    <w:p>
      <w:r>
        <w:rPr>
          <w:sz w:val="22"/>
        </w:rPr>
        <w:t xml:space="preserve">4. CLINICAL OUTCOME ESTIMATES</w:t>
      </w:r>
    </w:p>
    <w:p>
      <w:r>
        <w:rPr>
          <w:sz w:val="22"/>
        </w:rPr>
        <w:t xml:space="preserve">Progress re-evaluations and clinical prognosis represent professional estimates and not guaranteed medical outcomes.</w:t>
      </w:r>
    </w:p>
  </w:body>
</w:document>
</file>