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/>
      </w:pPr>
      <w:r>
        <w:rPr>
          <w:rFonts w:ascii="Calibri" w:hAnsi="Calibri"/>
          <w:b/>
          <w:color w:val="0F172A"/>
          <w:sz w:val="44"/>
        </w:rPr>
        <w:t>Cruz Metro Freight — Rough Company Notes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Cruz Metro Freight operates dedicated 26ft liftgate box trucks and high-roof sprinters out of DFW.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We handle scheduled retail replenishment, pallet recovery, and warehouse dock-to-dock transfers.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Cold email 1 note: Mention our 2 open liftgates on Tue/Thu in DFW industrial corridor.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Cold email 2 note: Follow up on missed broker pickups and emergency same-day pallet recovery.</w:t>
      </w:r>
    </w:p>
    <w:p>
      <w:pPr>
        <w:spacing w:before="0" w:after="120" w:line="276" w:lineRule="auto"/>
      </w:pPr>
      <w:r>
        <w:rPr>
          <w:rFonts w:ascii="Calibri" w:hAnsi="Calibri"/>
          <w:color w:val="1E293B"/>
          <w:sz w:val="20"/>
        </w:rPr>
        <w:t>Cold email 3 note: Rate sheet and 2-hour free dock detention policy.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t>CONFIDENTIAL &amp; PROPRIETARY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Cruz Metro Freight — Rough Company Notes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color w:val="94A3B8"/>
      <w:sz w:val="17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