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Apex Logistics Q4 Executive Board Review — Raw Operational Bullets &amp; Financial Notes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CONFIDENTIAL: Board of Directors Briefing Notes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COMPANY: Apex Logistics &amp; Fleet Systems LLC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SESSION: Q4 Executive Strategy &amp; FY2027 Capital Allocation Review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PREPARED BY: Estella Williams (VP Ops), CEO, and CFO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FINANCIAL TRAJECTORY &amp; EBITDA ACCRETION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Q3 Gross Operating Revenue: $18,420,000 (up 22.4% YoY compared to $15,050,000 in Q3 2025).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Q3 Adjusted EBITDA: $2,615,640 (14.2% EBITDA margin, expanding 180 basis points YoY).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Operating Ratio (OR): Improved to 87.8% from 89.6% in the prior-year period.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Free Cash Flow: $1,420,000 generated in Q3, supporting $8.5M total year-to-date cash reserves.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FLEET CAPACITY, UTILIZATION &amp; DRIVER RETENTION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Active Power Units: 142 Class-8 tractors (100% late-model Freightliner Cascadia and Peterbilt 579).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Active Trailers: 380 53ft dry van and refrigerated trailers (100% equipped with carrier telematics).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Fleet Utilization: Reached 94.2% in September, outperforming the ATA industry benchmark of 88.5%.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Annualized Driver Turnover: Reduced dramatically from 68% in 2024 to 34% in Q3 2026 following our driver compensation restructuring and modern equipment upgrades.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3: 2027 STRATEGIC CAPITAL DEPLOYMENT ROADMAP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Memphis Multimodal Hub: Board authorization requested for $4.2M capital expenditure to acquire and build out a 24-bay cross-dock facility near BNSF rail interchange in Memphis, TN.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Fleet Modernization: Commit to leasing 25 new low-emission Freightliner Cascadia tractors with active collision mitigation and automated electric APUs.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Apex Logistics Q4 Executive Board Review — Raw Operational 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