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gerencial de energía por sedes</w:t>
      </w:r>
    </w:p>
    <w:p>
      <w:r>
        <w:t>Periodo: 01/01/2026 al 29/06/2026  |  Generado: 15/10/2026 12:28</w:t>
      </w:r>
    </w:p>
    <w:p>
      <w:pPr>
        <w:pStyle w:val="Heading1"/>
      </w:pPr>
      <w:r>
        <w:t>Indicadores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Indicador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Energía generada</w:t>
            </w:r>
          </w:p>
        </w:tc>
        <w:tc>
          <w:tcPr>
            <w:tcW w:type="dxa" w:w="4320"/>
          </w:tcPr>
          <w:p>
            <w:r>
              <w:t>2,913,624 kWh</w:t>
            </w:r>
          </w:p>
        </w:tc>
      </w:tr>
      <w:tr>
        <w:tc>
          <w:tcPr>
            <w:tcW w:type="dxa" w:w="4320"/>
          </w:tcPr>
          <w:p>
            <w:r>
              <w:t>Demanda</w:t>
            </w:r>
          </w:p>
        </w:tc>
        <w:tc>
          <w:tcPr>
            <w:tcW w:type="dxa" w:w="4320"/>
          </w:tcPr>
          <w:p>
            <w:r>
              <w:t>3,146,867 kWh</w:t>
            </w:r>
          </w:p>
        </w:tc>
      </w:tr>
      <w:tr>
        <w:tc>
          <w:tcPr>
            <w:tcW w:type="dxa" w:w="4320"/>
          </w:tcPr>
          <w:p>
            <w:r>
              <w:t>Déficit</w:t>
            </w:r>
          </w:p>
        </w:tc>
        <w:tc>
          <w:tcPr>
            <w:tcW w:type="dxa" w:w="4320"/>
          </w:tcPr>
          <w:p>
            <w:r>
              <w:t>286,904 kWh</w:t>
            </w:r>
          </w:p>
        </w:tc>
      </w:tr>
    </w:tbl>
    <w:p>
      <w:pPr>
        <w:pStyle w:val="Heading1"/>
      </w:pPr>
      <w:r>
        <w:t>Gráfico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Hallazgo</w:t>
      </w:r>
    </w:p>
    <w:p>
      <w:r>
        <w:t>La sede S04 (Centro) concentra 27.0% del déficit total (77,336 kWh) con solo 10.7% de la demanda; deja sin cubrir 23.0% de su propia demanda. La cobertura global de la demanda es 90.88% (100 x (1 - déficit / demanda)).</w:t>
      </w:r>
    </w:p>
    <w:p>
      <w:pPr>
        <w:pStyle w:val="Heading1"/>
      </w:pPr>
      <w:r>
        <w:t>Recomendación</w:t>
      </w:r>
    </w:p>
    <w:p>
      <w:r>
        <w:t>Priorizar la sede S04 para ampliar generación o respaldo energético y revisar también S07 (segundo mayor déficit); meta: reducir su déficit y darle seguimiento semanal con el KPI de déficit.</w:t>
      </w:r>
    </w:p>
    <w:p>
      <w:pPr>
        <w:pStyle w:val="Heading1"/>
      </w:pPr>
      <w:r>
        <w:t>Limitación</w:t>
      </w:r>
    </w:p>
    <w:p>
      <w:r>
        <w:t>El análisis cubre 180 días (01/01/2026 a 29/06/2026) y solo energía en kWh: no incluye capacidad instalada, costos ni almacenamiento, y el déficit no compensa excedentes de unas sedes con faltantes de otras.</w:t>
      </w:r>
    </w:p>
    <w:p>
      <w:r>
        <w:t>Fuente: Datos/Datasets/operacion_sedes.csv | registros: 1,620 | SHA-256: 9c28479ba39e4204b20bacdb23341e155ad1b9d8d517338906ae540b005520cb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