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energía por sedes</w:t>
      </w:r>
    </w:p>
    <w:p>
      <w:r>
        <w:t>Periodo: 01/01/2026 al 19/06/2026  |  Generado: 15/10/2026 12:28</w:t>
      </w:r>
    </w:p>
    <w:p>
      <w:pPr>
        <w:pStyle w:val="Heading1"/>
      </w:pPr>
      <w:r>
        <w:t>Indicadores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Energía generada</w:t>
            </w:r>
          </w:p>
        </w:tc>
        <w:tc>
          <w:tcPr>
            <w:tcW w:type="dxa" w:w="4320"/>
          </w:tcPr>
          <w:p>
            <w:r>
              <w:t>2,744,618 kWh</w:t>
            </w:r>
          </w:p>
        </w:tc>
      </w:tr>
      <w:tr>
        <w:tc>
          <w:tcPr>
            <w:tcW w:type="dxa" w:w="4320"/>
          </w:tcPr>
          <w:p>
            <w:r>
              <w:t>Demanda</w:t>
            </w:r>
          </w:p>
        </w:tc>
        <w:tc>
          <w:tcPr>
            <w:tcW w:type="dxa" w:w="4320"/>
          </w:tcPr>
          <w:p>
            <w:r>
              <w:t>2,961,376 kWh</w:t>
            </w:r>
          </w:p>
        </w:tc>
      </w:tr>
      <w:tr>
        <w:tc>
          <w:tcPr>
            <w:tcW w:type="dxa" w:w="4320"/>
          </w:tcPr>
          <w:p>
            <w:r>
              <w:t>Déficit</w:t>
            </w:r>
          </w:p>
        </w:tc>
        <w:tc>
          <w:tcPr>
            <w:tcW w:type="dxa" w:w="4320"/>
          </w:tcPr>
          <w:p>
            <w:r>
              <w:t>268,600 kWh</w:t>
            </w:r>
          </w:p>
        </w:tc>
      </w:tr>
    </w:tbl>
    <w:p>
      <w:pPr>
        <w:pStyle w:val="Heading1"/>
      </w:pPr>
      <w:r>
        <w:t>Gráfico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Hallazgo</w:t>
      </w:r>
    </w:p>
    <w:p>
      <w:r>
        <w:t>La sede S04 (Centro) concentra 27.1% del déficit total (72,764 kWh) con solo 10.7% de la demanda; deja sin cubrir 23.0% de su propia demanda. La cobertura global de la demanda es 90.93% (100 x (1 - déficit / demanda)).</w:t>
      </w:r>
    </w:p>
    <w:p>
      <w:pPr>
        <w:pStyle w:val="Heading1"/>
      </w:pPr>
      <w:r>
        <w:t>Recomendación</w:t>
      </w:r>
    </w:p>
    <w:p>
      <w:r>
        <w:t>Priorizar la sede S04 para ampliar generación o respaldo energético y revisar también S07 (segundo mayor déficit); meta: reducir su déficit y darle seguimiento semanal con el KPI de déficit.</w:t>
      </w:r>
    </w:p>
    <w:p>
      <w:pPr>
        <w:pStyle w:val="Heading1"/>
      </w:pPr>
      <w:r>
        <w:t>Limitación</w:t>
      </w:r>
    </w:p>
    <w:p>
      <w:r>
        <w:t>El análisis cubre 170 días (01/01/2026 a 19/06/2026) y solo energía en kWh: no incluye capacidad instalada, costos ni almacenamiento, y el déficit no compensa excedentes de unas sedes con faltantes de otras.</w:t>
      </w:r>
    </w:p>
    <w:p>
      <w:r>
        <w:t>Fuente: operacion_sedes.csv | registros: 1,530 | SHA-256: 095630402232146e176364ab367ab75924985f3eb64ffae25642f4d9f72e0bf2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