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EJECUTIVO DE SEGURIDAD DE RED</w:t>
      </w:r>
    </w:p>
    <w:p>
      <w:r>
        <w:t>Periodo analizado: 03/07/2017 – 07/07/2017</w:t>
        <w:br/>
        <w:t>Fecha de generación: 14/10/2026 20:31</w:t>
        <w:br/>
        <w:t>Versión: 1.0</w:t>
        <w:br/>
        <w:t>Equipo: Equipo 2 — Cybersecurity Data Analytics</w:t>
        <w:br/>
        <w:t>Fuente: dataset_enriquecido_final.parquet (CICIDS2017, agregado y anonimizado)</w:t>
      </w:r>
    </w:p>
    <w:p>
      <w:pPr>
        <w:pStyle w:val="Heading1"/>
      </w:pPr>
      <w:r>
        <w:t>1. Resumen ejecutivo</w:t>
      </w:r>
    </w:p>
    <w:p>
      <w:r>
        <w:t>Se analizaron 2,827,562 flujos de red entre 03/07/2017 – 07/07/2017. El 19.68% (556,555) fue malicioso, repartido en 14 tipos de ataque. DoS Hulk es el más frecuente (41.3% de los ataques) y la familia DoS/DDoS concentra 68.2%. La hora 16:00 reúne 41.9% de los ataques, 70.3% son de bajo volumen y sus flujos duran ≈11 veces más que los benignos (mediana), por lo que las reglas de detección deben combinar variables y no depender solo del tamaño del flujo.</w:t>
      </w:r>
    </w:p>
    <w:p>
      <w:pPr>
        <w:pStyle w:val="Heading1"/>
      </w:pPr>
      <w:r>
        <w:t>2. Indicadores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Flujos analizados</w:t>
            </w:r>
          </w:p>
        </w:tc>
        <w:tc>
          <w:tcPr>
            <w:tcW w:type="dxa" w:w="4320"/>
          </w:tcPr>
          <w:p>
            <w:r>
              <w:t>2,827,562</w:t>
            </w:r>
          </w:p>
        </w:tc>
      </w:tr>
      <w:tr>
        <w:tc>
          <w:tcPr>
            <w:tcW w:type="dxa" w:w="4320"/>
          </w:tcPr>
          <w:p>
            <w:r>
              <w:t>Flujos de ataque</w:t>
            </w:r>
          </w:p>
        </w:tc>
        <w:tc>
          <w:tcPr>
            <w:tcW w:type="dxa" w:w="4320"/>
          </w:tcPr>
          <w:p>
            <w:r>
              <w:t>556,555</w:t>
            </w:r>
          </w:p>
        </w:tc>
      </w:tr>
      <w:tr>
        <w:tc>
          <w:tcPr>
            <w:tcW w:type="dxa" w:w="4320"/>
          </w:tcPr>
          <w:p>
            <w:r>
              <w:t>% tráfico malicioso</w:t>
            </w:r>
          </w:p>
        </w:tc>
        <w:tc>
          <w:tcPr>
            <w:tcW w:type="dxa" w:w="4320"/>
          </w:tcPr>
          <w:p>
            <w:r>
              <w:t>19.68%</w:t>
            </w:r>
          </w:p>
        </w:tc>
      </w:tr>
      <w:tr>
        <w:tc>
          <w:tcPr>
            <w:tcW w:type="dxa" w:w="4320"/>
          </w:tcPr>
          <w:p>
            <w:r>
              <w:t>Tipos de ataque detectados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Peso de DoS/DDoS</w:t>
            </w:r>
          </w:p>
        </w:tc>
        <w:tc>
          <w:tcPr>
            <w:tcW w:type="dxa" w:w="4320"/>
          </w:tcPr>
          <w:p>
            <w:r>
              <w:t>68.2%</w:t>
            </w:r>
          </w:p>
        </w:tc>
      </w:tr>
      <w:tr>
        <w:tc>
          <w:tcPr>
            <w:tcW w:type="dxa" w:w="4320"/>
          </w:tcPr>
          <w:p>
            <w:r>
              <w:t>Ataques de bajo volumen</w:t>
            </w:r>
          </w:p>
        </w:tc>
        <w:tc>
          <w:tcPr>
            <w:tcW w:type="dxa" w:w="4320"/>
          </w:tcPr>
          <w:p>
            <w:r>
              <w:t>70.3%</w:t>
            </w:r>
          </w:p>
        </w:tc>
      </w:tr>
    </w:tbl>
    <w:p>
      <w:pPr>
        <w:pStyle w:val="Heading1"/>
      </w:pPr>
      <w:r>
        <w:t>3. Resultados</w:t>
      </w:r>
    </w:p>
    <w:p>
      <w:pPr>
        <w:pStyle w:val="Heading2"/>
      </w:pPr>
      <w:r>
        <w:t>3.1 Ataques por tipo</w:t>
      </w:r>
    </w:p>
    <w:p>
      <w:r>
        <w:drawing>
          <wp:inline xmlns:a="http://schemas.openxmlformats.org/drawingml/2006/main" xmlns:pic="http://schemas.openxmlformats.org/drawingml/2006/picture">
            <wp:extent cx="5486400" cy="2852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_tipos_ataq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Ataques por día</w:t>
      </w:r>
    </w:p>
    <w:p>
      <w:r>
        <w:drawing>
          <wp:inline xmlns:a="http://schemas.openxmlformats.org/drawingml/2006/main" xmlns:pic="http://schemas.openxmlformats.org/drawingml/2006/picture">
            <wp:extent cx="5486400" cy="2852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_ataques_por_d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Ataques por hora</w:t>
      </w:r>
    </w:p>
    <w:p>
      <w:r>
        <w:drawing>
          <wp:inline xmlns:a="http://schemas.openxmlformats.org/drawingml/2006/main" xmlns:pic="http://schemas.openxmlformats.org/drawingml/2006/picture">
            <wp:extent cx="5486400" cy="2852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_ataques_por_ho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Familias de ataque</w:t>
      </w:r>
    </w:p>
    <w:p>
      <w:r>
        <w:drawing>
          <wp:inline xmlns:a="http://schemas.openxmlformats.org/drawingml/2006/main" xmlns:pic="http://schemas.openxmlformats.org/drawingml/2006/picture">
            <wp:extent cx="5486400" cy="28529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_famili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3.5 Riesgo por volumen de paquetes</w:t>
      </w:r>
    </w:p>
    <w:p>
      <w:r>
        <w:drawing>
          <wp:inline xmlns:a="http://schemas.openxmlformats.org/drawingml/2006/main" xmlns:pic="http://schemas.openxmlformats.org/drawingml/2006/picture">
            <wp:extent cx="5486400" cy="28529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5_volumen_ries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3.6 Flujos por protocolo</w:t>
      </w:r>
    </w:p>
    <w:p>
      <w:r>
        <w:drawing>
          <wp:inline xmlns:a="http://schemas.openxmlformats.org/drawingml/2006/main" xmlns:pic="http://schemas.openxmlformats.org/drawingml/2006/picture">
            <wp:extent cx="5486400" cy="28529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_protocol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3.7 Duración mediana por tipo de ataque</w:t>
      </w:r>
    </w:p>
    <w:p>
      <w:r>
        <w:drawing>
          <wp:inline xmlns:a="http://schemas.openxmlformats.org/drawingml/2006/main" xmlns:pic="http://schemas.openxmlformats.org/drawingml/2006/picture">
            <wp:extent cx="5486400" cy="28529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7_duracion_por_ataq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Hallazgos</w:t>
      </w:r>
    </w:p>
    <w:p>
      <w:pPr>
        <w:pStyle w:val="Heading2"/>
      </w:pPr>
      <w:r>
        <w:t>1. DoS Hulk es el ataque más frecuente</w:t>
      </w:r>
    </w:p>
    <w:p>
      <w:r>
        <w:rPr>
          <w:b/>
        </w:rPr>
        <w:t xml:space="preserve">Evidencia: </w:t>
      </w:r>
      <w:r>
        <w:t>230,123 flujos, 41.3% de todos los ataques; la familia DoS/DDoS concentra 68.2%.</w:t>
      </w:r>
    </w:p>
    <w:p>
      <w:r>
        <w:rPr>
          <w:b/>
        </w:rPr>
        <w:t xml:space="preserve">Interpretación: </w:t>
      </w:r>
      <w:r>
        <w:t>La amenaza dominante es la saturación de servicios web (denegación de servicio), no la intrusión silenciosa.</w:t>
      </w:r>
    </w:p>
    <w:p>
      <w:r>
        <w:rPr>
          <w:b/>
        </w:rPr>
        <w:t xml:space="preserve">Impacto: </w:t>
      </w:r>
      <w:r>
        <w:t>Un solo patrón explica la mayoría de la carga maliciosa: mitigarlo reduce el riesgo de forma desproporcionada.</w:t>
      </w:r>
    </w:p>
    <w:p>
      <w:r>
        <w:rPr>
          <w:b/>
        </w:rPr>
        <w:t xml:space="preserve">Decisión: </w:t>
      </w:r>
      <w:r>
        <w:t>Priorizar rate limiting y alertas de DoS sobre servicios HTTP.</w:t>
      </w:r>
    </w:p>
    <w:p>
      <w:r>
        <w:rPr>
          <w:b/>
        </w:rPr>
        <w:t xml:space="preserve">Limitación: </w:t>
      </w:r>
      <w:r>
        <w:t>CICIDS2017 es tráfico de laboratorio: las proporciones no son extrapolables a una red productiva.</w:t>
      </w:r>
    </w:p>
    <w:p>
      <w:pPr>
        <w:pStyle w:val="Heading2"/>
      </w:pPr>
      <w:r>
        <w:t>2. Los ataques se concentran en la hora 16:00</w:t>
      </w:r>
    </w:p>
    <w:p>
      <w:r>
        <w:rPr>
          <w:b/>
        </w:rPr>
        <w:t xml:space="preserve">Evidencia: </w:t>
      </w:r>
      <w:r>
        <w:t>233,292 flujos de ataque en esa hora (41.9% del total); solo 4 de 5 días presentan ataques y el día pico fue 2017-07-07 (288,785 ataques).</w:t>
      </w:r>
    </w:p>
    <w:p>
      <w:r>
        <w:rPr>
          <w:b/>
        </w:rPr>
        <w:t xml:space="preserve">Interpretación: </w:t>
      </w:r>
      <w:r>
        <w:t>La actividad maliciosa llega en ventanas concentradas, no distribuida uniformemente.</w:t>
      </w:r>
    </w:p>
    <w:p>
      <w:r>
        <w:rPr>
          <w:b/>
        </w:rPr>
        <w:t xml:space="preserve">Impacto: </w:t>
      </w:r>
      <w:r>
        <w:t>Una vigilancia uniforme desperdicia capacidad analítica fuera de las ventanas críticas.</w:t>
      </w:r>
    </w:p>
    <w:p>
      <w:r>
        <w:rPr>
          <w:b/>
        </w:rPr>
        <w:t xml:space="preserve">Decisión: </w:t>
      </w:r>
      <w:r>
        <w:t>Reforzar monitoreo y guardia en las franjas de mayor incidencia.</w:t>
      </w:r>
    </w:p>
    <w:p>
      <w:r>
        <w:rPr>
          <w:b/>
        </w:rPr>
        <w:t xml:space="preserve">Limitación: </w:t>
      </w:r>
      <w:r>
        <w:t>Las horas reflejan el calendario del experimento (un escenario por franja), no un patrón humano real.</w:t>
      </w:r>
    </w:p>
    <w:p>
      <w:pPr>
        <w:pStyle w:val="Heading2"/>
      </w:pPr>
      <w:r>
        <w:t>3. Los ataques son mayormente flujos de bajo volumen de paquetes</w:t>
      </w:r>
    </w:p>
    <w:p>
      <w:r>
        <w:rPr>
          <w:b/>
        </w:rPr>
        <w:t xml:space="preserve">Evidencia: </w:t>
      </w:r>
      <w:r>
        <w:t>70.3% de los ataques tienen volumen 'Bajo'; en cambio 99.57% de los flujos de volumen 'Alto' son benignos.</w:t>
      </w:r>
    </w:p>
    <w:p>
      <w:r>
        <w:rPr>
          <w:b/>
        </w:rPr>
        <w:t xml:space="preserve">Interpretación: </w:t>
      </w:r>
      <w:r>
        <w:t>El volumen alto por sí solo no indica ataque; los ataques son flujos pequeños y repetitivos.</w:t>
      </w:r>
    </w:p>
    <w:p>
      <w:r>
        <w:rPr>
          <w:b/>
        </w:rPr>
        <w:t xml:space="preserve">Impacto: </w:t>
      </w:r>
      <w:r>
        <w:t>Reglas basadas solo en umbrales altos de volumen no detectarían la mayoría de los ataques.</w:t>
      </w:r>
    </w:p>
    <w:p>
      <w:r>
        <w:rPr>
          <w:b/>
        </w:rPr>
        <w:t xml:space="preserve">Decisión: </w:t>
      </w:r>
      <w:r>
        <w:t>Combinar volumen con frecuencia, puerto destino y duración en las reglas de detección.</w:t>
      </w:r>
    </w:p>
    <w:p>
      <w:r>
        <w:rPr>
          <w:b/>
        </w:rPr>
        <w:t xml:space="preserve">Limitación: </w:t>
      </w:r>
      <w:r>
        <w:t>El volumen está categorizado (Bajo/Medio/Alto): se pierde detalle fino.</w:t>
      </w:r>
    </w:p>
    <w:p>
      <w:pPr>
        <w:pStyle w:val="Heading2"/>
      </w:pPr>
      <w:r>
        <w:t>4. Los flujos de ataque duran mucho más que los benignos</w:t>
      </w:r>
    </w:p>
    <w:p>
      <w:r>
        <w:rPr>
          <w:b/>
        </w:rPr>
        <w:t xml:space="preserve">Evidencia: </w:t>
      </w:r>
      <w:r>
        <w:t>Duración mediana: 0.35 s en ataques vs 0.031 s en benignos (≈11 veces más). La excepción es PortScan, con flujos de microsegundos.</w:t>
      </w:r>
    </w:p>
    <w:p>
      <w:r>
        <w:rPr>
          <w:b/>
        </w:rPr>
        <w:t xml:space="preserve">Interpretación: </w:t>
      </w:r>
      <w:r>
        <w:t>Los ataques de agotamiento (DoS lentos) mantienen conexiones abiertas; el escaneo, en cambio, es ráfaga muy corta.</w:t>
      </w:r>
    </w:p>
    <w:p>
      <w:r>
        <w:rPr>
          <w:b/>
        </w:rPr>
        <w:t xml:space="preserve">Impacto: </w:t>
      </w:r>
      <w:r>
        <w:t>La duración separa dos comportamientos de amenaza distintos y sirve como variable de detección.</w:t>
      </w:r>
    </w:p>
    <w:p>
      <w:r>
        <w:rPr>
          <w:b/>
        </w:rPr>
        <w:t xml:space="preserve">Decisión: </w:t>
      </w:r>
      <w:r>
        <w:t>Alertar por conexiones inusualmente largas y por ráfagas ultracortas masivas hacia muchos puertos.</w:t>
      </w:r>
    </w:p>
    <w:p>
      <w:r>
        <w:rPr>
          <w:b/>
        </w:rPr>
        <w:t xml:space="preserve">Limitación: </w:t>
      </w:r>
      <w:r>
        <w:t>La mediana oculta la dispersión interna de cada tipo de ataque.</w:t>
      </w:r>
    </w:p>
    <w:p>
      <w:pPr>
        <w:pStyle w:val="Heading2"/>
      </w:pPr>
      <w:r>
        <w:t>5. Casi todo el ataque viaja por TCP y apunta al puerto 80</w:t>
      </w:r>
    </w:p>
    <w:p>
      <w:r>
        <w:rPr>
          <w:b/>
        </w:rPr>
        <w:t xml:space="preserve">Evidencia: </w:t>
      </w:r>
      <w:r>
        <w:t>99.999% de los ataques usan TCP; el puerto 80 (HTTP) recibe 68.7% de ellos, seguido de FTP (21) y SSH (22).</w:t>
      </w:r>
    </w:p>
    <w:p>
      <w:r>
        <w:rPr>
          <w:b/>
        </w:rPr>
        <w:t xml:space="preserve">Interpretación: </w:t>
      </w:r>
      <w:r>
        <w:t>La superficie de ataque expuesta es, sobre todo, el servicio web sobre TCP.</w:t>
      </w:r>
    </w:p>
    <w:p>
      <w:r>
        <w:rPr>
          <w:b/>
        </w:rPr>
        <w:t xml:space="preserve">Impacto: </w:t>
      </w:r>
      <w:r>
        <w:t>Proteger ese servicio cubre la mayor parte del riesgo observado.</w:t>
      </w:r>
    </w:p>
    <w:p>
      <w:r>
        <w:rPr>
          <w:b/>
        </w:rPr>
        <w:t xml:space="preserve">Decisión: </w:t>
      </w:r>
      <w:r>
        <w:t>Hardening y monitoreo específico del servicio web; restringir FTP/SSH si no son necesarios.</w:t>
      </w:r>
    </w:p>
    <w:p>
      <w:r>
        <w:rPr>
          <w:b/>
        </w:rPr>
        <w:t xml:space="preserve">Limitación: </w:t>
      </w:r>
      <w:r>
        <w:t>El puerto destino no identifica al atacante; las IP no se publican por gobernanza (Guía 4).</w:t>
      </w:r>
    </w:p>
    <w:p>
      <w:pPr>
        <w:pStyle w:val="Heading1"/>
      </w:pPr>
      <w:r>
        <w:t>5. Recomendaciones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Acción</w:t>
            </w:r>
          </w:p>
        </w:tc>
        <w:tc>
          <w:tcPr>
            <w:tcW w:type="dxa" w:w="1440"/>
          </w:tcPr>
          <w:p>
            <w:r>
              <w:t>Prioridad</w:t>
            </w:r>
          </w:p>
        </w:tc>
        <w:tc>
          <w:tcPr>
            <w:tcW w:type="dxa" w:w="1440"/>
          </w:tcPr>
          <w:p>
            <w:r>
              <w:t>Responsable</w:t>
            </w:r>
          </w:p>
        </w:tc>
        <w:tc>
          <w:tcPr>
            <w:tcW w:type="dxa" w:w="1440"/>
          </w:tcPr>
          <w:p>
            <w:r>
              <w:t>Plazo</w:t>
            </w:r>
          </w:p>
        </w:tc>
        <w:tc>
          <w:tcPr>
            <w:tcW w:type="dxa" w:w="1440"/>
          </w:tcPr>
          <w:p>
            <w:r>
              <w:t>KPI de seguimiento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Implementar rate limiting y detección de DoS en servicios HTTP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Equipo de infraestructura / seguridad</w:t>
            </w:r>
          </w:p>
        </w:tc>
        <w:tc>
          <w:tcPr>
            <w:tcW w:type="dxa" w:w="1440"/>
          </w:tcPr>
          <w:p>
            <w:r>
              <w:t>30 días</w:t>
            </w:r>
          </w:p>
        </w:tc>
        <w:tc>
          <w:tcPr>
            <w:tcW w:type="dxa" w:w="1440"/>
          </w:tcPr>
          <w:p>
            <w:r>
              <w:t>% de flujos DoS/DDoS bloqueados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Reforzar monitoreo en las franjas horarias de mayor incidencia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Analista SOC</w:t>
            </w:r>
          </w:p>
        </w:tc>
        <w:tc>
          <w:tcPr>
            <w:tcW w:type="dxa" w:w="1440"/>
          </w:tcPr>
          <w:p>
            <w:r>
              <w:t>15 días</w:t>
            </w:r>
          </w:p>
        </w:tc>
        <w:tc>
          <w:tcPr>
            <w:tcW w:type="dxa" w:w="1440"/>
          </w:tcPr>
          <w:p>
            <w:r>
              <w:t>Ataques detectados en hora pico / total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Reglas de detección multivariable (volumen + frecuencia + puerto + duración)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Ingeniería de datos / ML</w:t>
            </w:r>
          </w:p>
        </w:tc>
        <w:tc>
          <w:tcPr>
            <w:tcW w:type="dxa" w:w="1440"/>
          </w:tcPr>
          <w:p>
            <w:r>
              <w:t>60 días</w:t>
            </w:r>
          </w:p>
        </w:tc>
        <w:tc>
          <w:tcPr>
            <w:tcW w:type="dxa" w:w="1440"/>
          </w:tcPr>
          <w:p>
            <w:r>
              <w:t>Tasa de detección sin aumentar falsos positivos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Restringir FTP/SSH y bloquear por intentos fallidos (fuerza bruta)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Administración de sistemas</w:t>
            </w:r>
          </w:p>
        </w:tc>
        <w:tc>
          <w:tcPr>
            <w:tcW w:type="dxa" w:w="1440"/>
          </w:tcPr>
          <w:p>
            <w:r>
              <w:t>45 días</w:t>
            </w:r>
          </w:p>
        </w:tc>
        <w:tc>
          <w:tcPr>
            <w:tcW w:type="dxa" w:w="1440"/>
          </w:tcPr>
          <w:p>
            <w:r>
              <w:t>Intentos de fuerza bruta por día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Mantener este informe automatizado y versionado en GitHub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  <w:tc>
          <w:tcPr>
            <w:tcW w:type="dxa" w:w="1440"/>
          </w:tcPr>
          <w:p>
            <w:r>
              <w:t>Equipo 2</w:t>
            </w:r>
          </w:p>
        </w:tc>
        <w:tc>
          <w:tcPr>
            <w:tcW w:type="dxa" w:w="1440"/>
          </w:tcPr>
          <w:p>
            <w:r>
              <w:t>Continuo</w:t>
            </w:r>
          </w:p>
        </w:tc>
        <w:tc>
          <w:tcPr>
            <w:tcW w:type="dxa" w:w="1440"/>
          </w:tcPr>
          <w:p>
            <w:r>
              <w:t>Informes generados sin intervención manual</w:t>
            </w:r>
          </w:p>
        </w:tc>
      </w:tr>
    </w:tbl>
    <w:p>
      <w:pPr>
        <w:pStyle w:val="Heading1"/>
      </w:pPr>
      <w:r>
        <w:t>6. Limitaciones</w:t>
      </w:r>
    </w:p>
    <w:p>
      <w:pPr>
        <w:pStyle w:val="ListBullet"/>
      </w:pPr>
      <w:r>
        <w:t>Dataset de laboratorio (CICIDS2017, 3–7 jul 2017): no representa una red productiva actual.</w:t>
      </w:r>
    </w:p>
    <w:p>
      <w:pPr>
        <w:pStyle w:val="ListBullet"/>
      </w:pPr>
      <w:r>
        <w:t>Desbalance de clases: ~80% benigno; Heartbleed (11), Infiltration (36) y SQL Injection (21) están muy poco representados.</w:t>
      </w:r>
    </w:p>
    <w:p>
      <w:pPr>
        <w:pStyle w:val="ListBullet"/>
      </w:pPr>
      <w:r>
        <w:t>Limpieza previa: se eliminaron 288,602 flujos sin etiqueta, 203 duplicados exactos y 2,978 flujos con valores inválidos (Infinity/NaN, rangos); quedan 2,827,562.</w:t>
      </w:r>
    </w:p>
    <w:p>
      <w:pPr>
        <w:pStyle w:val="ListBullet"/>
      </w:pPr>
      <w:r>
        <w:t>Las direcciones IP, flow_id y puertos de origen no se incluyen (minimización y seudonimización, Guía 4).</w:t>
      </w:r>
    </w:p>
    <w:p>
      <w:pPr>
        <w:pStyle w:val="ListBullet"/>
      </w:pPr>
      <w:r>
        <w:t>No se incluye análisis geoespacial (Guía 6): es una red de laboratorio sin coordenadas reales; el equivalente por segmento de red exigiría exponer 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