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color w:val="003366"/>
          <w:sz w:val="36"/>
        </w:rPr>
        <w:t>Skattefunn-søknad – ISPAS-prosjekt</w:t>
      </w:r>
    </w:p>
    <w:p>
      <w:pPr>
        <w:pStyle w:val="Heading2"/>
        <w:spacing w:before="200" w:after="80"/>
      </w:pPr>
      <w:r>
        <w:rPr>
          <w:color w:val="003366"/>
          <w:sz w:val="28"/>
        </w:rPr>
        <w:t>Metallisering av 3D-printede strukturer for mikrobølgeteknologi</w:t>
      </w:r>
    </w:p>
    <w:p/>
    <w:p>
      <w:pPr>
        <w:pStyle w:val="Heading2"/>
        <w:spacing w:before="200" w:after="80"/>
      </w:pPr>
      <w:r>
        <w:rPr>
          <w:color w:val="003366"/>
          <w:sz w:val="28"/>
        </w:rPr>
        <w:t>1. Prosjekttittel</w:t>
      </w:r>
    </w:p>
    <w:p>
      <w:pPr>
        <w:spacing w:after="80"/>
      </w:pPr>
      <w:r>
        <w:rPr>
          <w:sz w:val="22"/>
        </w:rPr>
      </w:r>
      <w:r>
        <w:rPr>
          <w:b/>
          <w:sz w:val="22"/>
        </w:rPr>
        <w:t>Additiv produksjon og metallisering av 3D-printede strukturer for spesialtilpassede waveguideantenner og antennefeed</w:t>
      </w:r>
      <w:r>
        <w:rPr>
          <w:sz w:val="22"/>
        </w:rPr>
      </w:r>
    </w:p>
    <w:p/>
    <w:p>
      <w:pPr>
        <w:pStyle w:val="Heading2"/>
        <w:spacing w:before="200" w:after="80"/>
      </w:pPr>
      <w:r>
        <w:rPr>
          <w:color w:val="003366"/>
          <w:sz w:val="28"/>
        </w:rPr>
        <w:t>2. Prosjektsammendrag</w:t>
      </w:r>
    </w:p>
    <w:p>
      <w:pPr>
        <w:spacing w:after="80"/>
      </w:pPr>
      <w:r>
        <w:rPr>
          <w:sz w:val="22"/>
        </w:rPr>
        <w:t>Prosjektet skal utvikle kunnskap og metoder for å produsere lette, spesialtilpassede antennestrukturer ved hjelp av 3D-printing og etterfølgende metallisering. Målet er å erstatte dyre importerte antenner og antennefeed med egenproduserte løsninger som gir høyere ytelse, lavere vekt og bedre tilpasning til selskapets spesifikke bruksområder – herunder dronemontering og aerodynamisk integrering. Prosjektet er av FoU-karakter da det ikke finnes etablerte prosesser for presisjonsmetallisering av 3D-printede strukturer med de toleransekrav som kreves innen waveguideteknologi i mikrobølgeområdet.</w:t>
      </w:r>
    </w:p>
    <w:p/>
    <w:p>
      <w:pPr>
        <w:pStyle w:val="Heading2"/>
        <w:spacing w:before="200" w:after="80"/>
      </w:pPr>
      <w:r>
        <w:rPr>
          <w:color w:val="003366"/>
          <w:sz w:val="28"/>
        </w:rPr>
        <w:t>3. Bakgrunn og motivasjon</w:t>
      </w:r>
    </w:p>
    <w:p>
      <w:pPr>
        <w:spacing w:after="80"/>
      </w:pPr>
      <w:r>
        <w:rPr>
          <w:sz w:val="22"/>
        </w:rPr>
        <w:t>Selskapet benytter i dag waveguideantenner og antennefeed innkjøpt fra utenlandske leverandører. Dette medfører flere utfordringer: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Kostnad:</w:t>
      </w:r>
      <w:r>
        <w:rPr>
          <w:sz w:val="22"/>
        </w:rPr>
        <w:t xml:space="preserve"> Spesialiserte mikrobølgekomponenter er kostbare ved innkjøp fra eksternleverandør.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Ytelse:</w:t>
      </w:r>
      <w:r>
        <w:rPr>
          <w:sz w:val="22"/>
        </w:rPr>
        <w:t xml:space="preserve"> Kommersielt tilgjengelige produkter er sjelden optimalt tilpasset selskapets spesifikke systemkrav, noe som gir redusert systemytelse.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Vekt:</w:t>
      </w:r>
      <w:r>
        <w:rPr>
          <w:sz w:val="22"/>
        </w:rPr>
        <w:t xml:space="preserve"> Tradisjonelt maskinerte metallkomponenter er tyngre enn hva som er ønskelig for droneapplikasjoner, hvor nyttelastkapasitet er en kritisk begrensning.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Geometrisk frihet:</w:t>
      </w:r>
      <w:r>
        <w:rPr>
          <w:sz w:val="22"/>
        </w:rPr>
        <w:t xml:space="preserve"> Innkjøpte komponenter gir begrenset mulighet for å tilpasse antennens form og innfesting til farkostens geometri og aerodynamikk.</w:t>
      </w:r>
    </w:p>
    <w:p>
      <w:pPr>
        <w:spacing w:after="80"/>
      </w:pPr>
      <w:r>
        <w:rPr>
          <w:sz w:val="22"/>
        </w:rPr>
        <w:t>Ved å beherske 3D-printing og metallisering in-house vil selskapet oppnå kortere utviklingsløp, lavere komponentkostnad og frihet til å designe antenner som er fullstendig integrert i produktets form og funksjon.</w:t>
      </w:r>
    </w:p>
    <w:p/>
    <w:p>
      <w:pPr>
        <w:pStyle w:val="Heading2"/>
        <w:spacing w:before="200" w:after="80"/>
      </w:pPr>
      <w:r>
        <w:rPr>
          <w:color w:val="003366"/>
          <w:sz w:val="28"/>
        </w:rPr>
        <w:t>4. FoU-utfordringer og hypoteser</w:t>
      </w:r>
    </w:p>
    <w:p>
      <w:pPr>
        <w:spacing w:after="80"/>
      </w:pPr>
      <w:r>
        <w:rPr>
          <w:sz w:val="22"/>
        </w:rPr>
        <w:t>Prosjektet adresserer følgende forsknings- og utviklingsutfordringer:</w:t>
      </w:r>
    </w:p>
    <w:p>
      <w:pPr>
        <w:pStyle w:val="Heading3"/>
        <w:spacing w:before="160" w:after="40"/>
      </w:pPr>
      <w:r>
        <w:rPr>
          <w:color w:val="004080"/>
          <w:sz w:val="24"/>
        </w:rPr>
        <w:t>4.1 Dimensjonell presisjon og overflatekvalitet</w:t>
      </w:r>
    </w:p>
    <w:p>
      <w:pPr>
        <w:spacing w:after="80"/>
      </w:pPr>
      <w:r>
        <w:rPr>
          <w:sz w:val="22"/>
        </w:rPr>
        <w:t>Waveguidekomponenter opererer i mikrobølgeområdet og krever svært strenge dimensjonstoleranser (typisk &lt; ±0,1 mm) og lav overflateruhetsverdi (Ra). Det er en åpen forskningsspørsmål om tilgjengelige 3D-printere kan levere tilstrekkelig presisjon, og om etterprosessering kan kompensere for eventuelle avvik.</w:t>
      </w:r>
    </w:p>
    <w:p>
      <w:pPr>
        <w:spacing w:after="80"/>
      </w:pPr>
      <w:r>
        <w:rPr>
          <w:sz w:val="22"/>
        </w:rPr>
      </w:r>
      <w:r>
        <w:rPr>
          <w:b/>
          <w:sz w:val="22"/>
        </w:rPr>
        <w:t>Hypotese:</w:t>
      </w:r>
      <w:r>
        <w:rPr>
          <w:sz w:val="22"/>
        </w:rPr>
        <w:t xml:space="preserve"> Med valg av riktig printteknologi (SLA/resin eller high-res FDM) og eventuell overflatebehandling er det mulig å oppnå tilstrekkelig dimensjonell nøyaktighet for waveguidedrift i aktuelt frekvensområde.</w:t>
      </w:r>
    </w:p>
    <w:p>
      <w:pPr>
        <w:pStyle w:val="Heading3"/>
        <w:spacing w:before="160" w:after="40"/>
      </w:pPr>
      <w:r>
        <w:rPr>
          <w:color w:val="004080"/>
          <w:sz w:val="24"/>
        </w:rPr>
        <w:t>4.2 Adhesjon mellom metall og plast</w:t>
      </w:r>
    </w:p>
    <w:p>
      <w:pPr>
        <w:spacing w:after="80"/>
      </w:pPr>
      <w:r>
        <w:rPr>
          <w:sz w:val="22"/>
        </w:rPr>
        <w:t>For å oppnå god ledende overflate på en plaststruktur må metallet bindes tilstrekkelig fast til substratet. Det er usikkert hvilken forbehandling (grafitt-spray, sink-impregnering, kjemisk etsing, plasma-aktivering) som gir best adhesjon og lavest elektrisk motstand for aktuelle plastmaterialer (PLA, ABS, resin).</w:t>
      </w:r>
    </w:p>
    <w:p>
      <w:pPr>
        <w:spacing w:after="80"/>
      </w:pPr>
      <w:r>
        <w:rPr>
          <w:sz w:val="22"/>
        </w:rPr>
      </w:r>
      <w:r>
        <w:rPr>
          <w:b/>
          <w:sz w:val="22"/>
        </w:rPr>
        <w:t>Hypotese:</w:t>
      </w:r>
      <w:r>
        <w:rPr>
          <w:sz w:val="22"/>
        </w:rPr>
        <w:t xml:space="preserve"> En kombinasjon av overflateaktivering og et tynt ledende forbehandlingslag (grafitt eller sink) etterfulgt av elektrolytisk metallisering (kobber + nikkel) vil gi tilstrekkelig adhesjon og elektrisk ledningsevne.</w:t>
      </w:r>
    </w:p>
    <w:p>
      <w:pPr>
        <w:pStyle w:val="Heading3"/>
        <w:spacing w:before="160" w:after="40"/>
      </w:pPr>
      <w:r>
        <w:rPr>
          <w:color w:val="004080"/>
          <w:sz w:val="24"/>
        </w:rPr>
        <w:t>4.3 Elektrisk ytelse</w:t>
      </w:r>
    </w:p>
    <w:p>
      <w:pPr>
        <w:spacing w:after="80"/>
      </w:pPr>
      <w:r>
        <w:rPr>
          <w:sz w:val="22"/>
        </w:rPr>
        <w:t>Det er uavklart om metalliseringslaget gir tilstrekkelig lav overflatemotststand (sheet resistance) og dermed akseptabelt lavt innsettingstap for waveguideapplikasjoner i aktuelt frekvensområde.</w:t>
      </w:r>
    </w:p>
    <w:p>
      <w:pPr>
        <w:spacing w:after="80"/>
      </w:pPr>
      <w:r>
        <w:rPr>
          <w:sz w:val="22"/>
        </w:rPr>
      </w:r>
      <w:r>
        <w:rPr>
          <w:b/>
          <w:sz w:val="22"/>
        </w:rPr>
        <w:t>Hypotese:</w:t>
      </w:r>
      <w:r>
        <w:rPr>
          <w:sz w:val="22"/>
        </w:rPr>
        <w:t xml:space="preserve"> Et metalliseringslag på minimum 5–10 µm kobber etterfølgt av nikkel vil gi overflatesmotstand tilsvarende bulkmetall for frekvenser i aktuelt mikrobølgeområde.</w:t>
      </w:r>
    </w:p>
    <w:p/>
    <w:p>
      <w:pPr>
        <w:pStyle w:val="Heading2"/>
        <w:spacing w:before="200" w:after="80"/>
      </w:pPr>
      <w:r>
        <w:rPr>
          <w:color w:val="003366"/>
          <w:sz w:val="28"/>
        </w:rPr>
        <w:t>5. Arbeidsplan og arbeidspakker</w:t>
      </w:r>
    </w:p>
    <w:p>
      <w:pPr>
        <w:pStyle w:val="Heading3"/>
        <w:spacing w:before="160" w:after="40"/>
      </w:pPr>
      <w:r>
        <w:rPr>
          <w:color w:val="004080"/>
          <w:sz w:val="24"/>
        </w:rPr>
        <w:t>AP1 – Litteraturgjennomgang og teknologikartlegging *(Måned 1–3)*</w:t>
      </w:r>
    </w:p>
    <w:p>
      <w:pPr>
        <w:pStyle w:val="ListBullet"/>
        <w:spacing w:after="40"/>
      </w:pPr>
      <w:r>
        <w:rPr>
          <w:sz w:val="22"/>
        </w:rPr>
        <w:t>Gjennomgang av eksisterende forskning på 3D-printing av RF-strukturer og metallisering av plastsubstrater.</w:t>
      </w:r>
    </w:p>
    <w:p>
      <w:pPr>
        <w:pStyle w:val="ListBullet"/>
        <w:spacing w:after="40"/>
      </w:pPr>
      <w:r>
        <w:rPr>
          <w:sz w:val="22"/>
        </w:rPr>
        <w:t>Kartlegging av tilgjengelige 3D-printteknologier (FDM, SLA, SLS) med hensyn til toleranser og materialegenskaper.</w:t>
      </w:r>
    </w:p>
    <w:p>
      <w:pPr>
        <w:pStyle w:val="ListBullet"/>
        <w:spacing w:after="40"/>
      </w:pPr>
      <w:r>
        <w:rPr>
          <w:sz w:val="22"/>
        </w:rPr>
        <w:t>Kartlegging av metalliseringsmetoder: grafitt-spray, sinkimpregnering, strømløs formetallisering, elektrolytisk belegning.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Leveranse:</w:t>
      </w:r>
      <w:r>
        <w:rPr>
          <w:sz w:val="22"/>
        </w:rPr>
        <w:t xml:space="preserve"> Teknologirapport med anbefalt prosessvei.</w:t>
      </w:r>
    </w:p>
    <w:p>
      <w:pPr>
        <w:pStyle w:val="Heading3"/>
        <w:spacing w:before="160" w:after="40"/>
      </w:pPr>
      <w:r>
        <w:rPr>
          <w:color w:val="004080"/>
          <w:sz w:val="24"/>
        </w:rPr>
        <w:t>AP2 – Prosessutvikling: forbehandling og metallisering *(Måned 3–8)*</w:t>
      </w:r>
    </w:p>
    <w:p>
      <w:pPr>
        <w:pStyle w:val="ListBullet"/>
        <w:spacing w:after="40"/>
      </w:pPr>
      <w:r>
        <w:rPr>
          <w:sz w:val="22"/>
        </w:rPr>
        <w:t>Print av testflater og enkle geometrier i utvalgte materialer.</w:t>
      </w:r>
    </w:p>
    <w:p>
      <w:pPr>
        <w:pStyle w:val="ListBullet"/>
        <w:spacing w:after="40"/>
      </w:pPr>
      <w:r>
        <w:rPr>
          <w:sz w:val="22"/>
        </w:rPr>
        <w:t>Eksperimentell testing av ulike forbehandlingsmetoder (grafitt, sink, kjemisk etsing, plasma).</w:t>
      </w:r>
    </w:p>
    <w:p>
      <w:pPr>
        <w:pStyle w:val="ListBullet"/>
        <w:spacing w:after="40"/>
      </w:pPr>
      <w:r>
        <w:rPr>
          <w:sz w:val="22"/>
        </w:rPr>
        <w:t>Etablering av elektrolytisk metalliseringsprosess (kobber/nikkel) tilpasset plastsubstrat.</w:t>
      </w:r>
    </w:p>
    <w:p>
      <w:pPr>
        <w:pStyle w:val="ListBullet"/>
        <w:spacing w:after="40"/>
      </w:pPr>
      <w:r>
        <w:rPr>
          <w:sz w:val="22"/>
        </w:rPr>
        <w:t>Måling av adhesjonsstyrke og overflatesmotstand.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Leveranse:</w:t>
      </w:r>
      <w:r>
        <w:rPr>
          <w:sz w:val="22"/>
        </w:rPr>
        <w:t xml:space="preserve"> Prosedyre for optimal forbehandling og metallisering.</w:t>
      </w:r>
    </w:p>
    <w:p>
      <w:pPr>
        <w:pStyle w:val="Heading3"/>
        <w:spacing w:before="160" w:after="40"/>
      </w:pPr>
      <w:r>
        <w:rPr>
          <w:color w:val="004080"/>
          <w:sz w:val="24"/>
        </w:rPr>
        <w:t>AP3 – Design og print av teststrukturer *(Måned 6–12)*</w:t>
      </w:r>
    </w:p>
    <w:p>
      <w:pPr>
        <w:pStyle w:val="ListBullet"/>
        <w:spacing w:after="40"/>
      </w:pPr>
      <w:r>
        <w:rPr>
          <w:sz w:val="22"/>
        </w:rPr>
        <w:t>Elektromagnetisk design av teststrukturer (waveguide-seksjon, horn-antenne, antennefeed) i aktuelt frekvensområde.</w:t>
      </w:r>
    </w:p>
    <w:p>
      <w:pPr>
        <w:pStyle w:val="ListBullet"/>
        <w:spacing w:after="40"/>
      </w:pPr>
      <w:r>
        <w:rPr>
          <w:sz w:val="22"/>
        </w:rPr>
        <w:t>3D-printing av designede strukturer med valgt teknologi og materiale.</w:t>
      </w:r>
    </w:p>
    <w:p>
      <w:pPr>
        <w:pStyle w:val="ListBullet"/>
        <w:spacing w:after="40"/>
      </w:pPr>
      <w:r>
        <w:rPr>
          <w:sz w:val="22"/>
        </w:rPr>
        <w:t>Metallisering av printede strukturer iht. prosess fra AP2.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Leveranse:</w:t>
      </w:r>
      <w:r>
        <w:rPr>
          <w:sz w:val="22"/>
        </w:rPr>
        <w:t xml:space="preserve"> Sett med metalliserte teststrukturer klare for RF-måling.</w:t>
      </w:r>
    </w:p>
    <w:p>
      <w:pPr>
        <w:pStyle w:val="Heading3"/>
        <w:spacing w:before="160" w:after="40"/>
      </w:pPr>
      <w:r>
        <w:rPr>
          <w:color w:val="004080"/>
          <w:sz w:val="24"/>
        </w:rPr>
        <w:t>AP4 – RF-karakterisering og validering *(Måned 10–15)*</w:t>
      </w:r>
    </w:p>
    <w:p>
      <w:pPr>
        <w:pStyle w:val="ListBullet"/>
        <w:spacing w:after="40"/>
      </w:pPr>
      <w:r>
        <w:rPr>
          <w:sz w:val="22"/>
        </w:rPr>
        <w:t>Måling av S-parametere, innsettingstap, refleksjonskoeffisient og strålemønster.</w:t>
      </w:r>
    </w:p>
    <w:p>
      <w:pPr>
        <w:pStyle w:val="ListBullet"/>
        <w:spacing w:after="40"/>
      </w:pPr>
      <w:r>
        <w:rPr>
          <w:sz w:val="22"/>
        </w:rPr>
        <w:t>Sammenligning mot simulerte resultater og ytelse til kommersielle referansekomponenter.</w:t>
      </w:r>
    </w:p>
    <w:p>
      <w:pPr>
        <w:pStyle w:val="ListBullet"/>
        <w:spacing w:after="40"/>
      </w:pPr>
      <w:r>
        <w:rPr>
          <w:sz w:val="22"/>
        </w:rPr>
        <w:t>Identifisering av forbedringsområder og iterasjon av prosess/design.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Leveranse:</w:t>
      </w:r>
      <w:r>
        <w:rPr>
          <w:sz w:val="22"/>
        </w:rPr>
        <w:t xml:space="preserve"> Målerrapport og validert prosess.</w:t>
      </w:r>
    </w:p>
    <w:p>
      <w:pPr>
        <w:pStyle w:val="Heading3"/>
        <w:spacing w:before="160" w:after="40"/>
      </w:pPr>
      <w:r>
        <w:rPr>
          <w:color w:val="004080"/>
          <w:sz w:val="24"/>
        </w:rPr>
        <w:t>AP5 – Oppskalering og integrasjon *(Måned 13–18)*</w:t>
      </w:r>
    </w:p>
    <w:p>
      <w:pPr>
        <w:pStyle w:val="ListBullet"/>
        <w:spacing w:after="40"/>
      </w:pPr>
      <w:r>
        <w:rPr>
          <w:sz w:val="22"/>
        </w:rPr>
        <w:t>Produksjon av prototype for integrering i reelt produkt (drone/farkost).</w:t>
      </w:r>
    </w:p>
    <w:p>
      <w:pPr>
        <w:pStyle w:val="ListBullet"/>
        <w:spacing w:after="40"/>
      </w:pPr>
      <w:r>
        <w:rPr>
          <w:sz w:val="22"/>
        </w:rPr>
        <w:t>Vektmåling og sammenligning mot konvensjonelle løsninger.</w:t>
      </w:r>
    </w:p>
    <w:p>
      <w:pPr>
        <w:pStyle w:val="ListBullet"/>
        <w:spacing w:after="40"/>
      </w:pPr>
      <w:r>
        <w:rPr>
          <w:sz w:val="22"/>
        </w:rPr>
        <w:t>Evaluering av aerodynamisk formtilpasning.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Leveranse:</w:t>
      </w:r>
      <w:r>
        <w:rPr>
          <w:sz w:val="22"/>
        </w:rPr>
        <w:t xml:space="preserve"> Integrert prototypeantenne og sluttrapport.</w:t>
      </w:r>
    </w:p>
    <w:p/>
    <w:p>
      <w:pPr>
        <w:pStyle w:val="Heading2"/>
        <w:spacing w:before="200" w:after="80"/>
      </w:pPr>
      <w:r>
        <w:rPr>
          <w:color w:val="003366"/>
          <w:sz w:val="28"/>
        </w:rPr>
        <w:t>6. Forventet resultat og nytteverdi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366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003366"/>
          </w:tcPr>
          <w:p>
            <w:r>
              <w:rPr>
                <w:b/>
                <w:color w:val="FFFFFF"/>
                <w:sz w:val="20"/>
              </w:rPr>
              <w:t>Mål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Vektreduksjon vs. maskinert metall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&gt; 60 %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Innsettingstap vs. kommersiell komponent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Tilsvarende eller bedre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Kostnad per komponent vs. innkjøp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Reduksjon &gt; 50 %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Utviklingstid for ny antennevariant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&lt; 2 uker (fra design til ferdig komponent)</w:t>
            </w:r>
          </w:p>
        </w:tc>
      </w:tr>
    </w:tbl>
    <w:p/>
    <w:p>
      <w:pPr>
        <w:spacing w:after="80"/>
      </w:pPr>
      <w:r>
        <w:rPr>
          <w:sz w:val="22"/>
        </w:rPr>
        <w:t>Prosjektet vil resultere i:</w:t>
      </w:r>
    </w:p>
    <w:p>
      <w:pPr>
        <w:pStyle w:val="ListBullet"/>
        <w:spacing w:after="40"/>
      </w:pPr>
      <w:r>
        <w:rPr>
          <w:sz w:val="22"/>
        </w:rPr>
        <w:t>Intern kompetanse og dokumentert prosess for metallisering av 3D-printede RF-strukturer.</w:t>
      </w:r>
    </w:p>
    <w:p>
      <w:pPr>
        <w:pStyle w:val="ListBullet"/>
        <w:spacing w:after="40"/>
      </w:pPr>
      <w:r>
        <w:rPr>
          <w:sz w:val="22"/>
        </w:rPr>
        <w:t>Redusert avhengighet av utenlandske leverandører.</w:t>
      </w:r>
    </w:p>
    <w:p>
      <w:pPr>
        <w:pStyle w:val="ListBullet"/>
        <w:spacing w:after="40"/>
      </w:pPr>
      <w:r>
        <w:rPr>
          <w:sz w:val="22"/>
        </w:rPr>
        <w:t>Grunnlag for å tilby spesialtilpassede antenneløsninger som ny produktkategori.</w:t>
      </w:r>
    </w:p>
    <w:p/>
    <w:p>
      <w:pPr>
        <w:pStyle w:val="Heading2"/>
        <w:spacing w:before="200" w:after="80"/>
      </w:pPr>
      <w:r>
        <w:rPr>
          <w:color w:val="003366"/>
          <w:sz w:val="28"/>
        </w:rPr>
        <w:t>7. Prosjektets FoU-karakter</w:t>
      </w:r>
    </w:p>
    <w:p>
      <w:pPr>
        <w:spacing w:after="80"/>
      </w:pPr>
      <w:r>
        <w:rPr>
          <w:sz w:val="22"/>
        </w:rPr>
        <w:t>Prosjektet går utover kjent kunnskap ved at:</w:t>
      </w:r>
    </w:p>
    <w:p>
      <w:pPr>
        <w:pStyle w:val="ListBullet"/>
        <w:spacing w:after="40"/>
      </w:pPr>
      <w:r>
        <w:rPr>
          <w:sz w:val="22"/>
        </w:rPr>
        <w:t>Det ikke finnes etablerte, kommersielt tilgjengelige prosesser for metallisering av 3D-printede strukturer med de toleransekrav som kreves for presisjons-waveguidekomponenter i mikrobølgeområdet.</w:t>
      </w:r>
    </w:p>
    <w:p>
      <w:pPr>
        <w:pStyle w:val="ListBullet"/>
        <w:spacing w:after="40"/>
      </w:pPr>
      <w:r>
        <w:rPr>
          <w:sz w:val="22"/>
        </w:rPr>
        <w:t>Kombinasjonen av additiv produksjon, forbehandling, elektrolytisk metallisering og RF-validering for denne komponentklassen representerer et uavklart teknologisk problemområde.</w:t>
      </w:r>
    </w:p>
    <w:p>
      <w:pPr>
        <w:pStyle w:val="ListBullet"/>
        <w:spacing w:after="40"/>
      </w:pPr>
      <w:r>
        <w:rPr>
          <w:sz w:val="22"/>
        </w:rPr>
        <w:t>Resultatene vil ha overføringsverdi til bransjen og bidra til norsk kompetansebygging innen avansert produksjonsteknologi for forsvarselektronikk og romfart.</w:t>
      </w:r>
    </w:p>
    <w:p/>
    <w:p>
      <w:pPr>
        <w:pStyle w:val="Heading2"/>
        <w:spacing w:before="200" w:after="80"/>
      </w:pPr>
      <w:r>
        <w:rPr>
          <w:color w:val="003366"/>
          <w:sz w:val="28"/>
        </w:rPr>
        <w:t>8. Budsjett (estimat)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366"/>
          </w:tcPr>
          <w:p>
            <w:r>
              <w:rPr>
                <w:b/>
                <w:color w:val="FFFFFF"/>
                <w:sz w:val="20"/>
              </w:rPr>
              <w:t>Post</w:t>
            </w:r>
          </w:p>
        </w:tc>
        <w:tc>
          <w:tcPr>
            <w:tcW w:type="dxa" w:w="4703"/>
            <w:shd w:val="clear" w:color="auto" w:fill="003366"/>
          </w:tcPr>
          <w:p>
            <w:r>
              <w:rPr>
                <w:b/>
                <w:color w:val="FFFFFF"/>
                <w:sz w:val="20"/>
              </w:rPr>
              <w:t>Kostnad (NOK)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Personalkostnader (ingeniør/forsker, ~1 årsverk)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1 200 000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3D-printer (SLA/høyoppløsning)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150 000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Metalliseringsutstyr og kjemikalier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200 000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RF-måleutstyr / leiemålinger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150 000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Materialer og forbruksartikler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80 000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Reise / kurs / ekstern kompetanse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70 000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Uforutsett (10 %)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185 000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**Totalt**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**2 035 000**</w:t>
            </w:r>
          </w:p>
        </w:tc>
      </w:tr>
    </w:tbl>
    <w:p/>
    <w:p>
      <w:pPr>
        <w:spacing w:after="80"/>
      </w:pPr>
      <w:r>
        <w:rPr>
          <w:sz w:val="22"/>
        </w:rPr>
        <w:t>*Skattefunn-fradrag (19 % av godkjent kostnad, maks NOK 8 mill.): ca. NOK 387 000*</w:t>
      </w:r>
    </w:p>
    <w:p/>
    <w:p>
      <w:pPr>
        <w:pStyle w:val="Heading2"/>
        <w:spacing w:before="200" w:after="80"/>
      </w:pPr>
      <w:r>
        <w:rPr>
          <w:color w:val="003366"/>
          <w:sz w:val="28"/>
        </w:rPr>
        <w:t>9. Tidsplan</w:t>
      </w:r>
    </w:p>
    <w:p>
      <w:pPr>
        <w:spacing w:after="120"/>
      </w:pPr>
      <w:r>
        <w:rPr>
          <w:rFonts w:ascii="Courier New" w:hAnsi="Courier New"/>
          <w:sz w:val="16"/>
        </w:rPr>
        <w:t>Måned:    1  2  3  4  5  6  7  8  9 10 11 12 13 14 15 16 17 18</w:t>
        <w:br/>
        <w:t>AP1       XXXXXXXXXXXX</w:t>
        <w:br/>
        <w:t>AP2                XXXXXXXXXXXXXXXXXX</w:t>
        <w:br/>
        <w:t>AP3                         XXXXXXXXXXXXXXXXX</w:t>
        <w:br/>
        <w:t>AP4                                     XXXXXXXXXXXX</w:t>
        <w:br/>
        <w:t>AP5                                              XXXXXXXXXXXX</w:t>
      </w:r>
    </w:p>
    <w:p/>
    <w:p>
      <w:pPr>
        <w:pStyle w:val="Heading2"/>
        <w:spacing w:before="200" w:after="80"/>
      </w:pPr>
      <w:r>
        <w:rPr>
          <w:color w:val="003366"/>
          <w:sz w:val="28"/>
        </w:rPr>
        <w:t>10. Prosjektorganisering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Prosjektleder:</w:t>
      </w:r>
      <w:r>
        <w:rPr>
          <w:sz w:val="22"/>
        </w:rPr>
        <w:t xml:space="preserve"> [Navn] – ansvarlig for fremdrift, rapportering og koordinering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RF-ingeniør:</w:t>
      </w:r>
      <w:r>
        <w:rPr>
          <w:sz w:val="22"/>
        </w:rPr>
        <w:t xml:space="preserve"> Ansvarlig for elektromagnetisk design og RF-måling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Produksjonstekniker:</w:t>
      </w:r>
      <w:r>
        <w:rPr>
          <w:sz w:val="22"/>
        </w:rPr>
        <w:t xml:space="preserve"> Ansvarlig for 3D-printing og metalliseringsprosess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Ekstern kompetanse:</w:t>
      </w:r>
      <w:r>
        <w:rPr>
          <w:sz w:val="22"/>
        </w:rPr>
        <w:t xml:space="preserve"> Samarbeid med universitet/SINTEF vurderes for metalliseringsdelen</w:t>
      </w:r>
    </w:p>
    <w:p/>
    <w:p>
      <w:pPr>
        <w:spacing w:after="80"/>
      </w:pPr>
      <w:r>
        <w:rPr>
          <w:sz w:val="22"/>
        </w:rPr>
        <w:t>*Søknaden sendes via Norges forskningsråds søknadsportal: [www.forskningsradet.no/skattefunn](https://www.forskningsradet.no/skattefunn)*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