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358DD3" w14:textId="77777777" w:rsidR="00D92BDF" w:rsidRDefault="00D92BDF">
      <w:pPr>
        <w:pStyle w:val="BodyText"/>
        <w:spacing w:before="6" w:after="1"/>
        <w:rPr>
          <w:rFonts w:ascii="Times New Roman"/>
          <w:sz w:val="9"/>
        </w:rPr>
      </w:pPr>
    </w:p>
    <w:tbl>
      <w:tblPr>
        <w:tblStyle w:val="TableNormal1"/>
        <w:tblW w:w="0" w:type="auto"/>
        <w:tblInd w:w="120" w:type="dxa"/>
        <w:tblLayout w:type="fixed"/>
        <w:tblLook w:val="01E0" w:firstRow="1" w:lastRow="1" w:firstColumn="1" w:lastColumn="1" w:noHBand="0" w:noVBand="0"/>
      </w:tblPr>
      <w:tblGrid>
        <w:gridCol w:w="7960"/>
        <w:gridCol w:w="2097"/>
      </w:tblGrid>
      <w:tr w:rsidR="00D92BDF" w:rsidRPr="000103E8" w14:paraId="188B2DDD" w14:textId="77777777" w:rsidTr="006B0E43">
        <w:trPr>
          <w:trHeight w:val="833"/>
        </w:trPr>
        <w:tc>
          <w:tcPr>
            <w:tcW w:w="7960" w:type="dxa"/>
          </w:tcPr>
          <w:p w14:paraId="3F8EB59D" w14:textId="77777777" w:rsidR="00D92BDF" w:rsidRDefault="006B0E43" w:rsidP="006B0E43">
            <w:pPr>
              <w:rPr>
                <w:rFonts w:ascii="Arial" w:hAnsi="Arial" w:cs="Arial"/>
                <w:sz w:val="40"/>
                <w:szCs w:val="40"/>
                <w:lang w:val="da-DK"/>
              </w:rPr>
            </w:pPr>
            <w:r w:rsidRPr="000103E8">
              <w:rPr>
                <w:rFonts w:ascii="Arial" w:hAnsi="Arial" w:cs="Arial"/>
                <w:sz w:val="40"/>
                <w:szCs w:val="40"/>
                <w:lang w:val="da-DK"/>
              </w:rPr>
              <w:t>Bilag 1: Eksempel</w:t>
            </w:r>
            <w:r>
              <w:rPr>
                <w:rFonts w:ascii="Arial" w:hAnsi="Arial" w:cs="Arial"/>
                <w:sz w:val="40"/>
                <w:szCs w:val="40"/>
                <w:lang w:val="da-DK"/>
              </w:rPr>
              <w:t xml:space="preserve"> på risikovurderingsmetode – bør justeres til organisations kontekst før brug</w:t>
            </w:r>
          </w:p>
          <w:p w14:paraId="60DA1955" w14:textId="77777777" w:rsidR="006B0E43" w:rsidRPr="006B0E43" w:rsidRDefault="006B0E43" w:rsidP="006B0E43">
            <w:pPr>
              <w:rPr>
                <w:rFonts w:ascii="Arial" w:hAnsi="Arial" w:cs="Arial"/>
                <w:sz w:val="40"/>
                <w:szCs w:val="40"/>
                <w:lang w:val="da-DK"/>
              </w:rPr>
            </w:pPr>
          </w:p>
        </w:tc>
        <w:tc>
          <w:tcPr>
            <w:tcW w:w="2097" w:type="dxa"/>
          </w:tcPr>
          <w:p w14:paraId="2A0AAECB" w14:textId="77777777" w:rsidR="006B0E43" w:rsidRPr="000103E8" w:rsidRDefault="006B0E43" w:rsidP="006B0E43">
            <w:pPr>
              <w:pStyle w:val="TableParagraph"/>
              <w:spacing w:before="2" w:line="249" w:lineRule="auto"/>
              <w:ind w:right="383"/>
              <w:rPr>
                <w:sz w:val="24"/>
                <w:lang w:val="da-DK"/>
              </w:rPr>
            </w:pPr>
          </w:p>
          <w:p w14:paraId="76E05E36" w14:textId="77777777" w:rsidR="00D92BDF" w:rsidRPr="000103E8" w:rsidRDefault="00D92BDF">
            <w:pPr>
              <w:pStyle w:val="TableParagraph"/>
              <w:spacing w:line="250" w:lineRule="exact"/>
              <w:ind w:left="3546"/>
              <w:rPr>
                <w:sz w:val="24"/>
                <w:lang w:val="da-DK"/>
              </w:rPr>
            </w:pPr>
          </w:p>
        </w:tc>
      </w:tr>
    </w:tbl>
    <w:p w14:paraId="2E6B2EA9" w14:textId="77777777" w:rsidR="00D92BDF" w:rsidRPr="000103E8" w:rsidRDefault="00D92BDF">
      <w:pPr>
        <w:pStyle w:val="BodyText"/>
        <w:rPr>
          <w:rFonts w:ascii="Times New Roman"/>
          <w:sz w:val="20"/>
          <w:lang w:val="da-DK"/>
        </w:rPr>
      </w:pPr>
    </w:p>
    <w:p w14:paraId="60E9C5C9" w14:textId="77777777" w:rsidR="00D92BDF" w:rsidRPr="000103E8" w:rsidRDefault="00000000">
      <w:pPr>
        <w:pStyle w:val="Title"/>
        <w:rPr>
          <w:lang w:val="da-DK"/>
        </w:rPr>
      </w:pPr>
      <w:r>
        <w:pict w14:anchorId="0355994C">
          <v:rect id="_x0000_s2089" style="position:absolute;left:0;text-align:left;margin-left:56.65pt;margin-top:-13.6pt;width:382.3pt;height:.5pt;z-index:-15989248;mso-position-horizontal-relative:page" fillcolor="black" stroked="f">
            <w10:wrap anchorx="page"/>
          </v:rect>
        </w:pict>
      </w:r>
      <w:r w:rsidR="00944A9A" w:rsidRPr="000103E8">
        <w:rPr>
          <w:lang w:val="da-DK"/>
        </w:rPr>
        <w:t>Metode for detaljerede risikovurderinger (Version 1.0)</w:t>
      </w:r>
    </w:p>
    <w:p w14:paraId="05E6B3F5" w14:textId="77777777" w:rsidR="00D92BDF" w:rsidRPr="000103E8" w:rsidRDefault="00D92BDF">
      <w:pPr>
        <w:pStyle w:val="BodyText"/>
        <w:rPr>
          <w:rFonts w:ascii="Arial"/>
          <w:sz w:val="20"/>
          <w:lang w:val="da-DK"/>
        </w:rPr>
      </w:pPr>
    </w:p>
    <w:p w14:paraId="7E926C15" w14:textId="77777777" w:rsidR="00D92BDF" w:rsidRPr="000103E8" w:rsidRDefault="00000000">
      <w:pPr>
        <w:pStyle w:val="BodyText"/>
        <w:spacing w:before="2"/>
        <w:rPr>
          <w:rFonts w:ascii="Arial"/>
          <w:sz w:val="18"/>
          <w:lang w:val="da-DK"/>
        </w:rPr>
      </w:pPr>
      <w:r>
        <w:pict w14:anchorId="4EDD5D18">
          <v:shapetype id="_x0000_t202" coordsize="21600,21600" o:spt="202" path="m,l,21600r21600,l21600,xe">
            <v:stroke joinstyle="miter"/>
            <v:path gradientshapeok="t" o:connecttype="rect"/>
          </v:shapetype>
          <v:shape id="_x0000_s2088" type="#_x0000_t202" style="position:absolute;margin-left:56.7pt;margin-top:12.8pt;width:429pt;height:61.3pt;z-index:-15728640;mso-wrap-distance-left:0;mso-wrap-distance-right:0;mso-position-horizontal-relative:page" filled="f">
            <v:textbox inset="0,0,0,0">
              <w:txbxContent>
                <w:p w14:paraId="6CA6B0DF" w14:textId="77777777" w:rsidR="00D92BDF" w:rsidRPr="006B0E43" w:rsidRDefault="00944A9A">
                  <w:pPr>
                    <w:spacing w:before="73" w:line="259" w:lineRule="auto"/>
                    <w:ind w:left="142" w:right="1725"/>
                    <w:rPr>
                      <w:lang w:val="da-DK"/>
                    </w:rPr>
                  </w:pPr>
                  <w:r w:rsidRPr="000103E8">
                    <w:rPr>
                      <w:u w:val="single"/>
                      <w:lang w:val="da-DK"/>
                    </w:rPr>
                    <w:t>Ejer af procedure/metode:</w:t>
                  </w:r>
                  <w:r w:rsidRPr="000103E8">
                    <w:rPr>
                      <w:lang w:val="da-DK"/>
                    </w:rPr>
                    <w:t xml:space="preserve"> </w:t>
                  </w:r>
                  <w:r w:rsidR="006B0E43" w:rsidRPr="000103E8">
                    <w:rPr>
                      <w:lang w:val="da-DK"/>
                    </w:rPr>
                    <w:t>[kontor/enhed]</w:t>
                  </w:r>
                  <w:r w:rsidR="006B0E43" w:rsidRPr="000103E8">
                    <w:rPr>
                      <w:lang w:val="da-DK"/>
                    </w:rPr>
                    <w:br/>
                  </w:r>
                  <w:r w:rsidRPr="000103E8">
                    <w:rPr>
                      <w:u w:val="single"/>
                      <w:lang w:val="da-DK"/>
                    </w:rPr>
                    <w:t>Dato for ikrafttrældelse:</w:t>
                  </w:r>
                  <w:r w:rsidRPr="000103E8">
                    <w:rPr>
                      <w:lang w:val="da-DK"/>
                    </w:rPr>
                    <w:t xml:space="preserve"> </w:t>
                  </w:r>
                  <w:r w:rsidR="006B0E43">
                    <w:rPr>
                      <w:lang w:val="da-DK"/>
                    </w:rPr>
                    <w:t>[dato]</w:t>
                  </w:r>
                </w:p>
                <w:p w14:paraId="51DC54D8" w14:textId="77777777" w:rsidR="00D92BDF" w:rsidRPr="000103E8" w:rsidRDefault="00944A9A">
                  <w:pPr>
                    <w:spacing w:line="246" w:lineRule="exact"/>
                    <w:ind w:left="142"/>
                    <w:rPr>
                      <w:lang w:val="da-DK"/>
                    </w:rPr>
                  </w:pPr>
                  <w:r w:rsidRPr="000103E8">
                    <w:rPr>
                      <w:u w:val="single"/>
                      <w:lang w:val="da-DK"/>
                    </w:rPr>
                    <w:t>Godkendt af:</w:t>
                  </w:r>
                  <w:r w:rsidRPr="000103E8">
                    <w:rPr>
                      <w:lang w:val="da-DK"/>
                    </w:rPr>
                    <w:t xml:space="preserve"> </w:t>
                  </w:r>
                  <w:r w:rsidR="006B0E43" w:rsidRPr="000103E8">
                    <w:rPr>
                      <w:lang w:val="da-DK"/>
                    </w:rPr>
                    <w:t>[Informationssikkerhedsudvalget]</w:t>
                  </w:r>
                </w:p>
                <w:p w14:paraId="0CAFC9CC" w14:textId="77777777" w:rsidR="00D92BDF" w:rsidRPr="000103E8" w:rsidRDefault="00944A9A">
                  <w:pPr>
                    <w:spacing w:before="21"/>
                    <w:ind w:left="142"/>
                    <w:rPr>
                      <w:lang w:val="da-DK"/>
                    </w:rPr>
                  </w:pPr>
                  <w:r w:rsidRPr="000103E8">
                    <w:rPr>
                      <w:u w:val="single"/>
                      <w:lang w:val="da-DK"/>
                    </w:rPr>
                    <w:t>Næste planlagte revision:</w:t>
                  </w:r>
                  <w:r w:rsidRPr="000103E8">
                    <w:rPr>
                      <w:lang w:val="da-DK"/>
                    </w:rPr>
                    <w:t xml:space="preserve"> </w:t>
                  </w:r>
                  <w:r w:rsidR="006B0E43">
                    <w:rPr>
                      <w:lang w:val="da-DK"/>
                    </w:rPr>
                    <w:t>[dato]</w:t>
                  </w:r>
                </w:p>
              </w:txbxContent>
            </v:textbox>
            <w10:wrap type="topAndBottom" anchorx="page"/>
          </v:shape>
        </w:pict>
      </w:r>
    </w:p>
    <w:p w14:paraId="1B7F05A5" w14:textId="77777777" w:rsidR="006B0E43" w:rsidRPr="000103E8" w:rsidRDefault="006B0E43">
      <w:pPr>
        <w:spacing w:before="111"/>
        <w:ind w:left="312"/>
        <w:rPr>
          <w:i/>
          <w:sz w:val="24"/>
          <w:lang w:val="da-DK"/>
        </w:rPr>
      </w:pPr>
    </w:p>
    <w:p w14:paraId="7308429C" w14:textId="77777777" w:rsidR="00D92BDF" w:rsidRPr="000103E8" w:rsidRDefault="00944A9A">
      <w:pPr>
        <w:spacing w:before="111"/>
        <w:ind w:left="312"/>
        <w:rPr>
          <w:i/>
          <w:sz w:val="24"/>
          <w:lang w:val="da-DK"/>
        </w:rPr>
      </w:pPr>
      <w:r w:rsidRPr="000103E8">
        <w:rPr>
          <w:i/>
          <w:sz w:val="24"/>
          <w:lang w:val="da-DK"/>
        </w:rPr>
        <w:t>Indledning</w:t>
      </w:r>
    </w:p>
    <w:p w14:paraId="1EF0594E" w14:textId="77777777" w:rsidR="00D92BDF" w:rsidRPr="000103E8" w:rsidRDefault="00D92BDF">
      <w:pPr>
        <w:pStyle w:val="BodyText"/>
        <w:spacing w:before="10"/>
        <w:rPr>
          <w:i/>
          <w:sz w:val="25"/>
          <w:lang w:val="da-DK"/>
        </w:rPr>
      </w:pPr>
    </w:p>
    <w:p w14:paraId="059EB7EB" w14:textId="77777777" w:rsidR="00D92BDF" w:rsidRPr="000103E8" w:rsidRDefault="00944A9A">
      <w:pPr>
        <w:pStyle w:val="BodyText"/>
        <w:spacing w:line="249" w:lineRule="auto"/>
        <w:ind w:left="312" w:right="826"/>
        <w:rPr>
          <w:lang w:val="da-DK"/>
        </w:rPr>
      </w:pPr>
      <w:r w:rsidRPr="000103E8">
        <w:rPr>
          <w:lang w:val="da-DK"/>
        </w:rPr>
        <w:t xml:space="preserve">I det følgende beskrives </w:t>
      </w:r>
      <w:r w:rsidR="006B0E43">
        <w:rPr>
          <w:lang w:val="da-DK"/>
        </w:rPr>
        <w:t>[organisationens]</w:t>
      </w:r>
      <w:r w:rsidRPr="000103E8">
        <w:rPr>
          <w:lang w:val="da-DK"/>
        </w:rPr>
        <w:t xml:space="preserve"> metode for detaljerede, systemnære risikovurderinger på informationssikkerhedsområdet samt for vurdering af risici for de registrerede. Modellen vedrører både risikovurderinger af it-nyanskaffelser og systemer, der er i drift.</w:t>
      </w:r>
    </w:p>
    <w:p w14:paraId="350256CA" w14:textId="77777777" w:rsidR="00D92BDF" w:rsidRPr="000103E8" w:rsidRDefault="00D92BDF">
      <w:pPr>
        <w:pStyle w:val="BodyText"/>
        <w:spacing w:before="8"/>
        <w:rPr>
          <w:lang w:val="da-DK"/>
        </w:rPr>
      </w:pPr>
    </w:p>
    <w:p w14:paraId="35C84180" w14:textId="77777777" w:rsidR="00D92BDF" w:rsidRPr="000103E8" w:rsidRDefault="00944A9A">
      <w:pPr>
        <w:pStyle w:val="BodyText"/>
        <w:spacing w:before="1" w:line="249" w:lineRule="auto"/>
        <w:ind w:left="312" w:right="571"/>
        <w:rPr>
          <w:lang w:val="da-DK"/>
        </w:rPr>
      </w:pPr>
      <w:r w:rsidRPr="000103E8">
        <w:rPr>
          <w:lang w:val="da-DK"/>
        </w:rPr>
        <w:t>De to typer består af de samme grundelementer, som er beskrevet i det følgende, men afviger alligevel fra hinanden i forhold til ansvar, sikkerhedskrav, mv. Processerne for hver type beskrives derfor særskilt i bilag 1 og 2 nedenfor.</w:t>
      </w:r>
    </w:p>
    <w:p w14:paraId="5E85953A" w14:textId="77777777" w:rsidR="00D92BDF" w:rsidRPr="000103E8" w:rsidRDefault="00D92BDF">
      <w:pPr>
        <w:pStyle w:val="BodyText"/>
        <w:spacing w:before="5"/>
        <w:rPr>
          <w:lang w:val="da-DK"/>
        </w:rPr>
      </w:pPr>
    </w:p>
    <w:p w14:paraId="45BAC815" w14:textId="77777777" w:rsidR="00D92BDF" w:rsidRPr="000103E8" w:rsidRDefault="00944A9A">
      <w:pPr>
        <w:spacing w:before="1"/>
        <w:ind w:left="312"/>
        <w:rPr>
          <w:i/>
          <w:sz w:val="24"/>
          <w:lang w:val="da-DK"/>
        </w:rPr>
      </w:pPr>
      <w:r w:rsidRPr="000103E8">
        <w:rPr>
          <w:i/>
          <w:sz w:val="24"/>
          <w:lang w:val="da-DK"/>
        </w:rPr>
        <w:t>Baggrund</w:t>
      </w:r>
    </w:p>
    <w:p w14:paraId="299AAAB1" w14:textId="77777777" w:rsidR="00D92BDF" w:rsidRPr="000103E8" w:rsidRDefault="00D92BDF">
      <w:pPr>
        <w:pStyle w:val="BodyText"/>
        <w:spacing w:before="10"/>
        <w:rPr>
          <w:i/>
          <w:sz w:val="25"/>
          <w:lang w:val="da-DK"/>
        </w:rPr>
      </w:pPr>
    </w:p>
    <w:p w14:paraId="2D9312B5" w14:textId="77777777" w:rsidR="00D92BDF" w:rsidRPr="000103E8" w:rsidRDefault="00944A9A">
      <w:pPr>
        <w:pStyle w:val="BodyText"/>
        <w:spacing w:line="249" w:lineRule="auto"/>
        <w:ind w:left="312" w:right="674"/>
        <w:rPr>
          <w:lang w:val="da-DK"/>
        </w:rPr>
      </w:pPr>
      <w:r w:rsidRPr="000103E8">
        <w:rPr>
          <w:lang w:val="da-DK"/>
        </w:rPr>
        <w:t>Risikovurderingerne er et praktisk værktøj til at identificere hvilke forhold og sårbarheder ved et system, der kræver overvågning eller handling og derved et beslutningsgrundlag for styring og prioritering af informationssikkerhedsarbejdet ud fra et risikobaseret grundlag, jf. koncernfælles informationssikkerhedspolitik samt den internationale informationssikkerhedsstandard ISO 27001.</w:t>
      </w:r>
    </w:p>
    <w:p w14:paraId="7E416B63" w14:textId="77777777" w:rsidR="00D92BDF" w:rsidRPr="000103E8" w:rsidRDefault="00D92BDF">
      <w:pPr>
        <w:pStyle w:val="BodyText"/>
        <w:spacing w:before="5"/>
        <w:rPr>
          <w:sz w:val="23"/>
          <w:lang w:val="da-DK"/>
        </w:rPr>
      </w:pPr>
    </w:p>
    <w:p w14:paraId="2EC1B9AA" w14:textId="77777777" w:rsidR="00D92BDF" w:rsidRPr="000103E8" w:rsidRDefault="00944A9A">
      <w:pPr>
        <w:pStyle w:val="BodyText"/>
        <w:spacing w:before="1" w:line="259" w:lineRule="auto"/>
        <w:ind w:left="312" w:right="549"/>
        <w:rPr>
          <w:lang w:val="da-DK"/>
        </w:rPr>
      </w:pPr>
      <w:r w:rsidRPr="000103E8">
        <w:rPr>
          <w:lang w:val="da-DK"/>
        </w:rPr>
        <w:t>Jævnfør databeskyttelsesforordningens artikel 32 skal den dataansvarlige etablere passende tekniske og organisatoriske foranstaltninger for at sikre et sikkerhedsniveau, der imødegår de risici, som behandlingen måtte medføre for de registrerede. Styrelsen skal som følge heraf foretage vurderinger af disse risici for at kunne fastlægge, hvilke foranstaltninger det er nødvendigt at etablere for at sikre de registreredes rettigheder.</w:t>
      </w:r>
    </w:p>
    <w:p w14:paraId="58FC7C9B" w14:textId="77777777" w:rsidR="00D92BDF" w:rsidRPr="000103E8" w:rsidRDefault="00944A9A">
      <w:pPr>
        <w:pStyle w:val="BodyText"/>
        <w:spacing w:before="171" w:line="247" w:lineRule="auto"/>
        <w:ind w:left="312" w:right="486"/>
        <w:rPr>
          <w:lang w:val="da-DK"/>
        </w:rPr>
      </w:pPr>
      <w:r w:rsidRPr="000103E8">
        <w:rPr>
          <w:lang w:val="da-DK"/>
        </w:rPr>
        <w:t>Der er i standarden ikke et fast krav om valg af metode. Nærværende metode er derfor udarbejdet med inspiration fra:</w:t>
      </w:r>
    </w:p>
    <w:p w14:paraId="69453BF2" w14:textId="77777777" w:rsidR="00D92BDF" w:rsidRPr="000103E8" w:rsidRDefault="00D92BDF">
      <w:pPr>
        <w:pStyle w:val="BodyText"/>
        <w:spacing w:before="6"/>
        <w:rPr>
          <w:lang w:val="da-DK"/>
        </w:rPr>
      </w:pPr>
    </w:p>
    <w:p w14:paraId="20199380" w14:textId="77777777" w:rsidR="00D92BDF" w:rsidRPr="000103E8" w:rsidRDefault="00944A9A">
      <w:pPr>
        <w:spacing w:line="279" w:lineRule="exact"/>
        <w:ind w:left="312"/>
        <w:rPr>
          <w:i/>
          <w:sz w:val="24"/>
          <w:lang w:val="da-DK"/>
        </w:rPr>
      </w:pPr>
      <w:r>
        <w:rPr>
          <w:rFonts w:ascii="Wingdings" w:hAnsi="Wingdings"/>
          <w:sz w:val="24"/>
        </w:rPr>
        <w:t></w:t>
      </w:r>
      <w:r w:rsidRPr="000103E8">
        <w:rPr>
          <w:rFonts w:ascii="Times New Roman" w:hAnsi="Times New Roman"/>
          <w:sz w:val="24"/>
          <w:lang w:val="da-DK"/>
        </w:rPr>
        <w:t xml:space="preserve"> </w:t>
      </w:r>
      <w:r w:rsidRPr="000103E8">
        <w:rPr>
          <w:i/>
          <w:sz w:val="24"/>
          <w:lang w:val="da-DK"/>
        </w:rPr>
        <w:t>Den internationale standard for risikostyring på informationssikkerhedsområdet ISO 27005</w:t>
      </w:r>
    </w:p>
    <w:p w14:paraId="103C4E26" w14:textId="77777777" w:rsidR="00D92BDF" w:rsidRPr="000103E8" w:rsidRDefault="00944A9A">
      <w:pPr>
        <w:spacing w:line="279" w:lineRule="exact"/>
        <w:ind w:left="312"/>
        <w:rPr>
          <w:i/>
          <w:sz w:val="24"/>
          <w:lang w:val="da-DK"/>
        </w:rPr>
      </w:pPr>
      <w:r>
        <w:rPr>
          <w:rFonts w:ascii="Wingdings" w:hAnsi="Wingdings"/>
          <w:sz w:val="24"/>
        </w:rPr>
        <w:t></w:t>
      </w:r>
      <w:r w:rsidRPr="000103E8">
        <w:rPr>
          <w:rFonts w:ascii="Times New Roman" w:hAnsi="Times New Roman"/>
          <w:sz w:val="24"/>
          <w:lang w:val="da-DK"/>
        </w:rPr>
        <w:t xml:space="preserve"> </w:t>
      </w:r>
      <w:r w:rsidR="00FE1833">
        <w:rPr>
          <w:i/>
          <w:sz w:val="24"/>
          <w:lang w:val="da-DK"/>
        </w:rPr>
        <w:t>V</w:t>
      </w:r>
      <w:r w:rsidRPr="000103E8">
        <w:rPr>
          <w:i/>
          <w:sz w:val="24"/>
          <w:lang w:val="da-DK"/>
        </w:rPr>
        <w:t>ejledning i udformning af risikostyringsarbejdet (offentlig tilgængelig på sikkerdigital.dk)</w:t>
      </w:r>
    </w:p>
    <w:p w14:paraId="748EC791" w14:textId="77777777" w:rsidR="00D92BDF" w:rsidRPr="000103E8" w:rsidRDefault="00944A9A">
      <w:pPr>
        <w:spacing w:before="2"/>
        <w:ind w:left="312"/>
        <w:rPr>
          <w:i/>
          <w:sz w:val="24"/>
          <w:lang w:val="da-DK"/>
        </w:rPr>
      </w:pPr>
      <w:r>
        <w:rPr>
          <w:rFonts w:ascii="Wingdings" w:hAnsi="Wingdings"/>
          <w:sz w:val="24"/>
        </w:rPr>
        <w:t></w:t>
      </w:r>
      <w:r w:rsidRPr="000103E8">
        <w:rPr>
          <w:rFonts w:ascii="Times New Roman" w:hAnsi="Times New Roman"/>
          <w:sz w:val="24"/>
          <w:lang w:val="da-DK"/>
        </w:rPr>
        <w:t xml:space="preserve"> </w:t>
      </w:r>
      <w:hyperlink r:id="rId7">
        <w:r w:rsidRPr="000103E8">
          <w:rPr>
            <w:i/>
            <w:sz w:val="24"/>
            <w:lang w:val="da-DK"/>
          </w:rPr>
          <w:t>Vejledende tekst om risikovurdering, Datatilsynet og Rådet for Digital Sikkerhed, Juni 2019</w:t>
        </w:r>
      </w:hyperlink>
    </w:p>
    <w:p w14:paraId="248AF59F" w14:textId="77777777" w:rsidR="00D92BDF" w:rsidRPr="000103E8" w:rsidRDefault="00000000">
      <w:pPr>
        <w:spacing w:before="1" w:line="247" w:lineRule="auto"/>
        <w:ind w:left="673" w:right="692" w:hanging="361"/>
        <w:rPr>
          <w:i/>
          <w:sz w:val="24"/>
          <w:lang w:val="da-DK"/>
        </w:rPr>
      </w:pPr>
      <w:hyperlink r:id="rId8">
        <w:r w:rsidR="00944A9A">
          <w:rPr>
            <w:rFonts w:ascii="Wingdings" w:hAnsi="Wingdings"/>
            <w:sz w:val="24"/>
          </w:rPr>
          <w:t></w:t>
        </w:r>
        <w:r w:rsidR="00944A9A" w:rsidRPr="000103E8">
          <w:rPr>
            <w:rFonts w:ascii="Times New Roman" w:hAnsi="Times New Roman"/>
            <w:sz w:val="24"/>
            <w:lang w:val="da-DK"/>
          </w:rPr>
          <w:t xml:space="preserve"> </w:t>
        </w:r>
        <w:r w:rsidR="00944A9A" w:rsidRPr="000103E8">
          <w:rPr>
            <w:i/>
            <w:sz w:val="24"/>
            <w:lang w:val="da-DK"/>
          </w:rPr>
          <w:t>Datatilsynet, Justitsministeriet, Digitaliseringsstyrelsen, Behandlingssikkerhed - Databeskyttelse gennem design og</w:t>
        </w:r>
      </w:hyperlink>
      <w:r w:rsidR="00944A9A" w:rsidRPr="000103E8">
        <w:rPr>
          <w:i/>
          <w:sz w:val="24"/>
          <w:lang w:val="da-DK"/>
        </w:rPr>
        <w:t xml:space="preserve"> </w:t>
      </w:r>
      <w:hyperlink r:id="rId9">
        <w:r w:rsidR="00944A9A" w:rsidRPr="000103E8">
          <w:rPr>
            <w:i/>
            <w:sz w:val="24"/>
            <w:lang w:val="da-DK"/>
          </w:rPr>
          <w:t>standardindstillinger, Juni 2018</w:t>
        </w:r>
      </w:hyperlink>
    </w:p>
    <w:p w14:paraId="01FD96A1" w14:textId="77777777" w:rsidR="00D92BDF" w:rsidRPr="000103E8" w:rsidRDefault="00D92BDF">
      <w:pPr>
        <w:pStyle w:val="BodyText"/>
        <w:rPr>
          <w:i/>
          <w:sz w:val="25"/>
          <w:lang w:val="da-DK"/>
        </w:rPr>
      </w:pPr>
    </w:p>
    <w:p w14:paraId="78884500" w14:textId="77777777" w:rsidR="00D92BDF" w:rsidRPr="000103E8" w:rsidRDefault="00944A9A">
      <w:pPr>
        <w:spacing w:before="1"/>
        <w:ind w:left="312"/>
        <w:rPr>
          <w:i/>
          <w:sz w:val="24"/>
          <w:lang w:val="da-DK"/>
        </w:rPr>
      </w:pPr>
      <w:r w:rsidRPr="000103E8">
        <w:rPr>
          <w:i/>
          <w:sz w:val="24"/>
          <w:lang w:val="da-DK"/>
        </w:rPr>
        <w:lastRenderedPageBreak/>
        <w:t>Roller og ansvar</w:t>
      </w:r>
    </w:p>
    <w:p w14:paraId="1ECBF8C8" w14:textId="77777777" w:rsidR="00D92BDF" w:rsidRPr="000103E8" w:rsidRDefault="00944A9A">
      <w:pPr>
        <w:pStyle w:val="BodyText"/>
        <w:spacing w:before="112" w:line="249" w:lineRule="auto"/>
        <w:ind w:left="312" w:right="419"/>
        <w:rPr>
          <w:lang w:val="da-DK"/>
        </w:rPr>
      </w:pPr>
      <w:r w:rsidRPr="000103E8">
        <w:rPr>
          <w:lang w:val="da-DK"/>
        </w:rPr>
        <w:t xml:space="preserve">Ansvaret for gennemførsel af risikovurderingen er placeret hos det fagkontor, der har ansvaret for det aktiv, der risikovurderes (fx systemejeren). Det er således fagkontorets ansvar at inddrage </w:t>
      </w:r>
      <w:r w:rsidR="00B9352A">
        <w:rPr>
          <w:lang w:val="da-DK"/>
        </w:rPr>
        <w:t>[kontor/enhed]</w:t>
      </w:r>
      <w:r w:rsidRPr="000103E8">
        <w:rPr>
          <w:lang w:val="da-DK"/>
        </w:rPr>
        <w:t xml:space="preserve"> ved it- nyanskaffelser, og såfremt kontoret vurderer, at et system i drift bør risikovurderes, og det ikke indgår i den årlige plan for risikovurderinger, som </w:t>
      </w:r>
      <w:r w:rsidR="00B9352A">
        <w:rPr>
          <w:lang w:val="da-DK"/>
        </w:rPr>
        <w:t>[kontor/enhed]</w:t>
      </w:r>
      <w:r w:rsidRPr="000103E8">
        <w:rPr>
          <w:lang w:val="da-DK"/>
        </w:rPr>
        <w:t xml:space="preserve"> udarbejder. </w:t>
      </w:r>
      <w:r w:rsidR="00B9352A">
        <w:rPr>
          <w:lang w:val="da-DK"/>
        </w:rPr>
        <w:t>[Kontor/enhed]</w:t>
      </w:r>
      <w:r w:rsidRPr="000103E8">
        <w:rPr>
          <w:lang w:val="da-DK"/>
        </w:rPr>
        <w:t xml:space="preserve"> faciliterer risikovurderingen og leverer en risikovurderingsrapport, hvori de identificerede risici og anbefalinger til sikkerhedsforanstaltninger eller krav til leverandøren fremlægges. Fagkontoret spiller en central rolle i vurderingen, da det er repræsentanter herfra, der skal foretage vurderingerne og sørge for, at </w:t>
      </w:r>
      <w:r w:rsidR="00B9352A">
        <w:rPr>
          <w:lang w:val="da-DK"/>
        </w:rPr>
        <w:t>[kontor/enhed]</w:t>
      </w:r>
      <w:r w:rsidRPr="000103E8">
        <w:rPr>
          <w:lang w:val="da-DK"/>
        </w:rPr>
        <w:t xml:space="preserve"> har tilstrækkelig information om systemet til at anbefale sikkerhedsforanstaltninger. </w:t>
      </w:r>
      <w:r w:rsidR="00B9352A">
        <w:rPr>
          <w:lang w:val="da-DK"/>
        </w:rPr>
        <w:t>[Juridisk kontor/enhed]</w:t>
      </w:r>
      <w:r w:rsidRPr="000103E8">
        <w:rPr>
          <w:lang w:val="da-DK"/>
        </w:rPr>
        <w:t xml:space="preserve"> understøtter vurderingen af risici for de registrerede samt gennemgår tjekliste for de registreredes rettigheder.</w:t>
      </w:r>
    </w:p>
    <w:p w14:paraId="1213CABB" w14:textId="77777777" w:rsidR="00D92BDF" w:rsidRPr="000103E8" w:rsidRDefault="00D92BDF">
      <w:pPr>
        <w:pStyle w:val="BodyText"/>
        <w:spacing w:before="4"/>
        <w:rPr>
          <w:lang w:val="da-DK"/>
        </w:rPr>
      </w:pPr>
    </w:p>
    <w:p w14:paraId="1C5512A5" w14:textId="77777777" w:rsidR="00D92BDF" w:rsidRPr="000103E8" w:rsidRDefault="00944A9A">
      <w:pPr>
        <w:pStyle w:val="BodyText"/>
        <w:spacing w:line="249" w:lineRule="auto"/>
        <w:ind w:left="312" w:right="401"/>
        <w:rPr>
          <w:lang w:val="da-DK"/>
        </w:rPr>
      </w:pPr>
      <w:r w:rsidRPr="000103E8">
        <w:rPr>
          <w:lang w:val="da-DK"/>
        </w:rPr>
        <w:t>Beslutningen om, hvilke af anbefalingerne der skal følges og implementeres, ligger hos risikoejeren. Risikoejeren er typisk den person, som en risikohændelse vil have en direkte konsekvens for, og dermed har ansvaret for at risikoen håndteres. Risikoejeren bør deltage i risikovurderingsworkshopperne, og indstiller til ledelsen om en risiko bør accepteres eller nedbringes/reduceres. Ansvaret for udarbejdelse af risikohåndteringsplan ligger dermed også hos risikoejer. Risikoejer kan være kontorchefen, en systemansvarlig, projektejer, direktøren mv., afhængigt af risikoen. Der kan være flere risikoejere i et projekt, men ikke flere ejere af en enkelt risiko.</w:t>
      </w:r>
    </w:p>
    <w:p w14:paraId="06B90BF4" w14:textId="77777777" w:rsidR="00D92BDF" w:rsidRPr="000103E8" w:rsidRDefault="00D92BDF">
      <w:pPr>
        <w:pStyle w:val="BodyText"/>
        <w:spacing w:before="4"/>
        <w:rPr>
          <w:lang w:val="da-DK"/>
        </w:rPr>
      </w:pPr>
    </w:p>
    <w:p w14:paraId="040C321D" w14:textId="77777777" w:rsidR="00D92BDF" w:rsidRPr="000103E8" w:rsidRDefault="00944A9A">
      <w:pPr>
        <w:ind w:left="312"/>
        <w:rPr>
          <w:i/>
          <w:sz w:val="24"/>
          <w:lang w:val="da-DK"/>
        </w:rPr>
      </w:pPr>
      <w:r w:rsidRPr="000103E8">
        <w:rPr>
          <w:i/>
          <w:sz w:val="24"/>
          <w:lang w:val="da-DK"/>
        </w:rPr>
        <w:t>Proces for risikovurdering</w:t>
      </w:r>
    </w:p>
    <w:p w14:paraId="62EB24ED" w14:textId="77777777" w:rsidR="00D92BDF" w:rsidRPr="000103E8" w:rsidRDefault="00D92BDF">
      <w:pPr>
        <w:pStyle w:val="BodyText"/>
        <w:spacing w:before="10"/>
        <w:rPr>
          <w:i/>
          <w:sz w:val="25"/>
          <w:lang w:val="da-DK"/>
        </w:rPr>
      </w:pPr>
    </w:p>
    <w:p w14:paraId="71F4803F" w14:textId="77777777" w:rsidR="00D92BDF" w:rsidRPr="000103E8" w:rsidRDefault="00944A9A">
      <w:pPr>
        <w:pStyle w:val="BodyText"/>
        <w:spacing w:before="1" w:line="247" w:lineRule="auto"/>
        <w:ind w:left="312" w:right="476"/>
        <w:rPr>
          <w:lang w:val="da-DK"/>
        </w:rPr>
      </w:pPr>
      <w:r w:rsidRPr="000103E8">
        <w:rPr>
          <w:lang w:val="da-DK"/>
        </w:rPr>
        <w:t xml:space="preserve">Risikovurderingen indeholder de samme grundlæggende elementer, uanset om det vedrører en nyanskaffelse eller et system i drift. Risici beregnes, som vist i nedenstående figur, ved en sammenkobling af konsekvens og sandsynlighed (trusler/sårbarheder), som identificeres af fagkontoret og med bistand fra </w:t>
      </w:r>
      <w:r w:rsidR="00B9352A">
        <w:rPr>
          <w:lang w:val="da-DK"/>
        </w:rPr>
        <w:t>[kontor/enhed]</w:t>
      </w:r>
      <w:r w:rsidRPr="000103E8">
        <w:rPr>
          <w:lang w:val="da-DK"/>
        </w:rPr>
        <w:t xml:space="preserve"> og </w:t>
      </w:r>
      <w:r w:rsidR="00B9352A">
        <w:rPr>
          <w:lang w:val="da-DK"/>
        </w:rPr>
        <w:t>[juridisk kontor/enhed]</w:t>
      </w:r>
      <w:r w:rsidRPr="000103E8">
        <w:rPr>
          <w:lang w:val="da-DK"/>
        </w:rPr>
        <w:t xml:space="preserve"> på en række workshops.</w:t>
      </w:r>
    </w:p>
    <w:p w14:paraId="4BE8DD28" w14:textId="77777777" w:rsidR="00D92BDF" w:rsidRPr="000103E8" w:rsidRDefault="00000000">
      <w:pPr>
        <w:pStyle w:val="BodyText"/>
        <w:spacing w:before="8"/>
        <w:rPr>
          <w:sz w:val="20"/>
          <w:lang w:val="da-DK"/>
        </w:rPr>
      </w:pPr>
      <w:r>
        <w:pict w14:anchorId="6EE221DC">
          <v:group id="_x0000_s2083" style="position:absolute;margin-left:63.7pt;margin-top:13.6pt;width:196.8pt;height:84.4pt;z-index:-15727616;mso-wrap-distance-left:0;mso-wrap-distance-right:0;mso-position-horizontal-relative:page" coordorigin="1274,272" coordsize="3936,1688">
            <v:shape id="_x0000_s2087" style="position:absolute;left:1284;top:282;width:3916;height:1668" coordorigin="1284,282" coordsize="3916,1668" o:spt="100" adj="0,,0" path="m1284,1109r4,-75l1298,960r17,-71l1338,820r30,-65l1403,692r40,-60l1488,576r51,-52l1593,477r59,-44l1714,395r66,-33l1850,334r72,-22l1997,295r77,-9l2153,282r79,4l2309,295r75,17l2456,334r69,28l2591,395r63,38l2713,477r54,47l2817,576r46,56l2903,692r35,63l2967,820r24,69l3008,960r10,74l3022,1109r-4,75l3008,1258r-17,71l2967,1397r-29,66l2903,1526r-40,60l2817,1642r-50,52l2713,1741r-59,43l2591,1823r-66,33l2456,1884r-72,22l2309,1922r-77,10l2153,1936r-79,-4l1997,1922r-75,-16l1850,1884r-70,-28l1714,1823r-62,-39l1593,1741r-54,-47l1488,1642r-45,-56l1403,1526r-35,-63l1338,1397r-23,-68l1298,1258r-10,-74l1284,1109xm3462,1123r3,-75l3476,975r17,-71l3516,835r29,-66l3580,706r41,-59l3666,591r50,-52l3771,491r58,-43l3892,409r66,-33l4027,348r72,-22l4174,310r77,-10l4330,297r80,3l4487,310r74,16l4634,348r69,28l4769,409r63,39l4890,491r55,48l4995,591r45,56l5081,706r35,63l5145,835r23,69l5185,975r11,73l5199,1123r-3,76l5185,1272r-17,71l5145,1412r-29,66l5081,1541r-41,59l4995,1656r-50,52l4890,1756r-58,43l4769,1837r-66,34l4634,1898r-73,23l4487,1937r-77,10l4330,1950r-79,-3l4174,1937r-75,-16l4027,1898r-69,-27l3892,1837r-63,-38l3771,1756r-55,-48l3666,1656r-45,-56l3580,1541r-35,-63l3516,1412r-23,-69l3476,1272r-11,-73l3462,1123xe" filled="f" strokeweight="1pt">
              <v:stroke joinstyle="round"/>
              <v:formulas/>
              <v:path arrowok="t" o:connecttype="segments"/>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86" type="#_x0000_t75" style="position:absolute;left:3093;top:1028;width:311;height:355">
              <v:imagedata r:id="rId10" o:title=""/>
            </v:shape>
            <v:shape id="_x0000_s2085" type="#_x0000_t202" style="position:absolute;left:1757;top:965;width:805;height:140" filled="f" stroked="f">
              <v:textbox inset="0,0,0,0">
                <w:txbxContent>
                  <w:p w14:paraId="36115D8E" w14:textId="77777777" w:rsidR="00D92BDF" w:rsidRDefault="00944A9A">
                    <w:pPr>
                      <w:spacing w:line="139" w:lineRule="exact"/>
                      <w:rPr>
                        <w:rFonts w:ascii="Calibri"/>
                        <w:sz w:val="14"/>
                      </w:rPr>
                    </w:pPr>
                    <w:r>
                      <w:rPr>
                        <w:rFonts w:ascii="Calibri"/>
                        <w:sz w:val="14"/>
                      </w:rPr>
                      <w:t>Konsekvenser</w:t>
                    </w:r>
                  </w:p>
                </w:txbxContent>
              </v:textbox>
            </v:shape>
            <v:shape id="_x0000_s2084" type="#_x0000_t202" style="position:absolute;left:3925;top:795;width:834;height:509" filled="f" stroked="f">
              <v:textbox inset="0,0,0,0">
                <w:txbxContent>
                  <w:p w14:paraId="3039243F" w14:textId="77777777" w:rsidR="00D92BDF" w:rsidRDefault="00944A9A">
                    <w:pPr>
                      <w:spacing w:line="142" w:lineRule="exact"/>
                      <w:rPr>
                        <w:rFonts w:ascii="Calibri"/>
                        <w:sz w:val="14"/>
                      </w:rPr>
                    </w:pPr>
                    <w:r>
                      <w:rPr>
                        <w:rFonts w:ascii="Calibri"/>
                        <w:sz w:val="14"/>
                      </w:rPr>
                      <w:t>Sandsynlighed</w:t>
                    </w:r>
                  </w:p>
                  <w:p w14:paraId="1B30531D" w14:textId="77777777" w:rsidR="00D92BDF" w:rsidRDefault="00944A9A">
                    <w:pPr>
                      <w:spacing w:before="14" w:line="259" w:lineRule="auto"/>
                      <w:ind w:left="38" w:firstLine="76"/>
                      <w:rPr>
                        <w:rFonts w:ascii="Calibri" w:hAnsi="Calibri"/>
                        <w:sz w:val="14"/>
                      </w:rPr>
                    </w:pPr>
                    <w:r>
                      <w:rPr>
                        <w:rFonts w:ascii="Calibri" w:hAnsi="Calibri"/>
                        <w:sz w:val="14"/>
                      </w:rPr>
                      <w:t xml:space="preserve">(trusler og </w:t>
                    </w:r>
                    <w:r>
                      <w:rPr>
                        <w:rFonts w:ascii="Calibri" w:hAnsi="Calibri"/>
                        <w:w w:val="95"/>
                        <w:sz w:val="14"/>
                      </w:rPr>
                      <w:t>sårbarheder)</w:t>
                    </w:r>
                  </w:p>
                </w:txbxContent>
              </v:textbox>
            </v:shape>
            <w10:wrap type="topAndBottom" anchorx="page"/>
          </v:group>
        </w:pict>
      </w:r>
      <w:r>
        <w:pict w14:anchorId="4D6E31F4">
          <v:group id="_x0000_s2080" style="position:absolute;margin-left:264.15pt;margin-top:14.35pt;width:104.2pt;height:83.7pt;z-index:-15727104;mso-wrap-distance-left:0;mso-wrap-distance-right:0;mso-position-horizontal-relative:page" coordorigin="5283,287" coordsize="2084,1674">
            <v:shape id="_x0000_s2082" style="position:absolute;left:5292;top:296;width:2064;height:1654" coordorigin="5293,297" coordsize="2064,1654" o:spt="100" adj="0,,0" path="m5618,1123r4,-75l5632,975r17,-71l5673,835r29,-66l5737,706r40,-59l5823,591r50,-52l5927,491r59,-43l6049,409r66,-33l6184,348r72,-22l6331,310r77,-10l6487,297r79,3l6643,310r75,16l6790,348r70,28l6926,409r62,39l7047,491r55,48l7152,591r45,56l7237,706r35,63l7302,835r23,69l7342,975r10,73l7356,1123r-4,76l7342,1272r-17,71l7302,1412r-30,66l7237,1541r-40,59l7152,1656r-50,52l7047,1756r-59,43l6926,1837r-66,34l6790,1898r-72,23l6643,1937r-77,10l6487,1950r-79,-3l6331,1937r-75,-16l6184,1898r-69,-27l6049,1837r-63,-38l5927,1756r-54,-48l5823,1656r-46,-56l5737,1541r-35,-63l5673,1412r-24,-69l5632,1272r-10,-73l5618,1123xm5293,1055r246,l5539,1144r-246,l5293,1055xm5293,1189r246,l5539,1278r-246,l5293,1189xe" filled="f" strokeweight="1pt">
              <v:stroke joinstyle="round"/>
              <v:formulas/>
              <v:path arrowok="t" o:connecttype="segments"/>
            </v:shape>
            <v:shape id="_x0000_s2081" type="#_x0000_t202" style="position:absolute;left:6320;top:979;width:350;height:140" filled="f" stroked="f">
              <v:textbox inset="0,0,0,0">
                <w:txbxContent>
                  <w:p w14:paraId="28385FAE" w14:textId="77777777" w:rsidR="00D92BDF" w:rsidRDefault="00944A9A">
                    <w:pPr>
                      <w:spacing w:line="139" w:lineRule="exact"/>
                      <w:rPr>
                        <w:rFonts w:ascii="Calibri"/>
                        <w:sz w:val="14"/>
                      </w:rPr>
                    </w:pPr>
                    <w:r>
                      <w:rPr>
                        <w:rFonts w:ascii="Calibri"/>
                        <w:sz w:val="14"/>
                      </w:rPr>
                      <w:t>Risiko</w:t>
                    </w:r>
                  </w:p>
                </w:txbxContent>
              </v:textbox>
            </v:shape>
            <w10:wrap type="topAndBottom" anchorx="page"/>
          </v:group>
        </w:pict>
      </w:r>
    </w:p>
    <w:p w14:paraId="07327357" w14:textId="77777777" w:rsidR="00D92BDF" w:rsidRPr="000103E8" w:rsidRDefault="00D92BDF">
      <w:pPr>
        <w:pStyle w:val="BodyText"/>
        <w:rPr>
          <w:sz w:val="26"/>
          <w:lang w:val="da-DK"/>
        </w:rPr>
      </w:pPr>
    </w:p>
    <w:p w14:paraId="357F90AC" w14:textId="77777777" w:rsidR="00D92BDF" w:rsidRPr="000103E8" w:rsidRDefault="00D92BDF">
      <w:pPr>
        <w:pStyle w:val="BodyText"/>
        <w:spacing w:before="8"/>
        <w:rPr>
          <w:sz w:val="21"/>
          <w:lang w:val="da-DK"/>
        </w:rPr>
      </w:pPr>
    </w:p>
    <w:p w14:paraId="79DDD592" w14:textId="77777777" w:rsidR="00D92BDF" w:rsidRPr="000103E8" w:rsidRDefault="00944A9A">
      <w:pPr>
        <w:ind w:left="312"/>
        <w:rPr>
          <w:i/>
          <w:sz w:val="24"/>
          <w:lang w:val="da-DK"/>
        </w:rPr>
      </w:pPr>
      <w:r w:rsidRPr="000103E8">
        <w:rPr>
          <w:i/>
          <w:sz w:val="24"/>
          <w:lang w:val="da-DK"/>
        </w:rPr>
        <w:t>Konsekvensvurdering</w:t>
      </w:r>
    </w:p>
    <w:p w14:paraId="4E573FFE" w14:textId="77777777" w:rsidR="00D92BDF" w:rsidRPr="000103E8" w:rsidRDefault="00D92BDF">
      <w:pPr>
        <w:pStyle w:val="BodyText"/>
        <w:spacing w:before="10"/>
        <w:rPr>
          <w:i/>
          <w:sz w:val="25"/>
          <w:lang w:val="da-DK"/>
        </w:rPr>
      </w:pPr>
    </w:p>
    <w:p w14:paraId="043EDA27" w14:textId="77777777" w:rsidR="00D92BDF" w:rsidRPr="000103E8" w:rsidRDefault="00944A9A">
      <w:pPr>
        <w:pStyle w:val="BodyText"/>
        <w:spacing w:line="249" w:lineRule="auto"/>
        <w:ind w:left="312" w:right="432"/>
        <w:rPr>
          <w:lang w:val="da-DK"/>
        </w:rPr>
      </w:pPr>
      <w:r w:rsidRPr="000103E8">
        <w:rPr>
          <w:lang w:val="da-DK"/>
        </w:rPr>
        <w:t>Konsekvensvurderingen har til formål at afdække, hvilke konsekvenser et brud på hhv. fortroligheden, integriteten og tilgængeligheden (FIT) vil have i relation til en række forskellige konsekvenstyper, såsom økonomi, registrerede personer, organisationens evne til at nå strategiske mål mv. FIT er omdrejningspunktet for informationssikkerhedsarbejdet, og er derfor de centrale områder, informationssikkerheden italesættes ud fra.</w:t>
      </w:r>
    </w:p>
    <w:p w14:paraId="7A43CCB3" w14:textId="77777777" w:rsidR="00D92BDF" w:rsidRPr="000103E8" w:rsidRDefault="00D92BDF">
      <w:pPr>
        <w:pStyle w:val="BodyText"/>
        <w:spacing w:before="7"/>
        <w:rPr>
          <w:lang w:val="da-DK"/>
        </w:rPr>
      </w:pPr>
    </w:p>
    <w:p w14:paraId="1610FA9F" w14:textId="77777777" w:rsidR="00D92BDF" w:rsidRPr="000103E8" w:rsidRDefault="00944A9A">
      <w:pPr>
        <w:pStyle w:val="BodyText"/>
        <w:spacing w:line="247" w:lineRule="auto"/>
        <w:ind w:left="312" w:right="1099"/>
        <w:rPr>
          <w:lang w:val="da-DK"/>
        </w:rPr>
      </w:pPr>
      <w:r w:rsidRPr="000103E8">
        <w:rPr>
          <w:lang w:val="da-DK"/>
        </w:rPr>
        <w:t xml:space="preserve">Der gennemføres både en konsekvensvurdering fra </w:t>
      </w:r>
      <w:r w:rsidR="00B9352A">
        <w:rPr>
          <w:lang w:val="da-DK"/>
        </w:rPr>
        <w:t>[organisationens]</w:t>
      </w:r>
      <w:r w:rsidRPr="000103E8">
        <w:rPr>
          <w:lang w:val="da-DK"/>
        </w:rPr>
        <w:t xml:space="preserve"> perspektiv og fra de registreredes perspektiv.</w:t>
      </w:r>
    </w:p>
    <w:p w14:paraId="246B6886" w14:textId="77777777" w:rsidR="00D92BDF" w:rsidRPr="000103E8" w:rsidRDefault="00D92BDF">
      <w:pPr>
        <w:pStyle w:val="BodyText"/>
        <w:spacing w:before="2"/>
        <w:rPr>
          <w:sz w:val="25"/>
          <w:lang w:val="da-DK"/>
        </w:rPr>
      </w:pPr>
    </w:p>
    <w:p w14:paraId="4795B073" w14:textId="77777777" w:rsidR="00B9352A" w:rsidRPr="000103E8" w:rsidRDefault="00B9352A" w:rsidP="00B9352A">
      <w:pPr>
        <w:pStyle w:val="BodyText"/>
        <w:spacing w:before="1" w:line="247" w:lineRule="auto"/>
        <w:ind w:left="312" w:right="671"/>
        <w:rPr>
          <w:lang w:val="da-DK"/>
        </w:rPr>
      </w:pPr>
    </w:p>
    <w:p w14:paraId="549F0876" w14:textId="77777777" w:rsidR="00B9352A" w:rsidRPr="000103E8" w:rsidRDefault="00B9352A" w:rsidP="00B9352A">
      <w:pPr>
        <w:pStyle w:val="BodyText"/>
        <w:spacing w:before="1" w:line="247" w:lineRule="auto"/>
        <w:ind w:left="312" w:right="671"/>
        <w:rPr>
          <w:lang w:val="da-DK"/>
        </w:rPr>
      </w:pPr>
    </w:p>
    <w:p w14:paraId="74148B27" w14:textId="77777777" w:rsidR="00B9352A" w:rsidRPr="000103E8" w:rsidRDefault="00B9352A" w:rsidP="00B9352A">
      <w:pPr>
        <w:pStyle w:val="BodyText"/>
        <w:spacing w:before="1" w:line="247" w:lineRule="auto"/>
        <w:ind w:left="312" w:right="671"/>
        <w:rPr>
          <w:lang w:val="da-DK"/>
        </w:rPr>
      </w:pPr>
    </w:p>
    <w:p w14:paraId="532B53C6" w14:textId="77777777" w:rsidR="00D92BDF" w:rsidRPr="000103E8" w:rsidRDefault="00944A9A" w:rsidP="00B9352A">
      <w:pPr>
        <w:pStyle w:val="BodyText"/>
        <w:spacing w:before="1" w:line="247" w:lineRule="auto"/>
        <w:ind w:left="312" w:right="671"/>
        <w:rPr>
          <w:lang w:val="da-DK"/>
        </w:rPr>
      </w:pPr>
      <w:r w:rsidRPr="000103E8">
        <w:rPr>
          <w:lang w:val="da-DK"/>
        </w:rPr>
        <w:lastRenderedPageBreak/>
        <w:t xml:space="preserve">Konsekvenserne afdækkes ved workshops med deltagelse af relevante personer, fx kontorchef, projektejer, projektleder, indkøbsansvarlig, systemansvarlig, osv. Workshoppene faciliteres af </w:t>
      </w:r>
      <w:r w:rsidR="00B9352A">
        <w:rPr>
          <w:lang w:val="da-DK"/>
        </w:rPr>
        <w:t>[kontor/enhed]</w:t>
      </w:r>
      <w:r w:rsidRPr="000103E8">
        <w:rPr>
          <w:lang w:val="da-DK"/>
        </w:rPr>
        <w:t xml:space="preserve"> og</w:t>
      </w:r>
      <w:r w:rsidR="00B9352A">
        <w:rPr>
          <w:lang w:val="da-DK"/>
        </w:rPr>
        <w:t xml:space="preserve"> [juridisk kontor/enhed]</w:t>
      </w:r>
      <w:r w:rsidRPr="000103E8">
        <w:rPr>
          <w:lang w:val="da-DK"/>
        </w:rPr>
        <w:t xml:space="preserve"> og følger nærværende metode, hvor deltagerne besvarer spørgsmål vedrørende konsekvensdimensionerne i følgende dokumenter:</w:t>
      </w:r>
    </w:p>
    <w:p w14:paraId="4039AF77" w14:textId="77777777" w:rsidR="00D92BDF" w:rsidRPr="000103E8" w:rsidRDefault="00D92BDF">
      <w:pPr>
        <w:pStyle w:val="BodyText"/>
        <w:spacing w:before="5"/>
        <w:rPr>
          <w:lang w:val="da-DK"/>
        </w:rPr>
      </w:pPr>
    </w:p>
    <w:p w14:paraId="000D4E96" w14:textId="77777777" w:rsidR="00D92BDF" w:rsidRPr="000103E8" w:rsidRDefault="00944A9A">
      <w:pPr>
        <w:spacing w:line="279" w:lineRule="exact"/>
        <w:ind w:left="312"/>
        <w:rPr>
          <w:i/>
          <w:sz w:val="24"/>
          <w:lang w:val="da-DK"/>
        </w:rPr>
      </w:pPr>
      <w:r>
        <w:rPr>
          <w:rFonts w:ascii="Wingdings" w:hAnsi="Wingdings"/>
          <w:sz w:val="24"/>
        </w:rPr>
        <w:t></w:t>
      </w:r>
      <w:r w:rsidRPr="000103E8">
        <w:rPr>
          <w:rFonts w:ascii="Times New Roman" w:hAnsi="Times New Roman"/>
          <w:sz w:val="24"/>
          <w:lang w:val="da-DK"/>
        </w:rPr>
        <w:t xml:space="preserve"> </w:t>
      </w:r>
      <w:r w:rsidRPr="000103E8">
        <w:rPr>
          <w:i/>
          <w:sz w:val="24"/>
          <w:lang w:val="da-DK"/>
        </w:rPr>
        <w:t>Konsekvensniveauer - Registrerede personer</w:t>
      </w:r>
    </w:p>
    <w:p w14:paraId="198C889E" w14:textId="77777777" w:rsidR="00D92BDF" w:rsidRPr="000103E8" w:rsidRDefault="00944A9A">
      <w:pPr>
        <w:spacing w:line="491" w:lineRule="auto"/>
        <w:ind w:left="312" w:right="6163"/>
        <w:rPr>
          <w:i/>
          <w:sz w:val="24"/>
          <w:lang w:val="da-DK"/>
        </w:rPr>
      </w:pPr>
      <w:r>
        <w:rPr>
          <w:rFonts w:ascii="Wingdings" w:hAnsi="Wingdings"/>
          <w:sz w:val="24"/>
        </w:rPr>
        <w:t></w:t>
      </w:r>
      <w:r w:rsidRPr="000103E8">
        <w:rPr>
          <w:rFonts w:ascii="Times New Roman" w:hAnsi="Times New Roman"/>
          <w:sz w:val="24"/>
          <w:lang w:val="da-DK"/>
        </w:rPr>
        <w:t xml:space="preserve"> </w:t>
      </w:r>
      <w:r w:rsidRPr="000103E8">
        <w:rPr>
          <w:i/>
          <w:sz w:val="24"/>
          <w:lang w:val="da-DK"/>
        </w:rPr>
        <w:t>Konsekvensniveauer – Forretningsmæssige Trussels-, sårbarheds- og sandsynlighedsvurdering</w:t>
      </w:r>
    </w:p>
    <w:p w14:paraId="3F61CAC0" w14:textId="77777777" w:rsidR="00D92BDF" w:rsidRPr="000103E8" w:rsidRDefault="00944A9A">
      <w:pPr>
        <w:pStyle w:val="BodyText"/>
        <w:spacing w:before="16" w:line="249" w:lineRule="auto"/>
        <w:ind w:left="312" w:right="446"/>
        <w:rPr>
          <w:lang w:val="da-DK"/>
        </w:rPr>
      </w:pPr>
      <w:r w:rsidRPr="000103E8">
        <w:rPr>
          <w:lang w:val="da-DK"/>
        </w:rPr>
        <w:t xml:space="preserve">Trusselvurderingen skal afdække, hvilke relevante trusler der er rettet mod det pågældende system. </w:t>
      </w:r>
      <w:r w:rsidR="00B9352A">
        <w:rPr>
          <w:lang w:val="da-DK"/>
        </w:rPr>
        <w:t>[Kontor/enhed]</w:t>
      </w:r>
      <w:r w:rsidRPr="000103E8">
        <w:rPr>
          <w:lang w:val="da-DK"/>
        </w:rPr>
        <w:t xml:space="preserve"> faciliterer en trussels- og sårbarhedsworkshop, hvor relevante deltagere såsom kontorchef, projektejer, projektleder, indkøbsansvarlig, systemansvarlig, osv. vurderer de enkelte truslers relevans for systemet. Vurderingen tager udgangspunkt i </w:t>
      </w:r>
      <w:r w:rsidR="00B9352A">
        <w:rPr>
          <w:lang w:val="da-DK"/>
        </w:rPr>
        <w:t>[organisationens]</w:t>
      </w:r>
      <w:r w:rsidRPr="000103E8">
        <w:rPr>
          <w:lang w:val="da-DK"/>
        </w:rPr>
        <w:t xml:space="preserve"> interne trusselskatalog og deltagernes eventuelle input til relevante trusler. Truslerne kan bl.a. være cyberangreb, leverandørsvigt, tilsigtet læk, mv.</w:t>
      </w:r>
    </w:p>
    <w:p w14:paraId="25ABF579" w14:textId="77777777" w:rsidR="00D92BDF" w:rsidRPr="000103E8" w:rsidRDefault="00944A9A">
      <w:pPr>
        <w:pStyle w:val="BodyText"/>
        <w:spacing w:line="249" w:lineRule="auto"/>
        <w:ind w:left="312" w:right="676"/>
        <w:rPr>
          <w:lang w:val="da-DK"/>
        </w:rPr>
      </w:pPr>
      <w:r w:rsidRPr="000103E8">
        <w:rPr>
          <w:lang w:val="da-DK"/>
        </w:rPr>
        <w:t>Trusselskataloget er et dynamisk dokument, som ændrer sig løbende, i takt med at nye trusler identificeres. Det er ikke et udtømmende dokument, men skal betragtes som inspiration og forslag til en udvælgelse af relevante trusler. Truslerne kan variere fra system til system.</w:t>
      </w:r>
    </w:p>
    <w:p w14:paraId="50F4DC6D" w14:textId="77777777" w:rsidR="00D92BDF" w:rsidRPr="000103E8" w:rsidRDefault="00D92BDF">
      <w:pPr>
        <w:pStyle w:val="BodyText"/>
        <w:spacing w:before="4"/>
        <w:rPr>
          <w:lang w:val="da-DK"/>
        </w:rPr>
      </w:pPr>
    </w:p>
    <w:p w14:paraId="5CB927A6" w14:textId="77777777" w:rsidR="00D92BDF" w:rsidRPr="000103E8" w:rsidRDefault="00944A9A">
      <w:pPr>
        <w:pStyle w:val="BodyText"/>
        <w:spacing w:before="1" w:line="249" w:lineRule="auto"/>
        <w:ind w:left="312" w:right="571"/>
        <w:rPr>
          <w:lang w:val="da-DK"/>
        </w:rPr>
      </w:pPr>
      <w:r w:rsidRPr="000103E8">
        <w:rPr>
          <w:lang w:val="da-DK"/>
        </w:rPr>
        <w:t>Når de relevante trusler er identificeret, vurderes det dernæst om systemet eller forretningen er sårbart over for disse. Trusler udnytter sårbarheder, og bliver dermed først realiseret, såfremt omstændighederne tillader det. Eksempelvis kan en sårbarhed være, at der ikke findes nedskrevne processer vedrørende arbejdsgangene i systemet, at systemet ikke bliver vedligeholdt med sikkerhedsopdateringer, eller at der ikke er mulighed for at styre brugerrettigheder i systemet.</w:t>
      </w:r>
    </w:p>
    <w:p w14:paraId="4632F447" w14:textId="77777777" w:rsidR="00D92BDF" w:rsidRPr="000103E8" w:rsidRDefault="00D92BDF">
      <w:pPr>
        <w:pStyle w:val="BodyText"/>
        <w:spacing w:before="5"/>
        <w:rPr>
          <w:lang w:val="da-DK"/>
        </w:rPr>
      </w:pPr>
    </w:p>
    <w:p w14:paraId="2BD233FE" w14:textId="77777777" w:rsidR="00D92BDF" w:rsidRPr="000103E8" w:rsidRDefault="00944A9A">
      <w:pPr>
        <w:pStyle w:val="BodyText"/>
        <w:spacing w:before="1" w:line="249" w:lineRule="auto"/>
        <w:ind w:left="312" w:right="557"/>
        <w:rPr>
          <w:lang w:val="da-DK"/>
        </w:rPr>
      </w:pPr>
      <w:r w:rsidRPr="000103E8">
        <w:rPr>
          <w:lang w:val="da-DK"/>
        </w:rPr>
        <w:t>Sårbarhederne og truslerne kan dog ikke stå alene, da det er nødvendigt at vurdere, hvorvidt det er sandsynligt, at sårbarheden udnyttes og truslen dermed realiseres. Sandsynligheden for at en hændelse indtræffer kan være svær at vurdere, da det er en hypotetisk vurdering. I sin vurdering kan man dog medtage faktorer såsom konkret erfaring med hændelsen (om hændelsen er indtruffet før, eller at systemet ofte udsættes for en bestemt type angreb), det nationale trusselsbillede (udgives af Center for Cybersikkerhed), hvori der gives en indikator på, hvor høj truslen er for fx cyberangreb for offentlige myndigheder. Endelig kan man ud typen af data i systemet vurdere om det er sandsynligt, at der skulle indtræffe en hændelse. Har data værdi for fx fremmede magter, andre virksomheder eller hackere, er sandsynligheden for et angreb formentlig højere end ellers. Hvis der tillige er en sårbarhed tilstede, der gør det muligt at få succes med angrebet, er sandsynligheden for at hændelsen indtræffer dermed høj.</w:t>
      </w:r>
    </w:p>
    <w:p w14:paraId="3A2155D7" w14:textId="77777777" w:rsidR="00D92BDF" w:rsidRPr="000103E8" w:rsidRDefault="00D92BDF">
      <w:pPr>
        <w:pStyle w:val="BodyText"/>
        <w:spacing w:before="1"/>
        <w:rPr>
          <w:lang w:val="da-DK"/>
        </w:rPr>
      </w:pPr>
    </w:p>
    <w:p w14:paraId="2BE6E648" w14:textId="77777777" w:rsidR="00D92BDF" w:rsidRPr="000103E8" w:rsidRDefault="00944A9A">
      <w:pPr>
        <w:pStyle w:val="BodyText"/>
        <w:spacing w:line="247" w:lineRule="auto"/>
        <w:ind w:left="312" w:right="1656"/>
        <w:rPr>
          <w:lang w:val="da-DK"/>
        </w:rPr>
      </w:pPr>
      <w:r w:rsidRPr="000103E8">
        <w:rPr>
          <w:lang w:val="da-DK"/>
        </w:rPr>
        <w:t xml:space="preserve">Sandsynligheden for, at et brud på informationssikkerheden indtræffer vurderes samlet for </w:t>
      </w:r>
      <w:r w:rsidR="00B9352A">
        <w:rPr>
          <w:lang w:val="da-DK"/>
        </w:rPr>
        <w:t>[organisationen]</w:t>
      </w:r>
      <w:r w:rsidRPr="000103E8">
        <w:rPr>
          <w:lang w:val="da-DK"/>
        </w:rPr>
        <w:t xml:space="preserve"> og de registrerede.</w:t>
      </w:r>
    </w:p>
    <w:p w14:paraId="541D3571" w14:textId="77777777" w:rsidR="00D92BDF" w:rsidRPr="000103E8" w:rsidRDefault="00D92BDF">
      <w:pPr>
        <w:pStyle w:val="BodyText"/>
        <w:spacing w:before="1"/>
        <w:rPr>
          <w:sz w:val="25"/>
          <w:lang w:val="da-DK"/>
        </w:rPr>
      </w:pPr>
    </w:p>
    <w:p w14:paraId="7F980F5B" w14:textId="77777777" w:rsidR="00D92BDF" w:rsidRPr="000103E8" w:rsidRDefault="00944A9A">
      <w:pPr>
        <w:ind w:left="312"/>
        <w:rPr>
          <w:i/>
          <w:sz w:val="24"/>
          <w:lang w:val="da-DK"/>
        </w:rPr>
      </w:pPr>
      <w:r w:rsidRPr="000103E8">
        <w:rPr>
          <w:i/>
          <w:sz w:val="24"/>
          <w:lang w:val="da-DK"/>
        </w:rPr>
        <w:t>Risikoscore og -villighed</w:t>
      </w:r>
    </w:p>
    <w:p w14:paraId="07921810" w14:textId="77777777" w:rsidR="00D92BDF" w:rsidRPr="000103E8" w:rsidRDefault="00D92BDF">
      <w:pPr>
        <w:pStyle w:val="BodyText"/>
        <w:spacing w:before="10"/>
        <w:rPr>
          <w:i/>
          <w:sz w:val="25"/>
          <w:lang w:val="da-DK"/>
        </w:rPr>
      </w:pPr>
    </w:p>
    <w:p w14:paraId="0AB1D6FD" w14:textId="77777777" w:rsidR="00D92BDF" w:rsidRPr="000103E8" w:rsidRDefault="00944A9A">
      <w:pPr>
        <w:pStyle w:val="BodyText"/>
        <w:spacing w:line="249" w:lineRule="auto"/>
        <w:ind w:left="312" w:right="659"/>
        <w:rPr>
          <w:lang w:val="da-DK"/>
        </w:rPr>
      </w:pPr>
      <w:r w:rsidRPr="000103E8">
        <w:rPr>
          <w:lang w:val="da-DK"/>
        </w:rPr>
        <w:t xml:space="preserve">Niveauet for risikovillighed vedrørende informationssikkerhedsrisici i </w:t>
      </w:r>
      <w:r w:rsidR="00B9352A">
        <w:rPr>
          <w:lang w:val="da-DK"/>
        </w:rPr>
        <w:t>[organisationen]</w:t>
      </w:r>
      <w:r w:rsidRPr="000103E8">
        <w:rPr>
          <w:lang w:val="da-DK"/>
        </w:rPr>
        <w:t xml:space="preserve"> er godkendt i regi af </w:t>
      </w:r>
      <w:r w:rsidR="00B9352A">
        <w:rPr>
          <w:lang w:val="da-DK"/>
        </w:rPr>
        <w:t>[i</w:t>
      </w:r>
      <w:r w:rsidRPr="000103E8">
        <w:rPr>
          <w:lang w:val="da-DK"/>
        </w:rPr>
        <w:t>nformati</w:t>
      </w:r>
      <w:r w:rsidR="00B9352A" w:rsidRPr="000103E8">
        <w:rPr>
          <w:lang w:val="da-DK"/>
        </w:rPr>
        <w:t>onssikkerhedsudvalg]</w:t>
      </w:r>
      <w:r w:rsidRPr="000103E8">
        <w:rPr>
          <w:lang w:val="da-DK"/>
        </w:rPr>
        <w:t>, hvor bl.a. ledelsen er repræsenteret. I nedenstående farveskema angives det, hvilke risici der betragtes som værende meget lave/lave, og dermed automatisk ikke bør give anledning til yderligere behandling.</w:t>
      </w:r>
    </w:p>
    <w:p w14:paraId="63914BB9" w14:textId="77777777" w:rsidR="00D92BDF" w:rsidRPr="000103E8" w:rsidRDefault="00D92BDF">
      <w:pPr>
        <w:pStyle w:val="BodyText"/>
        <w:spacing w:before="8"/>
        <w:rPr>
          <w:lang w:val="da-DK"/>
        </w:rPr>
      </w:pPr>
    </w:p>
    <w:p w14:paraId="5812F1AA" w14:textId="77777777" w:rsidR="00D92BDF" w:rsidRPr="000103E8" w:rsidRDefault="00944A9A">
      <w:pPr>
        <w:pStyle w:val="BodyText"/>
        <w:spacing w:before="1" w:line="249" w:lineRule="auto"/>
        <w:ind w:left="312" w:right="436"/>
        <w:rPr>
          <w:lang w:val="da-DK"/>
        </w:rPr>
      </w:pPr>
      <w:r w:rsidRPr="000103E8">
        <w:rPr>
          <w:lang w:val="da-DK"/>
        </w:rPr>
        <w:t xml:space="preserve">For hver sårbarhed er der vurderet en konsekvens ved et fortrolighedsbrud, integritetsbrud og tilgængelighedsbrud. Konsekvensvurderingerne for </w:t>
      </w:r>
      <w:r w:rsidR="00B9352A">
        <w:rPr>
          <w:lang w:val="da-DK"/>
        </w:rPr>
        <w:t>[organisationen]</w:t>
      </w:r>
      <w:r w:rsidRPr="000103E8">
        <w:rPr>
          <w:lang w:val="da-DK"/>
        </w:rPr>
        <w:t xml:space="preserve"> og de registrerede kan være forskellige. Der foretages en samlet sandsynlighedsvurdering. På baggrund af sandsynlighedsscoren og</w:t>
      </w:r>
    </w:p>
    <w:p w14:paraId="5C3EDEF9" w14:textId="77777777" w:rsidR="00D92BDF" w:rsidRPr="000103E8" w:rsidRDefault="00D92BDF">
      <w:pPr>
        <w:spacing w:line="249" w:lineRule="auto"/>
        <w:rPr>
          <w:lang w:val="da-DK"/>
        </w:rPr>
        <w:sectPr w:rsidR="00D92BDF" w:rsidRPr="000103E8">
          <w:footerReference w:type="default" r:id="rId11"/>
          <w:pgSz w:w="11910" w:h="16840"/>
          <w:pgMar w:top="1580" w:right="720" w:bottom="1220" w:left="820" w:header="0" w:footer="1022" w:gutter="0"/>
          <w:cols w:space="708"/>
        </w:sectPr>
      </w:pPr>
    </w:p>
    <w:p w14:paraId="72FCCCD9" w14:textId="77777777" w:rsidR="00D92BDF" w:rsidRPr="000103E8" w:rsidRDefault="00944A9A">
      <w:pPr>
        <w:pStyle w:val="BodyText"/>
        <w:spacing w:before="112" w:line="249" w:lineRule="auto"/>
        <w:ind w:left="312" w:right="606"/>
        <w:rPr>
          <w:lang w:val="da-DK"/>
        </w:rPr>
      </w:pPr>
      <w:r w:rsidRPr="000103E8">
        <w:rPr>
          <w:lang w:val="da-DK"/>
        </w:rPr>
        <w:lastRenderedPageBreak/>
        <w:t xml:space="preserve">konsekvensscores beregnes et risikotal. Alt efter resultatet placeres sårbarheden i en farvekategori, der angiver om den udgør en lav eller høj risiko for </w:t>
      </w:r>
      <w:r w:rsidR="00B9352A">
        <w:rPr>
          <w:lang w:val="da-DK"/>
        </w:rPr>
        <w:t>[organisationen]</w:t>
      </w:r>
      <w:r w:rsidRPr="000103E8">
        <w:rPr>
          <w:lang w:val="da-DK"/>
        </w:rPr>
        <w:t xml:space="preserve"> og de registrerede. I rapporteringen vil fokus ligge på, hvor risici ligger på nedenstående farveskala frem for talværdien.</w:t>
      </w:r>
    </w:p>
    <w:p w14:paraId="674B8B3A" w14:textId="77777777" w:rsidR="00D92BDF" w:rsidRPr="000103E8" w:rsidRDefault="00D92BDF">
      <w:pPr>
        <w:pStyle w:val="BodyText"/>
        <w:spacing w:before="6"/>
        <w:rPr>
          <w:lang w:val="da-DK"/>
        </w:rPr>
      </w:pPr>
    </w:p>
    <w:p w14:paraId="58292D93" w14:textId="77777777" w:rsidR="00D92BDF" w:rsidRDefault="00944A9A">
      <w:pPr>
        <w:ind w:left="312"/>
        <w:rPr>
          <w:i/>
          <w:sz w:val="24"/>
        </w:rPr>
      </w:pPr>
      <w:r>
        <w:rPr>
          <w:i/>
          <w:sz w:val="24"/>
        </w:rPr>
        <w:t>DPIA (Data Protection Impact Assessment)</w:t>
      </w:r>
    </w:p>
    <w:p w14:paraId="3EC643C2" w14:textId="77777777" w:rsidR="00D92BDF" w:rsidRDefault="00D92BDF">
      <w:pPr>
        <w:pStyle w:val="BodyText"/>
        <w:spacing w:before="11"/>
        <w:rPr>
          <w:i/>
          <w:sz w:val="25"/>
        </w:rPr>
      </w:pPr>
    </w:p>
    <w:p w14:paraId="57223DC5" w14:textId="77777777" w:rsidR="00D92BDF" w:rsidRPr="000103E8" w:rsidRDefault="00944A9A">
      <w:pPr>
        <w:pStyle w:val="BodyText"/>
        <w:spacing w:line="249" w:lineRule="auto"/>
        <w:ind w:left="312" w:right="457"/>
        <w:rPr>
          <w:lang w:val="da-DK"/>
        </w:rPr>
      </w:pPr>
      <w:r w:rsidRPr="000103E8">
        <w:rPr>
          <w:lang w:val="da-DK"/>
        </w:rPr>
        <w:t>Ifølge EU’s databeskyttelsesforordning, skal der foretages DPIA (konsekvensanalyse for databeskyttelse) såfremt en række kriterier opfyldes vedrørende persondatamæssige risici vedrørende en ny behandlingsaktivitet/et nyt system. Det er omfattende at udarbejde en DPIA, og der stilles yderligere ikke krav i forordningen om, at det skal gøres for hvert system eller hver behandling. Derfor udarbejdes den kun i de tilfælde, hvor der vurderes at være en høj risiko for den registrerede forbundet med den specifikke behandling af</w:t>
      </w:r>
      <w:r w:rsidRPr="000103E8">
        <w:rPr>
          <w:spacing w:val="1"/>
          <w:lang w:val="da-DK"/>
        </w:rPr>
        <w:t xml:space="preserve"> </w:t>
      </w:r>
      <w:r w:rsidRPr="000103E8">
        <w:rPr>
          <w:lang w:val="da-DK"/>
        </w:rPr>
        <w:t>personoplysninger.</w:t>
      </w:r>
    </w:p>
    <w:p w14:paraId="57A895AB" w14:textId="77777777" w:rsidR="00D92BDF" w:rsidRPr="000103E8" w:rsidRDefault="00D92BDF">
      <w:pPr>
        <w:pStyle w:val="BodyText"/>
        <w:rPr>
          <w:sz w:val="20"/>
          <w:lang w:val="da-DK"/>
        </w:rPr>
      </w:pPr>
    </w:p>
    <w:p w14:paraId="7982988F" w14:textId="77777777" w:rsidR="00D92BDF" w:rsidRPr="000103E8" w:rsidRDefault="00D92BDF">
      <w:pPr>
        <w:pStyle w:val="BodyText"/>
        <w:rPr>
          <w:sz w:val="20"/>
          <w:lang w:val="da-DK"/>
        </w:rPr>
      </w:pPr>
    </w:p>
    <w:p w14:paraId="2223A52E" w14:textId="77777777" w:rsidR="00D92BDF" w:rsidRPr="000103E8" w:rsidRDefault="00D92BDF">
      <w:pPr>
        <w:pStyle w:val="BodyText"/>
        <w:spacing w:before="7" w:after="1"/>
        <w:rPr>
          <w:sz w:val="17"/>
          <w:lang w:val="da-DK"/>
        </w:rPr>
      </w:pPr>
    </w:p>
    <w:tbl>
      <w:tblPr>
        <w:tblStyle w:val="TableNormal1"/>
        <w:tblW w:w="0" w:type="auto"/>
        <w:tblInd w:w="33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642"/>
        <w:gridCol w:w="1668"/>
        <w:gridCol w:w="1218"/>
        <w:gridCol w:w="1251"/>
        <w:gridCol w:w="1258"/>
        <w:gridCol w:w="1213"/>
        <w:gridCol w:w="1663"/>
      </w:tblGrid>
      <w:tr w:rsidR="00D92BDF" w14:paraId="08165626" w14:textId="77777777">
        <w:trPr>
          <w:trHeight w:val="527"/>
        </w:trPr>
        <w:tc>
          <w:tcPr>
            <w:tcW w:w="1642" w:type="dxa"/>
            <w:tcBorders>
              <w:bottom w:val="nil"/>
              <w:right w:val="nil"/>
            </w:tcBorders>
          </w:tcPr>
          <w:p w14:paraId="4C8499AC" w14:textId="77777777" w:rsidR="00D92BDF" w:rsidRDefault="00944A9A">
            <w:pPr>
              <w:pStyle w:val="TableParagraph"/>
              <w:spacing w:before="21"/>
              <w:ind w:left="14"/>
              <w:rPr>
                <w:b/>
                <w:sz w:val="20"/>
              </w:rPr>
            </w:pPr>
            <w:r>
              <w:rPr>
                <w:b/>
                <w:sz w:val="20"/>
              </w:rPr>
              <w:t>Konsekvens</w:t>
            </w:r>
          </w:p>
        </w:tc>
        <w:tc>
          <w:tcPr>
            <w:tcW w:w="1668" w:type="dxa"/>
            <w:tcBorders>
              <w:left w:val="nil"/>
              <w:bottom w:val="nil"/>
            </w:tcBorders>
          </w:tcPr>
          <w:p w14:paraId="16082BA9" w14:textId="77777777" w:rsidR="00D92BDF" w:rsidRDefault="00D92BDF">
            <w:pPr>
              <w:pStyle w:val="TableParagraph"/>
              <w:rPr>
                <w:rFonts w:ascii="Times New Roman"/>
              </w:rPr>
            </w:pPr>
          </w:p>
        </w:tc>
        <w:tc>
          <w:tcPr>
            <w:tcW w:w="6603" w:type="dxa"/>
            <w:gridSpan w:val="5"/>
            <w:tcBorders>
              <w:bottom w:val="nil"/>
            </w:tcBorders>
            <w:shd w:val="clear" w:color="auto" w:fill="6D919F"/>
          </w:tcPr>
          <w:p w14:paraId="527FB382" w14:textId="77777777" w:rsidR="00D92BDF" w:rsidRDefault="00D92BDF">
            <w:pPr>
              <w:pStyle w:val="TableParagraph"/>
              <w:rPr>
                <w:rFonts w:ascii="Times New Roman"/>
              </w:rPr>
            </w:pPr>
          </w:p>
        </w:tc>
      </w:tr>
      <w:tr w:rsidR="00D92BDF" w14:paraId="6E071916" w14:textId="77777777">
        <w:trPr>
          <w:trHeight w:val="1019"/>
        </w:trPr>
        <w:tc>
          <w:tcPr>
            <w:tcW w:w="3310" w:type="dxa"/>
            <w:gridSpan w:val="2"/>
            <w:tcBorders>
              <w:top w:val="nil"/>
              <w:bottom w:val="nil"/>
            </w:tcBorders>
          </w:tcPr>
          <w:p w14:paraId="5BF3B410" w14:textId="77777777" w:rsidR="00D92BDF" w:rsidRDefault="00D92BDF">
            <w:pPr>
              <w:pStyle w:val="TableParagraph"/>
              <w:spacing w:before="2"/>
              <w:rPr>
                <w:sz w:val="26"/>
              </w:rPr>
            </w:pPr>
          </w:p>
          <w:p w14:paraId="2F4FB5DC" w14:textId="77777777" w:rsidR="00D92BDF" w:rsidRDefault="00944A9A">
            <w:pPr>
              <w:pStyle w:val="TableParagraph"/>
              <w:spacing w:before="1"/>
              <w:ind w:left="14"/>
              <w:rPr>
                <w:b/>
                <w:sz w:val="20"/>
              </w:rPr>
            </w:pPr>
            <w:r>
              <w:rPr>
                <w:b/>
                <w:sz w:val="20"/>
              </w:rPr>
              <w:t>Graverende/ ødelæggende (uacceptabelt)</w:t>
            </w:r>
          </w:p>
        </w:tc>
        <w:tc>
          <w:tcPr>
            <w:tcW w:w="1218" w:type="dxa"/>
            <w:tcBorders>
              <w:top w:val="single" w:sz="4" w:space="0" w:color="000000"/>
              <w:bottom w:val="single" w:sz="4" w:space="0" w:color="000000"/>
              <w:right w:val="single" w:sz="4" w:space="0" w:color="000000"/>
            </w:tcBorders>
            <w:shd w:val="clear" w:color="auto" w:fill="92D050"/>
          </w:tcPr>
          <w:p w14:paraId="20008FEA" w14:textId="77777777" w:rsidR="00D92BDF" w:rsidRDefault="00944A9A">
            <w:pPr>
              <w:pStyle w:val="TableParagraph"/>
              <w:spacing w:before="13" w:line="480" w:lineRule="auto"/>
              <w:ind w:left="14" w:right="6"/>
              <w:rPr>
                <w:rFonts w:ascii="Calibri"/>
                <w:sz w:val="20"/>
              </w:rPr>
            </w:pPr>
            <w:r>
              <w:rPr>
                <w:rFonts w:ascii="Calibri"/>
                <w:sz w:val="20"/>
              </w:rPr>
              <w:t>Under middel Score: 4</w:t>
            </w:r>
          </w:p>
        </w:tc>
        <w:tc>
          <w:tcPr>
            <w:tcW w:w="1251" w:type="dxa"/>
            <w:tcBorders>
              <w:top w:val="single" w:sz="4" w:space="0" w:color="000000"/>
              <w:left w:val="single" w:sz="4" w:space="0" w:color="000000"/>
              <w:bottom w:val="single" w:sz="4" w:space="0" w:color="000000"/>
              <w:right w:val="single" w:sz="4" w:space="0" w:color="000000"/>
            </w:tcBorders>
            <w:shd w:val="clear" w:color="auto" w:fill="FFFF00"/>
          </w:tcPr>
          <w:p w14:paraId="509DD96D" w14:textId="77777777" w:rsidR="00D92BDF" w:rsidRDefault="00944A9A">
            <w:pPr>
              <w:pStyle w:val="TableParagraph"/>
              <w:spacing w:before="13" w:line="480" w:lineRule="auto"/>
              <w:ind w:left="18" w:right="468"/>
              <w:rPr>
                <w:rFonts w:ascii="Calibri"/>
                <w:sz w:val="20"/>
              </w:rPr>
            </w:pPr>
            <w:r>
              <w:rPr>
                <w:rFonts w:ascii="Calibri"/>
                <w:sz w:val="20"/>
              </w:rPr>
              <w:t>Middel Score: 8</w:t>
            </w:r>
          </w:p>
        </w:tc>
        <w:tc>
          <w:tcPr>
            <w:tcW w:w="1258" w:type="dxa"/>
            <w:tcBorders>
              <w:top w:val="single" w:sz="4" w:space="0" w:color="000000"/>
              <w:left w:val="single" w:sz="4" w:space="0" w:color="000000"/>
              <w:bottom w:val="single" w:sz="4" w:space="0" w:color="000000"/>
              <w:right w:val="single" w:sz="4" w:space="0" w:color="000000"/>
            </w:tcBorders>
            <w:shd w:val="clear" w:color="auto" w:fill="FFC000"/>
          </w:tcPr>
          <w:p w14:paraId="52AB0722" w14:textId="77777777" w:rsidR="00D92BDF" w:rsidRDefault="00944A9A">
            <w:pPr>
              <w:pStyle w:val="TableParagraph"/>
              <w:spacing w:before="13" w:line="480" w:lineRule="auto"/>
              <w:ind w:left="15" w:right="169" w:firstLine="45"/>
              <w:rPr>
                <w:rFonts w:ascii="Calibri"/>
                <w:sz w:val="20"/>
              </w:rPr>
            </w:pPr>
            <w:r>
              <w:rPr>
                <w:rFonts w:ascii="Calibri"/>
                <w:sz w:val="20"/>
              </w:rPr>
              <w:t>Over middel Score: 12</w:t>
            </w:r>
          </w:p>
        </w:tc>
        <w:tc>
          <w:tcPr>
            <w:tcW w:w="1213" w:type="dxa"/>
            <w:tcBorders>
              <w:top w:val="single" w:sz="4" w:space="0" w:color="000000"/>
              <w:left w:val="single" w:sz="4" w:space="0" w:color="000000"/>
              <w:bottom w:val="single" w:sz="4" w:space="0" w:color="000000"/>
              <w:right w:val="single" w:sz="4" w:space="0" w:color="000000"/>
            </w:tcBorders>
            <w:shd w:val="clear" w:color="auto" w:fill="FF0000"/>
          </w:tcPr>
          <w:p w14:paraId="063D89B5" w14:textId="77777777" w:rsidR="00D92BDF" w:rsidRDefault="00944A9A">
            <w:pPr>
              <w:pStyle w:val="TableParagraph"/>
              <w:spacing w:before="13" w:line="480" w:lineRule="auto"/>
              <w:ind w:left="17" w:right="466"/>
              <w:rPr>
                <w:rFonts w:ascii="Calibri" w:hAnsi="Calibri"/>
                <w:sz w:val="20"/>
              </w:rPr>
            </w:pPr>
            <w:r>
              <w:rPr>
                <w:rFonts w:ascii="Calibri" w:hAnsi="Calibri"/>
                <w:sz w:val="20"/>
              </w:rPr>
              <w:t>Høj Score 16</w:t>
            </w:r>
          </w:p>
        </w:tc>
        <w:tc>
          <w:tcPr>
            <w:tcW w:w="1663" w:type="dxa"/>
            <w:vMerge w:val="restart"/>
            <w:tcBorders>
              <w:top w:val="nil"/>
              <w:left w:val="single" w:sz="4" w:space="0" w:color="000000"/>
            </w:tcBorders>
            <w:shd w:val="clear" w:color="auto" w:fill="6D919F"/>
          </w:tcPr>
          <w:p w14:paraId="01D89CE1" w14:textId="77777777" w:rsidR="00D92BDF" w:rsidRDefault="00D92BDF">
            <w:pPr>
              <w:pStyle w:val="TableParagraph"/>
              <w:rPr>
                <w:rFonts w:ascii="Times New Roman"/>
              </w:rPr>
            </w:pPr>
          </w:p>
        </w:tc>
      </w:tr>
      <w:tr w:rsidR="00D92BDF" w14:paraId="493DA9CF" w14:textId="77777777">
        <w:trPr>
          <w:trHeight w:val="1014"/>
        </w:trPr>
        <w:tc>
          <w:tcPr>
            <w:tcW w:w="3310" w:type="dxa"/>
            <w:gridSpan w:val="2"/>
            <w:tcBorders>
              <w:top w:val="nil"/>
              <w:bottom w:val="nil"/>
            </w:tcBorders>
          </w:tcPr>
          <w:p w14:paraId="215A476C" w14:textId="77777777" w:rsidR="00D92BDF" w:rsidRDefault="00D92BDF">
            <w:pPr>
              <w:pStyle w:val="TableParagraph"/>
            </w:pPr>
          </w:p>
          <w:p w14:paraId="1F72D054" w14:textId="77777777" w:rsidR="00D92BDF" w:rsidRDefault="00D92BDF">
            <w:pPr>
              <w:pStyle w:val="TableParagraph"/>
              <w:spacing w:before="7"/>
              <w:rPr>
                <w:sz w:val="23"/>
              </w:rPr>
            </w:pPr>
          </w:p>
          <w:p w14:paraId="12AEF50B" w14:textId="77777777" w:rsidR="00D92BDF" w:rsidRDefault="00944A9A">
            <w:pPr>
              <w:pStyle w:val="TableParagraph"/>
              <w:ind w:left="14"/>
              <w:rPr>
                <w:b/>
                <w:sz w:val="20"/>
              </w:rPr>
            </w:pPr>
            <w:r>
              <w:rPr>
                <w:b/>
                <w:sz w:val="20"/>
              </w:rPr>
              <w:t>Meget alvorlig (kritisk)</w:t>
            </w:r>
          </w:p>
        </w:tc>
        <w:tc>
          <w:tcPr>
            <w:tcW w:w="1218" w:type="dxa"/>
            <w:tcBorders>
              <w:top w:val="single" w:sz="4" w:space="0" w:color="000000"/>
              <w:bottom w:val="single" w:sz="4" w:space="0" w:color="000000"/>
              <w:right w:val="single" w:sz="4" w:space="0" w:color="000000"/>
            </w:tcBorders>
            <w:shd w:val="clear" w:color="auto" w:fill="00AF50"/>
          </w:tcPr>
          <w:p w14:paraId="5CFB6842" w14:textId="77777777" w:rsidR="00D92BDF" w:rsidRDefault="00944A9A">
            <w:pPr>
              <w:pStyle w:val="TableParagraph"/>
              <w:spacing w:before="8" w:line="480" w:lineRule="auto"/>
              <w:ind w:left="14" w:right="466"/>
              <w:rPr>
                <w:rFonts w:ascii="Calibri"/>
                <w:sz w:val="20"/>
              </w:rPr>
            </w:pPr>
            <w:r>
              <w:rPr>
                <w:rFonts w:ascii="Calibri"/>
                <w:sz w:val="20"/>
              </w:rPr>
              <w:t>Lav Score: 3</w:t>
            </w:r>
          </w:p>
        </w:tc>
        <w:tc>
          <w:tcPr>
            <w:tcW w:w="1251" w:type="dxa"/>
            <w:tcBorders>
              <w:top w:val="single" w:sz="4" w:space="0" w:color="000000"/>
              <w:left w:val="single" w:sz="4" w:space="0" w:color="000000"/>
              <w:bottom w:val="single" w:sz="4" w:space="0" w:color="000000"/>
              <w:right w:val="single" w:sz="4" w:space="0" w:color="000000"/>
            </w:tcBorders>
            <w:shd w:val="clear" w:color="auto" w:fill="92D050"/>
          </w:tcPr>
          <w:p w14:paraId="33DB8DD5" w14:textId="77777777" w:rsidR="00D92BDF" w:rsidRDefault="00944A9A">
            <w:pPr>
              <w:pStyle w:val="TableParagraph"/>
              <w:spacing w:before="8" w:line="480" w:lineRule="auto"/>
              <w:ind w:left="18"/>
              <w:rPr>
                <w:rFonts w:ascii="Calibri"/>
                <w:sz w:val="20"/>
              </w:rPr>
            </w:pPr>
            <w:r>
              <w:rPr>
                <w:rFonts w:ascii="Calibri"/>
                <w:sz w:val="20"/>
              </w:rPr>
              <w:t>Under middel Score: 6</w:t>
            </w:r>
          </w:p>
        </w:tc>
        <w:tc>
          <w:tcPr>
            <w:tcW w:w="1258" w:type="dxa"/>
            <w:tcBorders>
              <w:top w:val="single" w:sz="4" w:space="0" w:color="000000"/>
              <w:left w:val="single" w:sz="4" w:space="0" w:color="000000"/>
              <w:bottom w:val="single" w:sz="4" w:space="0" w:color="000000"/>
              <w:right w:val="single" w:sz="4" w:space="0" w:color="000000"/>
            </w:tcBorders>
            <w:shd w:val="clear" w:color="auto" w:fill="FFFF00"/>
          </w:tcPr>
          <w:p w14:paraId="08DD06C3" w14:textId="77777777" w:rsidR="00D92BDF" w:rsidRDefault="00944A9A">
            <w:pPr>
              <w:pStyle w:val="TableParagraph"/>
              <w:spacing w:before="8" w:line="480" w:lineRule="auto"/>
              <w:ind w:left="15" w:right="478"/>
              <w:rPr>
                <w:rFonts w:ascii="Calibri"/>
                <w:sz w:val="20"/>
              </w:rPr>
            </w:pPr>
            <w:r>
              <w:rPr>
                <w:rFonts w:ascii="Calibri"/>
                <w:sz w:val="20"/>
              </w:rPr>
              <w:t>Middel Score: 9</w:t>
            </w:r>
          </w:p>
        </w:tc>
        <w:tc>
          <w:tcPr>
            <w:tcW w:w="1213" w:type="dxa"/>
            <w:tcBorders>
              <w:top w:val="single" w:sz="4" w:space="0" w:color="000000"/>
              <w:left w:val="single" w:sz="4" w:space="0" w:color="000000"/>
              <w:bottom w:val="single" w:sz="4" w:space="0" w:color="000000"/>
              <w:right w:val="single" w:sz="4" w:space="0" w:color="000000"/>
            </w:tcBorders>
            <w:shd w:val="clear" w:color="auto" w:fill="FFC000"/>
          </w:tcPr>
          <w:p w14:paraId="22592D46" w14:textId="77777777" w:rsidR="00D92BDF" w:rsidRDefault="00944A9A">
            <w:pPr>
              <w:pStyle w:val="TableParagraph"/>
              <w:spacing w:before="8" w:line="480" w:lineRule="auto"/>
              <w:ind w:left="17" w:right="122" w:firstLine="45"/>
              <w:rPr>
                <w:rFonts w:ascii="Calibri"/>
                <w:sz w:val="20"/>
              </w:rPr>
            </w:pPr>
            <w:r>
              <w:rPr>
                <w:rFonts w:ascii="Calibri"/>
                <w:sz w:val="20"/>
              </w:rPr>
              <w:t>Over middel Score: 12</w:t>
            </w:r>
          </w:p>
        </w:tc>
        <w:tc>
          <w:tcPr>
            <w:tcW w:w="1663" w:type="dxa"/>
            <w:vMerge/>
            <w:tcBorders>
              <w:top w:val="nil"/>
              <w:left w:val="single" w:sz="4" w:space="0" w:color="000000"/>
            </w:tcBorders>
            <w:shd w:val="clear" w:color="auto" w:fill="6D919F"/>
          </w:tcPr>
          <w:p w14:paraId="522AA661" w14:textId="77777777" w:rsidR="00D92BDF" w:rsidRDefault="00D92BDF">
            <w:pPr>
              <w:rPr>
                <w:sz w:val="2"/>
                <w:szCs w:val="2"/>
              </w:rPr>
            </w:pPr>
          </w:p>
        </w:tc>
      </w:tr>
      <w:tr w:rsidR="00D92BDF" w14:paraId="5AF53153" w14:textId="77777777">
        <w:trPr>
          <w:trHeight w:val="1014"/>
        </w:trPr>
        <w:tc>
          <w:tcPr>
            <w:tcW w:w="1642" w:type="dxa"/>
            <w:tcBorders>
              <w:top w:val="nil"/>
              <w:bottom w:val="nil"/>
              <w:right w:val="nil"/>
            </w:tcBorders>
          </w:tcPr>
          <w:p w14:paraId="5DA84A7B" w14:textId="77777777" w:rsidR="00D92BDF" w:rsidRDefault="00D92BDF">
            <w:pPr>
              <w:pStyle w:val="TableParagraph"/>
              <w:spacing w:before="9"/>
              <w:rPr>
                <w:sz w:val="25"/>
              </w:rPr>
            </w:pPr>
          </w:p>
          <w:p w14:paraId="1C3E3A2F" w14:textId="77777777" w:rsidR="00D92BDF" w:rsidRDefault="00944A9A">
            <w:pPr>
              <w:pStyle w:val="TableParagraph"/>
              <w:ind w:left="14"/>
              <w:rPr>
                <w:b/>
                <w:sz w:val="20"/>
              </w:rPr>
            </w:pPr>
            <w:r>
              <w:rPr>
                <w:b/>
                <w:sz w:val="20"/>
              </w:rPr>
              <w:t>Mindre alvorlig (generende)</w:t>
            </w:r>
          </w:p>
        </w:tc>
        <w:tc>
          <w:tcPr>
            <w:tcW w:w="1668" w:type="dxa"/>
            <w:tcBorders>
              <w:top w:val="nil"/>
              <w:left w:val="nil"/>
              <w:bottom w:val="nil"/>
            </w:tcBorders>
          </w:tcPr>
          <w:p w14:paraId="1A4AED53" w14:textId="77777777" w:rsidR="00D92BDF" w:rsidRDefault="00D92BDF">
            <w:pPr>
              <w:pStyle w:val="TableParagraph"/>
              <w:rPr>
                <w:rFonts w:ascii="Times New Roman"/>
              </w:rPr>
            </w:pPr>
          </w:p>
        </w:tc>
        <w:tc>
          <w:tcPr>
            <w:tcW w:w="1218" w:type="dxa"/>
            <w:tcBorders>
              <w:top w:val="single" w:sz="4" w:space="0" w:color="000000"/>
              <w:bottom w:val="single" w:sz="4" w:space="0" w:color="000000"/>
              <w:right w:val="single" w:sz="4" w:space="0" w:color="000000"/>
            </w:tcBorders>
            <w:shd w:val="clear" w:color="auto" w:fill="00AF50"/>
          </w:tcPr>
          <w:p w14:paraId="477F513C" w14:textId="77777777" w:rsidR="00D92BDF" w:rsidRDefault="00944A9A">
            <w:pPr>
              <w:pStyle w:val="TableParagraph"/>
              <w:spacing w:before="8" w:line="480" w:lineRule="auto"/>
              <w:ind w:left="14" w:right="466"/>
              <w:rPr>
                <w:rFonts w:ascii="Calibri"/>
                <w:sz w:val="20"/>
              </w:rPr>
            </w:pPr>
            <w:r>
              <w:rPr>
                <w:rFonts w:ascii="Calibri"/>
                <w:sz w:val="20"/>
              </w:rPr>
              <w:t>Lav Score: 2</w:t>
            </w:r>
          </w:p>
        </w:tc>
        <w:tc>
          <w:tcPr>
            <w:tcW w:w="1251" w:type="dxa"/>
            <w:tcBorders>
              <w:top w:val="single" w:sz="4" w:space="0" w:color="000000"/>
              <w:left w:val="single" w:sz="4" w:space="0" w:color="000000"/>
              <w:bottom w:val="single" w:sz="4" w:space="0" w:color="000000"/>
              <w:right w:val="single" w:sz="4" w:space="0" w:color="000000"/>
            </w:tcBorders>
            <w:shd w:val="clear" w:color="auto" w:fill="92D050"/>
          </w:tcPr>
          <w:p w14:paraId="7A5C3A98" w14:textId="77777777" w:rsidR="00D92BDF" w:rsidRDefault="00944A9A">
            <w:pPr>
              <w:pStyle w:val="TableParagraph"/>
              <w:spacing w:before="8" w:line="480" w:lineRule="auto"/>
              <w:ind w:left="18"/>
              <w:rPr>
                <w:rFonts w:ascii="Calibri"/>
                <w:sz w:val="20"/>
              </w:rPr>
            </w:pPr>
            <w:r>
              <w:rPr>
                <w:rFonts w:ascii="Calibri"/>
                <w:sz w:val="20"/>
              </w:rPr>
              <w:t>Under middel Score: 4</w:t>
            </w:r>
          </w:p>
        </w:tc>
        <w:tc>
          <w:tcPr>
            <w:tcW w:w="1258" w:type="dxa"/>
            <w:tcBorders>
              <w:top w:val="single" w:sz="4" w:space="0" w:color="000000"/>
              <w:left w:val="single" w:sz="4" w:space="0" w:color="000000"/>
              <w:bottom w:val="single" w:sz="4" w:space="0" w:color="000000"/>
              <w:right w:val="single" w:sz="4" w:space="0" w:color="000000"/>
            </w:tcBorders>
            <w:shd w:val="clear" w:color="auto" w:fill="92D050"/>
          </w:tcPr>
          <w:p w14:paraId="3F40C437" w14:textId="77777777" w:rsidR="00D92BDF" w:rsidRDefault="00944A9A">
            <w:pPr>
              <w:pStyle w:val="TableParagraph"/>
              <w:spacing w:before="8" w:line="480" w:lineRule="auto"/>
              <w:ind w:left="15" w:right="53" w:firstLine="45"/>
              <w:rPr>
                <w:rFonts w:ascii="Calibri"/>
                <w:sz w:val="20"/>
              </w:rPr>
            </w:pPr>
            <w:r>
              <w:rPr>
                <w:rFonts w:ascii="Calibri"/>
                <w:sz w:val="20"/>
              </w:rPr>
              <w:t>Under middel Score: 6</w:t>
            </w:r>
          </w:p>
        </w:tc>
        <w:tc>
          <w:tcPr>
            <w:tcW w:w="1213" w:type="dxa"/>
            <w:tcBorders>
              <w:top w:val="single" w:sz="4" w:space="0" w:color="000000"/>
              <w:left w:val="single" w:sz="4" w:space="0" w:color="000000"/>
              <w:bottom w:val="single" w:sz="4" w:space="0" w:color="000000"/>
              <w:right w:val="single" w:sz="4" w:space="0" w:color="000000"/>
            </w:tcBorders>
            <w:shd w:val="clear" w:color="auto" w:fill="FFFF00"/>
          </w:tcPr>
          <w:p w14:paraId="32B45A82" w14:textId="77777777" w:rsidR="00D92BDF" w:rsidRDefault="00944A9A">
            <w:pPr>
              <w:pStyle w:val="TableParagraph"/>
              <w:spacing w:before="8" w:line="480" w:lineRule="auto"/>
              <w:ind w:left="17" w:right="466"/>
              <w:rPr>
                <w:rFonts w:ascii="Calibri"/>
                <w:sz w:val="20"/>
              </w:rPr>
            </w:pPr>
            <w:r>
              <w:rPr>
                <w:rFonts w:ascii="Calibri"/>
                <w:sz w:val="20"/>
              </w:rPr>
              <w:t>Middel Score: 8</w:t>
            </w:r>
          </w:p>
        </w:tc>
        <w:tc>
          <w:tcPr>
            <w:tcW w:w="1663" w:type="dxa"/>
            <w:vMerge/>
            <w:tcBorders>
              <w:top w:val="nil"/>
              <w:left w:val="single" w:sz="4" w:space="0" w:color="000000"/>
            </w:tcBorders>
            <w:shd w:val="clear" w:color="auto" w:fill="6D919F"/>
          </w:tcPr>
          <w:p w14:paraId="4C00EF9D" w14:textId="77777777" w:rsidR="00D92BDF" w:rsidRDefault="00D92BDF">
            <w:pPr>
              <w:rPr>
                <w:sz w:val="2"/>
                <w:szCs w:val="2"/>
              </w:rPr>
            </w:pPr>
          </w:p>
        </w:tc>
      </w:tr>
      <w:tr w:rsidR="00D92BDF" w14:paraId="74B55841" w14:textId="77777777">
        <w:trPr>
          <w:trHeight w:val="1019"/>
        </w:trPr>
        <w:tc>
          <w:tcPr>
            <w:tcW w:w="3310" w:type="dxa"/>
            <w:gridSpan w:val="2"/>
            <w:tcBorders>
              <w:top w:val="nil"/>
              <w:bottom w:val="nil"/>
            </w:tcBorders>
          </w:tcPr>
          <w:p w14:paraId="0B722E73" w14:textId="77777777" w:rsidR="00D92BDF" w:rsidRDefault="00D92BDF">
            <w:pPr>
              <w:pStyle w:val="TableParagraph"/>
            </w:pPr>
          </w:p>
          <w:p w14:paraId="366C9778" w14:textId="77777777" w:rsidR="00D92BDF" w:rsidRDefault="00D92BDF">
            <w:pPr>
              <w:pStyle w:val="TableParagraph"/>
              <w:spacing w:before="7"/>
              <w:rPr>
                <w:sz w:val="23"/>
              </w:rPr>
            </w:pPr>
          </w:p>
          <w:p w14:paraId="7EFB9814" w14:textId="77777777" w:rsidR="00D92BDF" w:rsidRDefault="00944A9A">
            <w:pPr>
              <w:pStyle w:val="TableParagraph"/>
              <w:ind w:left="14"/>
              <w:rPr>
                <w:b/>
                <w:sz w:val="20"/>
              </w:rPr>
            </w:pPr>
            <w:r>
              <w:rPr>
                <w:b/>
                <w:sz w:val="20"/>
              </w:rPr>
              <w:t>Ubetydelig (uvæsentlig)</w:t>
            </w:r>
          </w:p>
        </w:tc>
        <w:tc>
          <w:tcPr>
            <w:tcW w:w="1218" w:type="dxa"/>
            <w:tcBorders>
              <w:top w:val="single" w:sz="4" w:space="0" w:color="000000"/>
              <w:right w:val="single" w:sz="4" w:space="0" w:color="000000"/>
            </w:tcBorders>
            <w:shd w:val="clear" w:color="auto" w:fill="00AF50"/>
          </w:tcPr>
          <w:p w14:paraId="15062E08" w14:textId="77777777" w:rsidR="00D92BDF" w:rsidRDefault="00944A9A">
            <w:pPr>
              <w:pStyle w:val="TableParagraph"/>
              <w:spacing w:before="8" w:line="480" w:lineRule="auto"/>
              <w:ind w:left="14" w:right="466"/>
              <w:rPr>
                <w:rFonts w:ascii="Calibri"/>
                <w:sz w:val="20"/>
              </w:rPr>
            </w:pPr>
            <w:r>
              <w:rPr>
                <w:rFonts w:ascii="Calibri"/>
                <w:sz w:val="20"/>
              </w:rPr>
              <w:t>Lav Score: 1</w:t>
            </w:r>
          </w:p>
        </w:tc>
        <w:tc>
          <w:tcPr>
            <w:tcW w:w="1251" w:type="dxa"/>
            <w:tcBorders>
              <w:top w:val="single" w:sz="4" w:space="0" w:color="000000"/>
              <w:left w:val="single" w:sz="4" w:space="0" w:color="000000"/>
              <w:right w:val="single" w:sz="4" w:space="0" w:color="000000"/>
            </w:tcBorders>
            <w:shd w:val="clear" w:color="auto" w:fill="00AF50"/>
          </w:tcPr>
          <w:p w14:paraId="292098A3" w14:textId="77777777" w:rsidR="00D92BDF" w:rsidRDefault="00944A9A">
            <w:pPr>
              <w:pStyle w:val="TableParagraph"/>
              <w:spacing w:before="8" w:line="480" w:lineRule="auto"/>
              <w:ind w:left="18" w:right="468"/>
              <w:rPr>
                <w:rFonts w:ascii="Calibri"/>
                <w:sz w:val="20"/>
              </w:rPr>
            </w:pPr>
            <w:r>
              <w:rPr>
                <w:rFonts w:ascii="Calibri"/>
                <w:sz w:val="20"/>
              </w:rPr>
              <w:t>Lav Score: 2</w:t>
            </w:r>
          </w:p>
        </w:tc>
        <w:tc>
          <w:tcPr>
            <w:tcW w:w="1258" w:type="dxa"/>
            <w:tcBorders>
              <w:top w:val="single" w:sz="4" w:space="0" w:color="000000"/>
              <w:left w:val="single" w:sz="4" w:space="0" w:color="000000"/>
              <w:right w:val="single" w:sz="4" w:space="0" w:color="000000"/>
            </w:tcBorders>
            <w:shd w:val="clear" w:color="auto" w:fill="00AF50"/>
          </w:tcPr>
          <w:p w14:paraId="628C73BD" w14:textId="77777777" w:rsidR="00D92BDF" w:rsidRDefault="00944A9A">
            <w:pPr>
              <w:pStyle w:val="TableParagraph"/>
              <w:spacing w:before="8" w:line="480" w:lineRule="auto"/>
              <w:ind w:left="15" w:right="478"/>
              <w:rPr>
                <w:rFonts w:ascii="Calibri"/>
                <w:sz w:val="20"/>
              </w:rPr>
            </w:pPr>
            <w:r>
              <w:rPr>
                <w:rFonts w:ascii="Calibri"/>
                <w:sz w:val="20"/>
              </w:rPr>
              <w:t>Lav Score: 3</w:t>
            </w:r>
          </w:p>
        </w:tc>
        <w:tc>
          <w:tcPr>
            <w:tcW w:w="1213" w:type="dxa"/>
            <w:tcBorders>
              <w:top w:val="single" w:sz="4" w:space="0" w:color="000000"/>
              <w:left w:val="single" w:sz="4" w:space="0" w:color="000000"/>
              <w:right w:val="single" w:sz="4" w:space="0" w:color="000000"/>
            </w:tcBorders>
            <w:shd w:val="clear" w:color="auto" w:fill="92D050"/>
          </w:tcPr>
          <w:p w14:paraId="41410149" w14:textId="77777777" w:rsidR="00D92BDF" w:rsidRDefault="00944A9A">
            <w:pPr>
              <w:pStyle w:val="TableParagraph"/>
              <w:spacing w:before="8" w:line="480" w:lineRule="auto"/>
              <w:ind w:left="17" w:right="6" w:firstLine="45"/>
              <w:rPr>
                <w:rFonts w:ascii="Calibri"/>
                <w:sz w:val="20"/>
              </w:rPr>
            </w:pPr>
            <w:r>
              <w:rPr>
                <w:rFonts w:ascii="Calibri"/>
                <w:sz w:val="20"/>
              </w:rPr>
              <w:t>Under middel Score: 4</w:t>
            </w:r>
          </w:p>
        </w:tc>
        <w:tc>
          <w:tcPr>
            <w:tcW w:w="1663" w:type="dxa"/>
            <w:vMerge/>
            <w:tcBorders>
              <w:top w:val="nil"/>
              <w:left w:val="single" w:sz="4" w:space="0" w:color="000000"/>
            </w:tcBorders>
            <w:shd w:val="clear" w:color="auto" w:fill="6D919F"/>
          </w:tcPr>
          <w:p w14:paraId="75DB2F5F" w14:textId="77777777" w:rsidR="00D92BDF" w:rsidRDefault="00D92BDF">
            <w:pPr>
              <w:rPr>
                <w:sz w:val="2"/>
                <w:szCs w:val="2"/>
              </w:rPr>
            </w:pPr>
          </w:p>
        </w:tc>
      </w:tr>
      <w:tr w:rsidR="00D92BDF" w14:paraId="5917AC53" w14:textId="77777777">
        <w:trPr>
          <w:trHeight w:val="781"/>
        </w:trPr>
        <w:tc>
          <w:tcPr>
            <w:tcW w:w="3310" w:type="dxa"/>
            <w:gridSpan w:val="2"/>
            <w:tcBorders>
              <w:top w:val="nil"/>
              <w:right w:val="single" w:sz="4" w:space="0" w:color="000000"/>
            </w:tcBorders>
          </w:tcPr>
          <w:p w14:paraId="6C07A27B" w14:textId="77777777" w:rsidR="00D92BDF" w:rsidRDefault="00D92BDF">
            <w:pPr>
              <w:pStyle w:val="TableParagraph"/>
              <w:rPr>
                <w:rFonts w:ascii="Times New Roman"/>
              </w:rPr>
            </w:pPr>
          </w:p>
        </w:tc>
        <w:tc>
          <w:tcPr>
            <w:tcW w:w="1218" w:type="dxa"/>
            <w:tcBorders>
              <w:left w:val="single" w:sz="4" w:space="0" w:color="000000"/>
              <w:right w:val="nil"/>
            </w:tcBorders>
          </w:tcPr>
          <w:p w14:paraId="7BF14609" w14:textId="77777777" w:rsidR="00D92BDF" w:rsidRDefault="00D92BDF">
            <w:pPr>
              <w:pStyle w:val="TableParagraph"/>
              <w:spacing w:before="6"/>
              <w:rPr>
                <w:sz w:val="24"/>
              </w:rPr>
            </w:pPr>
          </w:p>
          <w:p w14:paraId="7218C320" w14:textId="77777777" w:rsidR="00D92BDF" w:rsidRDefault="00944A9A">
            <w:pPr>
              <w:pStyle w:val="TableParagraph"/>
              <w:ind w:left="55"/>
              <w:rPr>
                <w:b/>
                <w:sz w:val="20"/>
              </w:rPr>
            </w:pPr>
            <w:r>
              <w:rPr>
                <w:b/>
                <w:sz w:val="20"/>
              </w:rPr>
              <w:t>Usandsynligt</w:t>
            </w:r>
          </w:p>
        </w:tc>
        <w:tc>
          <w:tcPr>
            <w:tcW w:w="1251" w:type="dxa"/>
            <w:tcBorders>
              <w:left w:val="nil"/>
              <w:right w:val="nil"/>
            </w:tcBorders>
          </w:tcPr>
          <w:p w14:paraId="3B028635" w14:textId="77777777" w:rsidR="00D92BDF" w:rsidRDefault="00944A9A">
            <w:pPr>
              <w:pStyle w:val="TableParagraph"/>
              <w:spacing w:before="31" w:line="261" w:lineRule="auto"/>
              <w:ind w:left="152" w:right="112" w:firstLine="173"/>
              <w:rPr>
                <w:b/>
                <w:sz w:val="20"/>
              </w:rPr>
            </w:pPr>
            <w:r>
              <w:rPr>
                <w:b/>
                <w:sz w:val="20"/>
              </w:rPr>
              <w:t>Mindre sandsynligt</w:t>
            </w:r>
          </w:p>
        </w:tc>
        <w:tc>
          <w:tcPr>
            <w:tcW w:w="1258" w:type="dxa"/>
            <w:tcBorders>
              <w:left w:val="nil"/>
              <w:right w:val="nil"/>
            </w:tcBorders>
          </w:tcPr>
          <w:p w14:paraId="6AE3622A" w14:textId="77777777" w:rsidR="00D92BDF" w:rsidRDefault="00D92BDF">
            <w:pPr>
              <w:pStyle w:val="TableParagraph"/>
              <w:spacing w:before="6"/>
              <w:rPr>
                <w:sz w:val="24"/>
              </w:rPr>
            </w:pPr>
          </w:p>
          <w:p w14:paraId="3039C6F7" w14:textId="77777777" w:rsidR="00D92BDF" w:rsidRDefault="00944A9A">
            <w:pPr>
              <w:pStyle w:val="TableParagraph"/>
              <w:ind w:left="143"/>
              <w:rPr>
                <w:b/>
                <w:sz w:val="20"/>
              </w:rPr>
            </w:pPr>
            <w:r>
              <w:rPr>
                <w:b/>
                <w:sz w:val="20"/>
              </w:rPr>
              <w:t>Sandsynligt</w:t>
            </w:r>
          </w:p>
        </w:tc>
        <w:tc>
          <w:tcPr>
            <w:tcW w:w="1213" w:type="dxa"/>
            <w:tcBorders>
              <w:left w:val="nil"/>
              <w:right w:val="nil"/>
            </w:tcBorders>
          </w:tcPr>
          <w:p w14:paraId="3392C62D" w14:textId="77777777" w:rsidR="00D92BDF" w:rsidRDefault="00D92BDF">
            <w:pPr>
              <w:pStyle w:val="TableParagraph"/>
              <w:spacing w:before="6"/>
              <w:rPr>
                <w:sz w:val="24"/>
              </w:rPr>
            </w:pPr>
          </w:p>
          <w:p w14:paraId="20C97B06" w14:textId="77777777" w:rsidR="00D92BDF" w:rsidRDefault="00944A9A">
            <w:pPr>
              <w:pStyle w:val="TableParagraph"/>
              <w:ind w:left="212"/>
              <w:rPr>
                <w:b/>
                <w:sz w:val="20"/>
              </w:rPr>
            </w:pPr>
            <w:r>
              <w:rPr>
                <w:b/>
                <w:sz w:val="20"/>
              </w:rPr>
              <w:t>Forventet</w:t>
            </w:r>
          </w:p>
        </w:tc>
        <w:tc>
          <w:tcPr>
            <w:tcW w:w="1663" w:type="dxa"/>
            <w:tcBorders>
              <w:left w:val="nil"/>
            </w:tcBorders>
          </w:tcPr>
          <w:p w14:paraId="6C816460" w14:textId="77777777" w:rsidR="00D92BDF" w:rsidRDefault="00D92BDF">
            <w:pPr>
              <w:pStyle w:val="TableParagraph"/>
              <w:spacing w:before="6"/>
              <w:rPr>
                <w:sz w:val="24"/>
              </w:rPr>
            </w:pPr>
          </w:p>
          <w:p w14:paraId="3AF4B6DA" w14:textId="77777777" w:rsidR="00D92BDF" w:rsidRDefault="00944A9A">
            <w:pPr>
              <w:pStyle w:val="TableParagraph"/>
              <w:ind w:left="24"/>
              <w:rPr>
                <w:b/>
                <w:sz w:val="20"/>
              </w:rPr>
            </w:pPr>
            <w:r>
              <w:rPr>
                <w:b/>
                <w:sz w:val="20"/>
              </w:rPr>
              <w:t>Sandsynlighed</w:t>
            </w:r>
          </w:p>
        </w:tc>
      </w:tr>
      <w:tr w:rsidR="00D92BDF" w:rsidRPr="000103E8" w14:paraId="02E8F13F" w14:textId="77777777">
        <w:trPr>
          <w:trHeight w:val="707"/>
        </w:trPr>
        <w:tc>
          <w:tcPr>
            <w:tcW w:w="1642" w:type="dxa"/>
            <w:tcBorders>
              <w:left w:val="single" w:sz="4" w:space="0" w:color="000000"/>
              <w:bottom w:val="nil"/>
              <w:right w:val="nil"/>
            </w:tcBorders>
            <w:shd w:val="clear" w:color="auto" w:fill="00AF50"/>
          </w:tcPr>
          <w:p w14:paraId="7C3AD1E7" w14:textId="77777777" w:rsidR="00D92BDF" w:rsidRDefault="00D92BDF">
            <w:pPr>
              <w:pStyle w:val="TableParagraph"/>
              <w:rPr>
                <w:rFonts w:ascii="Times New Roman"/>
              </w:rPr>
            </w:pPr>
          </w:p>
        </w:tc>
        <w:tc>
          <w:tcPr>
            <w:tcW w:w="1668" w:type="dxa"/>
            <w:tcBorders>
              <w:left w:val="nil"/>
              <w:bottom w:val="nil"/>
              <w:right w:val="single" w:sz="4" w:space="0" w:color="000000"/>
            </w:tcBorders>
            <w:shd w:val="clear" w:color="auto" w:fill="92D050"/>
          </w:tcPr>
          <w:p w14:paraId="77937E61" w14:textId="77777777" w:rsidR="00D92BDF" w:rsidRDefault="00D92BDF">
            <w:pPr>
              <w:pStyle w:val="TableParagraph"/>
              <w:rPr>
                <w:rFonts w:ascii="Times New Roman"/>
              </w:rPr>
            </w:pPr>
          </w:p>
        </w:tc>
        <w:tc>
          <w:tcPr>
            <w:tcW w:w="1218" w:type="dxa"/>
            <w:tcBorders>
              <w:left w:val="single" w:sz="4" w:space="0" w:color="000000"/>
              <w:bottom w:val="nil"/>
              <w:right w:val="nil"/>
            </w:tcBorders>
          </w:tcPr>
          <w:p w14:paraId="70644BFE" w14:textId="77777777" w:rsidR="00D92BDF" w:rsidRDefault="00D92BDF">
            <w:pPr>
              <w:pStyle w:val="TableParagraph"/>
              <w:rPr>
                <w:rFonts w:ascii="Times New Roman"/>
              </w:rPr>
            </w:pPr>
          </w:p>
        </w:tc>
        <w:tc>
          <w:tcPr>
            <w:tcW w:w="5385" w:type="dxa"/>
            <w:gridSpan w:val="4"/>
            <w:tcBorders>
              <w:left w:val="nil"/>
              <w:bottom w:val="nil"/>
            </w:tcBorders>
          </w:tcPr>
          <w:p w14:paraId="52C439BF" w14:textId="77777777" w:rsidR="00D92BDF" w:rsidRPr="000103E8" w:rsidRDefault="00D92BDF">
            <w:pPr>
              <w:pStyle w:val="TableParagraph"/>
              <w:spacing w:before="7"/>
              <w:rPr>
                <w:sz w:val="19"/>
                <w:lang w:val="da-DK"/>
              </w:rPr>
            </w:pPr>
          </w:p>
          <w:p w14:paraId="4CE83292" w14:textId="77777777" w:rsidR="00D92BDF" w:rsidRPr="000103E8" w:rsidRDefault="00944A9A">
            <w:pPr>
              <w:pStyle w:val="TableParagraph"/>
              <w:ind w:left="23"/>
              <w:rPr>
                <w:b/>
                <w:sz w:val="18"/>
                <w:lang w:val="da-DK"/>
              </w:rPr>
            </w:pPr>
            <w:r w:rsidRPr="000103E8">
              <w:rPr>
                <w:b/>
                <w:sz w:val="18"/>
                <w:lang w:val="da-DK"/>
              </w:rPr>
              <w:t>Lav – under middel: Bør ikke give anledning til yderligere behandling</w:t>
            </w:r>
          </w:p>
        </w:tc>
      </w:tr>
      <w:tr w:rsidR="00D92BDF" w:rsidRPr="000103E8" w14:paraId="3155314E" w14:textId="77777777">
        <w:trPr>
          <w:trHeight w:val="706"/>
        </w:trPr>
        <w:tc>
          <w:tcPr>
            <w:tcW w:w="3310" w:type="dxa"/>
            <w:gridSpan w:val="2"/>
            <w:tcBorders>
              <w:top w:val="nil"/>
              <w:left w:val="single" w:sz="4" w:space="0" w:color="000000"/>
              <w:bottom w:val="nil"/>
              <w:right w:val="single" w:sz="4" w:space="0" w:color="000000"/>
            </w:tcBorders>
            <w:shd w:val="clear" w:color="auto" w:fill="FFFF00"/>
          </w:tcPr>
          <w:p w14:paraId="3D7BA812" w14:textId="77777777" w:rsidR="00D92BDF" w:rsidRPr="000103E8" w:rsidRDefault="00D92BDF">
            <w:pPr>
              <w:pStyle w:val="TableParagraph"/>
              <w:rPr>
                <w:rFonts w:ascii="Times New Roman"/>
                <w:lang w:val="da-DK"/>
              </w:rPr>
            </w:pPr>
          </w:p>
        </w:tc>
        <w:tc>
          <w:tcPr>
            <w:tcW w:w="1218" w:type="dxa"/>
            <w:tcBorders>
              <w:top w:val="nil"/>
              <w:left w:val="single" w:sz="4" w:space="0" w:color="000000"/>
              <w:bottom w:val="nil"/>
              <w:right w:val="nil"/>
            </w:tcBorders>
          </w:tcPr>
          <w:p w14:paraId="4BEB9E7F" w14:textId="77777777" w:rsidR="00D92BDF" w:rsidRPr="000103E8" w:rsidRDefault="00D92BDF">
            <w:pPr>
              <w:pStyle w:val="TableParagraph"/>
              <w:rPr>
                <w:rFonts w:ascii="Times New Roman"/>
                <w:lang w:val="da-DK"/>
              </w:rPr>
            </w:pPr>
          </w:p>
        </w:tc>
        <w:tc>
          <w:tcPr>
            <w:tcW w:w="5385" w:type="dxa"/>
            <w:gridSpan w:val="4"/>
            <w:tcBorders>
              <w:top w:val="nil"/>
              <w:left w:val="nil"/>
              <w:bottom w:val="nil"/>
            </w:tcBorders>
          </w:tcPr>
          <w:p w14:paraId="292C4475" w14:textId="77777777" w:rsidR="00D92BDF" w:rsidRPr="000103E8" w:rsidRDefault="00D92BDF">
            <w:pPr>
              <w:pStyle w:val="TableParagraph"/>
              <w:spacing w:before="8"/>
              <w:rPr>
                <w:sz w:val="19"/>
                <w:lang w:val="da-DK"/>
              </w:rPr>
            </w:pPr>
          </w:p>
          <w:p w14:paraId="224AF993" w14:textId="77777777" w:rsidR="00D92BDF" w:rsidRPr="000103E8" w:rsidRDefault="00944A9A">
            <w:pPr>
              <w:pStyle w:val="TableParagraph"/>
              <w:ind w:left="23"/>
              <w:rPr>
                <w:b/>
                <w:sz w:val="18"/>
                <w:lang w:val="da-DK"/>
              </w:rPr>
            </w:pPr>
            <w:r w:rsidRPr="000103E8">
              <w:rPr>
                <w:b/>
                <w:sz w:val="18"/>
                <w:lang w:val="da-DK"/>
              </w:rPr>
              <w:t>Middel: Bør give anledning til løbende overvågning</w:t>
            </w:r>
          </w:p>
        </w:tc>
      </w:tr>
      <w:tr w:rsidR="00D92BDF" w:rsidRPr="000103E8" w14:paraId="23E77B88" w14:textId="77777777">
        <w:trPr>
          <w:trHeight w:val="652"/>
        </w:trPr>
        <w:tc>
          <w:tcPr>
            <w:tcW w:w="3310" w:type="dxa"/>
            <w:gridSpan w:val="2"/>
            <w:tcBorders>
              <w:top w:val="nil"/>
              <w:left w:val="single" w:sz="4" w:space="0" w:color="000000"/>
              <w:bottom w:val="nil"/>
              <w:right w:val="single" w:sz="4" w:space="0" w:color="000000"/>
            </w:tcBorders>
            <w:shd w:val="clear" w:color="auto" w:fill="FFC000"/>
          </w:tcPr>
          <w:p w14:paraId="2C5139F4" w14:textId="77777777" w:rsidR="00D92BDF" w:rsidRPr="000103E8" w:rsidRDefault="00D92BDF">
            <w:pPr>
              <w:pStyle w:val="TableParagraph"/>
              <w:rPr>
                <w:rFonts w:ascii="Times New Roman"/>
                <w:lang w:val="da-DK"/>
              </w:rPr>
            </w:pPr>
          </w:p>
        </w:tc>
        <w:tc>
          <w:tcPr>
            <w:tcW w:w="1218" w:type="dxa"/>
            <w:tcBorders>
              <w:top w:val="nil"/>
              <w:left w:val="single" w:sz="4" w:space="0" w:color="000000"/>
              <w:bottom w:val="nil"/>
              <w:right w:val="nil"/>
            </w:tcBorders>
          </w:tcPr>
          <w:p w14:paraId="43291D75" w14:textId="77777777" w:rsidR="00D92BDF" w:rsidRPr="000103E8" w:rsidRDefault="00D92BDF">
            <w:pPr>
              <w:pStyle w:val="TableParagraph"/>
              <w:rPr>
                <w:rFonts w:ascii="Times New Roman"/>
                <w:lang w:val="da-DK"/>
              </w:rPr>
            </w:pPr>
          </w:p>
        </w:tc>
        <w:tc>
          <w:tcPr>
            <w:tcW w:w="3722" w:type="dxa"/>
            <w:gridSpan w:val="3"/>
            <w:tcBorders>
              <w:top w:val="nil"/>
              <w:left w:val="nil"/>
              <w:bottom w:val="nil"/>
              <w:right w:val="nil"/>
            </w:tcBorders>
          </w:tcPr>
          <w:p w14:paraId="1B5BE6DA" w14:textId="77777777" w:rsidR="00D92BDF" w:rsidRPr="000103E8" w:rsidRDefault="00944A9A">
            <w:pPr>
              <w:pStyle w:val="TableParagraph"/>
              <w:spacing w:before="169"/>
              <w:ind w:left="23"/>
              <w:rPr>
                <w:b/>
                <w:sz w:val="18"/>
                <w:lang w:val="da-DK"/>
              </w:rPr>
            </w:pPr>
            <w:r w:rsidRPr="000103E8">
              <w:rPr>
                <w:b/>
                <w:sz w:val="18"/>
                <w:lang w:val="da-DK"/>
              </w:rPr>
              <w:t>Over middel: Bør give anledning til håndtering</w:t>
            </w:r>
          </w:p>
        </w:tc>
        <w:tc>
          <w:tcPr>
            <w:tcW w:w="1663" w:type="dxa"/>
            <w:tcBorders>
              <w:top w:val="nil"/>
              <w:left w:val="nil"/>
              <w:bottom w:val="nil"/>
            </w:tcBorders>
          </w:tcPr>
          <w:p w14:paraId="2FB3E867" w14:textId="77777777" w:rsidR="00D92BDF" w:rsidRPr="000103E8" w:rsidRDefault="00D92BDF">
            <w:pPr>
              <w:pStyle w:val="TableParagraph"/>
              <w:rPr>
                <w:rFonts w:ascii="Times New Roman"/>
                <w:lang w:val="da-DK"/>
              </w:rPr>
            </w:pPr>
          </w:p>
        </w:tc>
      </w:tr>
      <w:tr w:rsidR="00D92BDF" w:rsidRPr="000103E8" w14:paraId="33AF2755" w14:textId="77777777">
        <w:trPr>
          <w:trHeight w:val="705"/>
        </w:trPr>
        <w:tc>
          <w:tcPr>
            <w:tcW w:w="3310" w:type="dxa"/>
            <w:gridSpan w:val="2"/>
            <w:tcBorders>
              <w:top w:val="nil"/>
              <w:left w:val="single" w:sz="4" w:space="0" w:color="000000"/>
              <w:bottom w:val="single" w:sz="4" w:space="0" w:color="000000"/>
              <w:right w:val="single" w:sz="4" w:space="0" w:color="000000"/>
            </w:tcBorders>
            <w:shd w:val="clear" w:color="auto" w:fill="FF0000"/>
          </w:tcPr>
          <w:p w14:paraId="027AC828" w14:textId="77777777" w:rsidR="00D92BDF" w:rsidRPr="000103E8" w:rsidRDefault="00D92BDF">
            <w:pPr>
              <w:pStyle w:val="TableParagraph"/>
              <w:rPr>
                <w:rFonts w:ascii="Times New Roman"/>
                <w:lang w:val="da-DK"/>
              </w:rPr>
            </w:pPr>
          </w:p>
        </w:tc>
        <w:tc>
          <w:tcPr>
            <w:tcW w:w="1218" w:type="dxa"/>
            <w:tcBorders>
              <w:top w:val="nil"/>
              <w:left w:val="single" w:sz="4" w:space="0" w:color="000000"/>
              <w:bottom w:val="single" w:sz="4" w:space="0" w:color="000000"/>
              <w:right w:val="nil"/>
            </w:tcBorders>
          </w:tcPr>
          <w:p w14:paraId="3B5D5F67" w14:textId="77777777" w:rsidR="00D92BDF" w:rsidRPr="000103E8" w:rsidRDefault="00D92BDF">
            <w:pPr>
              <w:pStyle w:val="TableParagraph"/>
              <w:rPr>
                <w:rFonts w:ascii="Times New Roman"/>
                <w:lang w:val="da-DK"/>
              </w:rPr>
            </w:pPr>
          </w:p>
        </w:tc>
        <w:tc>
          <w:tcPr>
            <w:tcW w:w="3722" w:type="dxa"/>
            <w:gridSpan w:val="3"/>
            <w:tcBorders>
              <w:top w:val="nil"/>
              <w:left w:val="nil"/>
              <w:bottom w:val="single" w:sz="4" w:space="0" w:color="000000"/>
              <w:right w:val="nil"/>
            </w:tcBorders>
          </w:tcPr>
          <w:p w14:paraId="0821C718" w14:textId="77777777" w:rsidR="00D92BDF" w:rsidRPr="000103E8" w:rsidRDefault="00D92BDF">
            <w:pPr>
              <w:pStyle w:val="TableParagraph"/>
              <w:spacing w:before="5"/>
              <w:rPr>
                <w:sz w:val="19"/>
                <w:lang w:val="da-DK"/>
              </w:rPr>
            </w:pPr>
          </w:p>
          <w:p w14:paraId="12DF9194" w14:textId="77777777" w:rsidR="00D92BDF" w:rsidRPr="000103E8" w:rsidRDefault="00944A9A">
            <w:pPr>
              <w:pStyle w:val="TableParagraph"/>
              <w:ind w:left="23"/>
              <w:rPr>
                <w:b/>
                <w:sz w:val="18"/>
                <w:lang w:val="da-DK"/>
              </w:rPr>
            </w:pPr>
            <w:r w:rsidRPr="000103E8">
              <w:rPr>
                <w:b/>
                <w:sz w:val="18"/>
                <w:lang w:val="da-DK"/>
              </w:rPr>
              <w:t>Høj: Bør håndteres med det samme</w:t>
            </w:r>
          </w:p>
        </w:tc>
        <w:tc>
          <w:tcPr>
            <w:tcW w:w="1663" w:type="dxa"/>
            <w:tcBorders>
              <w:top w:val="nil"/>
              <w:left w:val="nil"/>
              <w:bottom w:val="single" w:sz="4" w:space="0" w:color="000000"/>
            </w:tcBorders>
          </w:tcPr>
          <w:p w14:paraId="25E0948A" w14:textId="77777777" w:rsidR="00D92BDF" w:rsidRPr="000103E8" w:rsidRDefault="00D92BDF">
            <w:pPr>
              <w:pStyle w:val="TableParagraph"/>
              <w:rPr>
                <w:rFonts w:ascii="Times New Roman"/>
                <w:lang w:val="da-DK"/>
              </w:rPr>
            </w:pPr>
          </w:p>
        </w:tc>
      </w:tr>
    </w:tbl>
    <w:p w14:paraId="6184C05E" w14:textId="77777777" w:rsidR="00D92BDF" w:rsidRPr="000103E8" w:rsidRDefault="00D92BDF">
      <w:pPr>
        <w:pStyle w:val="BodyText"/>
        <w:rPr>
          <w:sz w:val="26"/>
          <w:lang w:val="da-DK"/>
        </w:rPr>
      </w:pPr>
    </w:p>
    <w:p w14:paraId="3CD4C3D8" w14:textId="77777777" w:rsidR="00D92BDF" w:rsidRPr="000103E8" w:rsidRDefault="00D92BDF">
      <w:pPr>
        <w:pStyle w:val="BodyText"/>
        <w:spacing w:before="5"/>
        <w:rPr>
          <w:lang w:val="da-DK"/>
        </w:rPr>
      </w:pPr>
    </w:p>
    <w:p w14:paraId="496A0C4F" w14:textId="77777777" w:rsidR="00B9352A" w:rsidRPr="000103E8" w:rsidRDefault="00B9352A">
      <w:pPr>
        <w:spacing w:before="1"/>
        <w:ind w:left="312"/>
        <w:rPr>
          <w:i/>
          <w:sz w:val="24"/>
          <w:lang w:val="da-DK"/>
        </w:rPr>
      </w:pPr>
    </w:p>
    <w:p w14:paraId="0467208C" w14:textId="77777777" w:rsidR="00B9352A" w:rsidRPr="000103E8" w:rsidRDefault="00B9352A">
      <w:pPr>
        <w:spacing w:before="1"/>
        <w:ind w:left="312"/>
        <w:rPr>
          <w:i/>
          <w:sz w:val="24"/>
          <w:lang w:val="da-DK"/>
        </w:rPr>
      </w:pPr>
    </w:p>
    <w:p w14:paraId="03585947" w14:textId="77777777" w:rsidR="00B9352A" w:rsidRPr="000103E8" w:rsidRDefault="00B9352A">
      <w:pPr>
        <w:spacing w:before="1"/>
        <w:ind w:left="312"/>
        <w:rPr>
          <w:i/>
          <w:sz w:val="24"/>
          <w:lang w:val="da-DK"/>
        </w:rPr>
      </w:pPr>
    </w:p>
    <w:p w14:paraId="6F65B808" w14:textId="77777777" w:rsidR="00D92BDF" w:rsidRPr="000103E8" w:rsidRDefault="00944A9A">
      <w:pPr>
        <w:spacing w:before="1"/>
        <w:ind w:left="312"/>
        <w:rPr>
          <w:i/>
          <w:sz w:val="24"/>
          <w:lang w:val="da-DK"/>
        </w:rPr>
      </w:pPr>
      <w:r w:rsidRPr="000103E8">
        <w:rPr>
          <w:i/>
          <w:sz w:val="24"/>
          <w:lang w:val="da-DK"/>
        </w:rPr>
        <w:lastRenderedPageBreak/>
        <w:t>Rapportering og anbefalinger</w:t>
      </w:r>
    </w:p>
    <w:p w14:paraId="2C51F070" w14:textId="77777777" w:rsidR="00D92BDF" w:rsidRPr="000103E8" w:rsidRDefault="00944A9A">
      <w:pPr>
        <w:pStyle w:val="BodyText"/>
        <w:spacing w:before="112" w:line="249" w:lineRule="auto"/>
        <w:ind w:left="312" w:right="506"/>
        <w:rPr>
          <w:lang w:val="da-DK"/>
        </w:rPr>
      </w:pPr>
      <w:r w:rsidRPr="000103E8">
        <w:rPr>
          <w:lang w:val="da-DK"/>
        </w:rPr>
        <w:t xml:space="preserve">Rapporten udarbejdes af </w:t>
      </w:r>
      <w:r w:rsidR="00B9352A">
        <w:rPr>
          <w:lang w:val="da-DK"/>
        </w:rPr>
        <w:t>[kontor/enhed]</w:t>
      </w:r>
      <w:r w:rsidRPr="000103E8">
        <w:rPr>
          <w:lang w:val="da-DK"/>
        </w:rPr>
        <w:t xml:space="preserve"> og indeholder beskrivelse af systemet, hvilke komponenter det indeholder, hvilke der er medtaget i vurderingen, og en samlet analyse af, hvordan risici fordeler sig for </w:t>
      </w:r>
      <w:r w:rsidR="00B9352A">
        <w:rPr>
          <w:lang w:val="da-DK"/>
        </w:rPr>
        <w:t>[organisationen]</w:t>
      </w:r>
      <w:r w:rsidRPr="000103E8">
        <w:rPr>
          <w:lang w:val="da-DK"/>
        </w:rPr>
        <w:t xml:space="preserve"> og for de registrerede. I rapporten fremhæves de opmærksomhedspunkter, der har særlig betydning for sikkerheden, fx ved at være af kritisk karakter.</w:t>
      </w:r>
    </w:p>
    <w:p w14:paraId="5E81B0F5" w14:textId="77777777" w:rsidR="00D92BDF" w:rsidRPr="000103E8" w:rsidRDefault="00D92BDF">
      <w:pPr>
        <w:pStyle w:val="BodyText"/>
        <w:spacing w:before="9"/>
        <w:rPr>
          <w:lang w:val="da-DK"/>
        </w:rPr>
      </w:pPr>
    </w:p>
    <w:p w14:paraId="306E90A7" w14:textId="77777777" w:rsidR="00D92BDF" w:rsidRPr="000103E8" w:rsidRDefault="00944A9A">
      <w:pPr>
        <w:pStyle w:val="BodyText"/>
        <w:spacing w:line="247" w:lineRule="auto"/>
        <w:ind w:left="312" w:right="1497"/>
        <w:rPr>
          <w:lang w:val="da-DK"/>
        </w:rPr>
      </w:pPr>
      <w:r w:rsidRPr="000103E8">
        <w:rPr>
          <w:lang w:val="da-DK"/>
        </w:rPr>
        <w:t>Der medtages ligeledes anbefalinger til foranstaltninger og tiltag samt anbefalinger til krav til leverandører, hvor det er muligt.</w:t>
      </w:r>
    </w:p>
    <w:p w14:paraId="1CB034DB" w14:textId="77777777" w:rsidR="00D92BDF" w:rsidRPr="000103E8" w:rsidRDefault="00D92BDF">
      <w:pPr>
        <w:pStyle w:val="BodyText"/>
        <w:spacing w:before="2"/>
        <w:rPr>
          <w:sz w:val="25"/>
          <w:lang w:val="da-DK"/>
        </w:rPr>
      </w:pPr>
    </w:p>
    <w:p w14:paraId="2EE87566" w14:textId="77777777" w:rsidR="00D92BDF" w:rsidRPr="000103E8" w:rsidRDefault="00944A9A">
      <w:pPr>
        <w:pStyle w:val="BodyText"/>
        <w:spacing w:line="249" w:lineRule="auto"/>
        <w:ind w:left="312" w:right="508"/>
        <w:rPr>
          <w:lang w:val="da-DK"/>
        </w:rPr>
      </w:pPr>
      <w:r w:rsidRPr="000103E8">
        <w:rPr>
          <w:lang w:val="da-DK"/>
        </w:rPr>
        <w:t>Der lægges vægt på, at anbefalingerne er relevante i forhold til systemet og resultaterne af risikovurderingen. I forbindelse med udvælgelse af anbefalingerne tages der primært udgangspunkt i ISO 27001, anneks A, interne politikker og retningslinjer samt publikation</w:t>
      </w:r>
      <w:r w:rsidR="00B9352A">
        <w:rPr>
          <w:lang w:val="da-DK"/>
        </w:rPr>
        <w:t>en</w:t>
      </w:r>
      <w:r w:rsidRPr="000103E8">
        <w:rPr>
          <w:lang w:val="da-DK"/>
        </w:rPr>
        <w:t xml:space="preserve"> </w:t>
      </w:r>
      <w:r w:rsidRPr="000103E8">
        <w:rPr>
          <w:i/>
          <w:lang w:val="da-DK"/>
        </w:rPr>
        <w:t>Sådan stiller du krav til leverandører om informationssikkerhed – Katalog</w:t>
      </w:r>
      <w:r w:rsidRPr="000103E8">
        <w:rPr>
          <w:lang w:val="da-DK"/>
        </w:rPr>
        <w:t>, 2017. Heri er der opstillet en række generiske krav ud fra hhv. ISO 27001 samt SANS CIS Critical Security Controls v. 6.1, der er af mere operationel karakter.</w:t>
      </w:r>
    </w:p>
    <w:p w14:paraId="26EC9A9B" w14:textId="77777777" w:rsidR="00D92BDF" w:rsidRPr="000103E8" w:rsidRDefault="00D92BDF">
      <w:pPr>
        <w:pStyle w:val="BodyText"/>
        <w:spacing w:before="7"/>
        <w:rPr>
          <w:lang w:val="da-DK"/>
        </w:rPr>
      </w:pPr>
    </w:p>
    <w:p w14:paraId="5DF3E9E6" w14:textId="77777777" w:rsidR="00D92BDF" w:rsidRPr="000103E8" w:rsidRDefault="00944A9A">
      <w:pPr>
        <w:pStyle w:val="BodyText"/>
        <w:spacing w:line="249" w:lineRule="auto"/>
        <w:ind w:left="312" w:right="506"/>
        <w:rPr>
          <w:lang w:val="da-DK"/>
        </w:rPr>
      </w:pPr>
      <w:r w:rsidRPr="000103E8">
        <w:rPr>
          <w:lang w:val="da-DK"/>
        </w:rPr>
        <w:t>Rapporten høres og godkendes endeligt i det ansvarlige fagkontor. Beslutningen om, hvorvidt anbefalingerne i rapporten til- eller fravælges træffes desuden af risikoejer, evt. i fællesskab med de øvrige repræsentanter fra fagkontoret. Fagkontoret udarbejder risikohåndteringsplaner for de risici, der ønskes håndteret, og aktiviteterne indføres i styrelsens risikoregister. Begrundelsen for fravalg af anbefalingerne skal dokumenteres og vedlægges sagen.</w:t>
      </w:r>
    </w:p>
    <w:p w14:paraId="7161023B" w14:textId="77777777" w:rsidR="00D92BDF" w:rsidRPr="000103E8" w:rsidRDefault="00D92BDF">
      <w:pPr>
        <w:pStyle w:val="BodyText"/>
        <w:spacing w:before="3"/>
        <w:rPr>
          <w:lang w:val="da-DK"/>
        </w:rPr>
      </w:pPr>
    </w:p>
    <w:p w14:paraId="319F7DEE" w14:textId="77777777" w:rsidR="00D92BDF" w:rsidRPr="00956E91" w:rsidRDefault="00944A9A">
      <w:pPr>
        <w:spacing w:before="1"/>
        <w:ind w:left="312"/>
        <w:rPr>
          <w:i/>
          <w:sz w:val="24"/>
          <w:lang w:val="da-DK"/>
        </w:rPr>
      </w:pPr>
      <w:r w:rsidRPr="000103E8">
        <w:rPr>
          <w:i/>
          <w:sz w:val="24"/>
          <w:lang w:val="da-DK"/>
        </w:rPr>
        <w:t xml:space="preserve">Rapportering til </w:t>
      </w:r>
      <w:r w:rsidR="00956E91">
        <w:rPr>
          <w:i/>
          <w:sz w:val="24"/>
          <w:lang w:val="da-DK"/>
        </w:rPr>
        <w:t>[informationssikkerhedsudvalg]</w:t>
      </w:r>
    </w:p>
    <w:p w14:paraId="4EAEEDE6" w14:textId="77777777" w:rsidR="00D92BDF" w:rsidRPr="000103E8" w:rsidRDefault="00D92BDF">
      <w:pPr>
        <w:pStyle w:val="BodyText"/>
        <w:spacing w:before="9"/>
        <w:rPr>
          <w:i/>
          <w:lang w:val="da-DK"/>
        </w:rPr>
      </w:pPr>
    </w:p>
    <w:p w14:paraId="27E9739D" w14:textId="77777777" w:rsidR="00D92BDF" w:rsidRPr="000103E8" w:rsidRDefault="00944A9A">
      <w:pPr>
        <w:pStyle w:val="BodyText"/>
        <w:spacing w:line="259" w:lineRule="auto"/>
        <w:ind w:left="312" w:right="654"/>
        <w:rPr>
          <w:lang w:val="da-DK"/>
        </w:rPr>
      </w:pPr>
      <w:r w:rsidRPr="000103E8">
        <w:rPr>
          <w:lang w:val="da-DK"/>
        </w:rPr>
        <w:t xml:space="preserve">I forbindelse med forelæggelse af den samlede årlige risikovurderingsrapport vælger og prioriterer </w:t>
      </w:r>
      <w:r w:rsidR="00956E91">
        <w:rPr>
          <w:lang w:val="da-DK"/>
        </w:rPr>
        <w:t>[informationssikkerhedsudvalg]</w:t>
      </w:r>
      <w:r w:rsidRPr="000103E8">
        <w:rPr>
          <w:lang w:val="da-DK"/>
        </w:rPr>
        <w:t>, hvilke risici fra de enkelte risikovurderinger, de vurderer, skal rapporteres løbende til udvalget.</w:t>
      </w:r>
    </w:p>
    <w:p w14:paraId="42050675" w14:textId="77777777" w:rsidR="00D92BDF" w:rsidRPr="000103E8" w:rsidRDefault="00944A9A">
      <w:pPr>
        <w:pStyle w:val="BodyText"/>
        <w:spacing w:before="161" w:line="259" w:lineRule="auto"/>
        <w:ind w:left="312" w:right="468"/>
        <w:rPr>
          <w:lang w:val="da-DK"/>
        </w:rPr>
      </w:pPr>
      <w:r w:rsidRPr="000103E8">
        <w:rPr>
          <w:lang w:val="da-DK"/>
        </w:rPr>
        <w:t xml:space="preserve">Risici der udvælges til rapportering til </w:t>
      </w:r>
      <w:r w:rsidR="00956E91">
        <w:rPr>
          <w:lang w:val="da-DK"/>
        </w:rPr>
        <w:t xml:space="preserve">[informationssikkerhedsudvalg] </w:t>
      </w:r>
      <w:r w:rsidRPr="000103E8">
        <w:rPr>
          <w:lang w:val="da-DK"/>
        </w:rPr>
        <w:t xml:space="preserve">registreres i risikoregistret. Risikoejeren (fx systemejeren) er ansvarlig for den løbende rapportering af risikohåndteringen til </w:t>
      </w:r>
      <w:r w:rsidR="00956E91">
        <w:rPr>
          <w:lang w:val="da-DK"/>
        </w:rPr>
        <w:t>[informationssikkerhedsudvalg]</w:t>
      </w:r>
      <w:r w:rsidRPr="000103E8">
        <w:rPr>
          <w:lang w:val="da-DK"/>
        </w:rPr>
        <w:t xml:space="preserve">. Ved it-nyanskaffelser og ikke- kritiske systemer i drift rapporteres risici kun til </w:t>
      </w:r>
      <w:r w:rsidR="00956E91">
        <w:rPr>
          <w:lang w:val="da-DK"/>
        </w:rPr>
        <w:t xml:space="preserve">[informationssikkerhedsudvalg] </w:t>
      </w:r>
      <w:r w:rsidRPr="000103E8">
        <w:rPr>
          <w:lang w:val="da-DK"/>
        </w:rPr>
        <w:t>i de tilfælde, hvor risikoejeren vurderer, at det er en nødvendighed for at være i stand til at håndtere</w:t>
      </w:r>
      <w:r w:rsidRPr="000103E8">
        <w:rPr>
          <w:spacing w:val="-5"/>
          <w:lang w:val="da-DK"/>
        </w:rPr>
        <w:t xml:space="preserve"> </w:t>
      </w:r>
      <w:r w:rsidRPr="000103E8">
        <w:rPr>
          <w:lang w:val="da-DK"/>
        </w:rPr>
        <w:t>disse.</w:t>
      </w:r>
    </w:p>
    <w:p w14:paraId="55D587BA" w14:textId="77777777" w:rsidR="00202CE2" w:rsidRPr="000103E8" w:rsidRDefault="00202CE2">
      <w:pPr>
        <w:pStyle w:val="BodyText"/>
        <w:spacing w:before="161" w:line="259" w:lineRule="auto"/>
        <w:ind w:left="312" w:right="468"/>
        <w:rPr>
          <w:lang w:val="da-DK"/>
        </w:rPr>
      </w:pPr>
    </w:p>
    <w:p w14:paraId="7BC4C082" w14:textId="77777777" w:rsidR="00D92BDF" w:rsidRPr="000103E8" w:rsidRDefault="00944A9A">
      <w:pPr>
        <w:spacing w:before="168"/>
        <w:ind w:left="312"/>
        <w:rPr>
          <w:b/>
          <w:sz w:val="24"/>
          <w:lang w:val="da-DK"/>
        </w:rPr>
      </w:pPr>
      <w:r w:rsidRPr="000103E8">
        <w:rPr>
          <w:b/>
          <w:sz w:val="24"/>
          <w:lang w:val="da-DK"/>
        </w:rPr>
        <w:t>Bilag 1</w:t>
      </w:r>
    </w:p>
    <w:p w14:paraId="461A488B" w14:textId="77777777" w:rsidR="00D92BDF" w:rsidRPr="000103E8" w:rsidRDefault="00D92BDF">
      <w:pPr>
        <w:pStyle w:val="BodyText"/>
        <w:spacing w:before="11"/>
        <w:rPr>
          <w:b/>
          <w:sz w:val="25"/>
          <w:lang w:val="da-DK"/>
        </w:rPr>
      </w:pPr>
    </w:p>
    <w:p w14:paraId="795DC626" w14:textId="77777777" w:rsidR="00D92BDF" w:rsidRPr="000103E8" w:rsidRDefault="00944A9A">
      <w:pPr>
        <w:ind w:left="312"/>
        <w:rPr>
          <w:b/>
          <w:sz w:val="24"/>
          <w:lang w:val="da-DK"/>
        </w:rPr>
      </w:pPr>
      <w:r w:rsidRPr="000103E8">
        <w:rPr>
          <w:b/>
          <w:sz w:val="24"/>
          <w:lang w:val="da-DK"/>
        </w:rPr>
        <w:t>Risikovurdering af it-nyanskaffelser</w:t>
      </w:r>
    </w:p>
    <w:p w14:paraId="1D878EDA" w14:textId="77777777" w:rsidR="00D92BDF" w:rsidRPr="000103E8" w:rsidRDefault="00D92BDF">
      <w:pPr>
        <w:pStyle w:val="BodyText"/>
        <w:spacing w:before="10"/>
        <w:rPr>
          <w:b/>
          <w:sz w:val="25"/>
          <w:lang w:val="da-DK"/>
        </w:rPr>
      </w:pPr>
    </w:p>
    <w:p w14:paraId="747FFC29" w14:textId="77777777" w:rsidR="00D92BDF" w:rsidRPr="000103E8" w:rsidRDefault="00944A9A">
      <w:pPr>
        <w:pStyle w:val="BodyText"/>
        <w:spacing w:line="249" w:lineRule="auto"/>
        <w:ind w:left="312" w:right="639"/>
        <w:rPr>
          <w:lang w:val="da-DK"/>
        </w:rPr>
      </w:pPr>
      <w:r w:rsidRPr="000103E8">
        <w:rPr>
          <w:lang w:val="da-DK"/>
        </w:rPr>
        <w:t xml:space="preserve">I forbindelse med indkøb af et nyt system, er det enten projektejers eller kontorchefen for det pågældende fagkontors ansvar at inddrage </w:t>
      </w:r>
      <w:r w:rsidR="00956E91">
        <w:rPr>
          <w:lang w:val="da-DK"/>
        </w:rPr>
        <w:t>[kontor/enhed]</w:t>
      </w:r>
      <w:r w:rsidR="00956E91" w:rsidRPr="000103E8">
        <w:rPr>
          <w:lang w:val="da-DK"/>
        </w:rPr>
        <w:t xml:space="preserve"> med henblik på at gennemføre</w:t>
      </w:r>
      <w:r w:rsidRPr="000103E8">
        <w:rPr>
          <w:lang w:val="da-DK"/>
        </w:rPr>
        <w:t xml:space="preserve"> en risikovurdering på informationssikkerhedsområdet. Dette bør ske så tidligt som muligt i processen, ideelt i planlægningsfasen inden valg af system eller leverandør, da det dermed bliver muligt at stille krav til sikkerhedsforanstaltninger, som leverandøren bør opfylde. Risici kan dermed nedbringes allerede inden systemet idriftsættes, og fravalg af systemer med risici, der ikke kan håndteres kan ske inden et indkøb er foretaget.</w:t>
      </w:r>
    </w:p>
    <w:p w14:paraId="6CF9AF39" w14:textId="77777777" w:rsidR="00D92BDF" w:rsidRPr="000103E8" w:rsidRDefault="00D92BDF">
      <w:pPr>
        <w:pStyle w:val="BodyText"/>
        <w:spacing w:before="2"/>
        <w:rPr>
          <w:lang w:val="da-DK"/>
        </w:rPr>
      </w:pPr>
    </w:p>
    <w:p w14:paraId="41C40123" w14:textId="77777777" w:rsidR="00202CE2" w:rsidRPr="000103E8" w:rsidRDefault="00202CE2">
      <w:pPr>
        <w:ind w:left="312"/>
        <w:rPr>
          <w:i/>
          <w:sz w:val="24"/>
          <w:lang w:val="da-DK"/>
        </w:rPr>
      </w:pPr>
    </w:p>
    <w:p w14:paraId="176C770E" w14:textId="77777777" w:rsidR="00202CE2" w:rsidRPr="000103E8" w:rsidRDefault="00202CE2">
      <w:pPr>
        <w:ind w:left="312"/>
        <w:rPr>
          <w:i/>
          <w:sz w:val="24"/>
          <w:lang w:val="da-DK"/>
        </w:rPr>
      </w:pPr>
    </w:p>
    <w:p w14:paraId="372017AC" w14:textId="77777777" w:rsidR="00202CE2" w:rsidRPr="000103E8" w:rsidRDefault="00202CE2">
      <w:pPr>
        <w:ind w:left="312"/>
        <w:rPr>
          <w:i/>
          <w:sz w:val="24"/>
          <w:lang w:val="da-DK"/>
        </w:rPr>
      </w:pPr>
    </w:p>
    <w:p w14:paraId="6538F52D" w14:textId="77777777" w:rsidR="00D92BDF" w:rsidRPr="000103E8" w:rsidRDefault="00944A9A">
      <w:pPr>
        <w:ind w:left="312"/>
        <w:rPr>
          <w:i/>
          <w:sz w:val="24"/>
          <w:lang w:val="da-DK"/>
        </w:rPr>
      </w:pPr>
      <w:r w:rsidRPr="000103E8">
        <w:rPr>
          <w:i/>
          <w:sz w:val="24"/>
          <w:lang w:val="da-DK"/>
        </w:rPr>
        <w:lastRenderedPageBreak/>
        <w:t>Fremgangsmetode</w:t>
      </w:r>
    </w:p>
    <w:p w14:paraId="5522BB6E" w14:textId="77777777" w:rsidR="00D92BDF" w:rsidRPr="000103E8" w:rsidRDefault="00D92BDF">
      <w:pPr>
        <w:pStyle w:val="BodyText"/>
        <w:spacing w:before="10"/>
        <w:rPr>
          <w:i/>
          <w:sz w:val="25"/>
          <w:lang w:val="da-DK"/>
        </w:rPr>
      </w:pPr>
    </w:p>
    <w:p w14:paraId="307D3D02" w14:textId="77777777" w:rsidR="00D92BDF" w:rsidRPr="000103E8" w:rsidRDefault="00944A9A">
      <w:pPr>
        <w:pStyle w:val="BodyText"/>
        <w:ind w:left="312"/>
        <w:rPr>
          <w:lang w:val="da-DK"/>
        </w:rPr>
      </w:pPr>
      <w:r w:rsidRPr="000103E8">
        <w:rPr>
          <w:lang w:val="da-DK"/>
        </w:rPr>
        <w:t>Risikovurdering af en it-løsning, som skal anskaffes, foretages efter følgende proces:</w:t>
      </w:r>
    </w:p>
    <w:p w14:paraId="4F9A4B98" w14:textId="77777777" w:rsidR="00D92BDF" w:rsidRPr="000103E8" w:rsidRDefault="00D92BDF">
      <w:pPr>
        <w:pStyle w:val="BodyText"/>
        <w:spacing w:before="10"/>
        <w:rPr>
          <w:sz w:val="25"/>
          <w:lang w:val="da-DK"/>
        </w:rPr>
      </w:pPr>
    </w:p>
    <w:p w14:paraId="6D52E633" w14:textId="77777777" w:rsidR="00D92BDF" w:rsidRPr="000103E8" w:rsidRDefault="00944A9A">
      <w:pPr>
        <w:pStyle w:val="ListParagraph"/>
        <w:numPr>
          <w:ilvl w:val="0"/>
          <w:numId w:val="3"/>
        </w:numPr>
        <w:tabs>
          <w:tab w:val="left" w:pos="1034"/>
        </w:tabs>
        <w:spacing w:before="1"/>
        <w:ind w:hanging="361"/>
        <w:rPr>
          <w:sz w:val="24"/>
          <w:lang w:val="da-DK"/>
        </w:rPr>
      </w:pPr>
      <w:r w:rsidRPr="000103E8">
        <w:rPr>
          <w:sz w:val="24"/>
          <w:lang w:val="da-DK"/>
        </w:rPr>
        <w:t>Beskrivelse af it-løsningen, som skal anskaffes, samt dets formål</w:t>
      </w:r>
      <w:r w:rsidRPr="000103E8">
        <w:rPr>
          <w:spacing w:val="-8"/>
          <w:sz w:val="24"/>
          <w:lang w:val="da-DK"/>
        </w:rPr>
        <w:t xml:space="preserve"> </w:t>
      </w:r>
      <w:r w:rsidRPr="000103E8">
        <w:rPr>
          <w:sz w:val="24"/>
          <w:lang w:val="da-DK"/>
        </w:rPr>
        <w:t>(fagkontor)</w:t>
      </w:r>
    </w:p>
    <w:p w14:paraId="20562685" w14:textId="77777777" w:rsidR="00D92BDF" w:rsidRDefault="00944A9A">
      <w:pPr>
        <w:pStyle w:val="ListParagraph"/>
        <w:numPr>
          <w:ilvl w:val="0"/>
          <w:numId w:val="3"/>
        </w:numPr>
        <w:tabs>
          <w:tab w:val="left" w:pos="1034"/>
        </w:tabs>
        <w:spacing w:before="8"/>
        <w:ind w:hanging="361"/>
        <w:rPr>
          <w:sz w:val="24"/>
        </w:rPr>
      </w:pPr>
      <w:r>
        <w:rPr>
          <w:sz w:val="24"/>
        </w:rPr>
        <w:t>Konsekvensvurdering</w:t>
      </w:r>
      <w:r>
        <w:rPr>
          <w:spacing w:val="-2"/>
          <w:sz w:val="24"/>
        </w:rPr>
        <w:t xml:space="preserve"> </w:t>
      </w:r>
      <w:r>
        <w:rPr>
          <w:sz w:val="24"/>
        </w:rPr>
        <w:t>(fælles)</w:t>
      </w:r>
    </w:p>
    <w:p w14:paraId="241076B0" w14:textId="77777777" w:rsidR="00D92BDF" w:rsidRPr="000103E8" w:rsidRDefault="00944A9A">
      <w:pPr>
        <w:pStyle w:val="ListParagraph"/>
        <w:numPr>
          <w:ilvl w:val="0"/>
          <w:numId w:val="3"/>
        </w:numPr>
        <w:tabs>
          <w:tab w:val="left" w:pos="1034"/>
        </w:tabs>
        <w:spacing w:before="112"/>
        <w:ind w:hanging="361"/>
        <w:rPr>
          <w:sz w:val="24"/>
          <w:lang w:val="da-DK"/>
        </w:rPr>
      </w:pPr>
      <w:r w:rsidRPr="000103E8">
        <w:rPr>
          <w:sz w:val="24"/>
          <w:lang w:val="da-DK"/>
        </w:rPr>
        <w:t>Trussels-, sårbarheds- og sandsynlighedsvurdering</w:t>
      </w:r>
      <w:r w:rsidRPr="000103E8">
        <w:rPr>
          <w:spacing w:val="-3"/>
          <w:sz w:val="24"/>
          <w:lang w:val="da-DK"/>
        </w:rPr>
        <w:t xml:space="preserve"> </w:t>
      </w:r>
      <w:r w:rsidRPr="000103E8">
        <w:rPr>
          <w:sz w:val="24"/>
          <w:lang w:val="da-DK"/>
        </w:rPr>
        <w:t>(fælles)</w:t>
      </w:r>
    </w:p>
    <w:p w14:paraId="26A60486" w14:textId="77777777" w:rsidR="00D92BDF" w:rsidRPr="000103E8" w:rsidRDefault="00944A9A">
      <w:pPr>
        <w:pStyle w:val="ListParagraph"/>
        <w:numPr>
          <w:ilvl w:val="0"/>
          <w:numId w:val="3"/>
        </w:numPr>
        <w:tabs>
          <w:tab w:val="left" w:pos="1034"/>
        </w:tabs>
        <w:spacing w:before="11"/>
        <w:ind w:hanging="361"/>
        <w:rPr>
          <w:sz w:val="24"/>
          <w:lang w:val="da-DK"/>
        </w:rPr>
      </w:pPr>
      <w:r w:rsidRPr="000103E8">
        <w:rPr>
          <w:sz w:val="24"/>
          <w:lang w:val="da-DK"/>
        </w:rPr>
        <w:t>Anbefalinger til risikoreducerede sikkerhedsforanstaltninger og -krav</w:t>
      </w:r>
      <w:r w:rsidRPr="000103E8">
        <w:rPr>
          <w:spacing w:val="-5"/>
          <w:sz w:val="24"/>
          <w:lang w:val="da-DK"/>
        </w:rPr>
        <w:t xml:space="preserve"> </w:t>
      </w:r>
      <w:r w:rsidRPr="000103E8">
        <w:rPr>
          <w:sz w:val="24"/>
          <w:lang w:val="da-DK"/>
        </w:rPr>
        <w:t>(</w:t>
      </w:r>
      <w:r w:rsidR="00956E91">
        <w:rPr>
          <w:lang w:val="da-DK"/>
        </w:rPr>
        <w:t>[kontor/enhed]</w:t>
      </w:r>
      <w:r w:rsidRPr="000103E8">
        <w:rPr>
          <w:sz w:val="24"/>
          <w:lang w:val="da-DK"/>
        </w:rPr>
        <w:t>)</w:t>
      </w:r>
    </w:p>
    <w:p w14:paraId="4A084034" w14:textId="77777777" w:rsidR="00D92BDF" w:rsidRPr="000103E8" w:rsidRDefault="00944A9A">
      <w:pPr>
        <w:pStyle w:val="ListParagraph"/>
        <w:numPr>
          <w:ilvl w:val="0"/>
          <w:numId w:val="3"/>
        </w:numPr>
        <w:tabs>
          <w:tab w:val="left" w:pos="1034"/>
        </w:tabs>
        <w:spacing w:before="11"/>
        <w:ind w:hanging="361"/>
        <w:rPr>
          <w:sz w:val="24"/>
          <w:lang w:val="da-DK"/>
        </w:rPr>
      </w:pPr>
      <w:r w:rsidRPr="000103E8">
        <w:rPr>
          <w:sz w:val="24"/>
          <w:lang w:val="da-DK"/>
        </w:rPr>
        <w:t>Rapportering (</w:t>
      </w:r>
      <w:r w:rsidR="00956E91">
        <w:rPr>
          <w:lang w:val="da-DK"/>
        </w:rPr>
        <w:t>[kontor/enhed]</w:t>
      </w:r>
      <w:r w:rsidRPr="000103E8">
        <w:rPr>
          <w:sz w:val="24"/>
          <w:lang w:val="da-DK"/>
        </w:rPr>
        <w:t xml:space="preserve"> i samarbejde med fagkontor og</w:t>
      </w:r>
      <w:r w:rsidRPr="000103E8">
        <w:rPr>
          <w:spacing w:val="-2"/>
          <w:sz w:val="24"/>
          <w:lang w:val="da-DK"/>
        </w:rPr>
        <w:t xml:space="preserve"> </w:t>
      </w:r>
      <w:r w:rsidR="00956E91">
        <w:rPr>
          <w:lang w:val="da-DK"/>
        </w:rPr>
        <w:t>[juridisk kontor/enhed]</w:t>
      </w:r>
      <w:r w:rsidRPr="000103E8">
        <w:rPr>
          <w:sz w:val="24"/>
          <w:lang w:val="da-DK"/>
        </w:rPr>
        <w:t>)</w:t>
      </w:r>
    </w:p>
    <w:p w14:paraId="3993D538" w14:textId="77777777" w:rsidR="00D92BDF" w:rsidRDefault="00944A9A">
      <w:pPr>
        <w:pStyle w:val="ListParagraph"/>
        <w:numPr>
          <w:ilvl w:val="0"/>
          <w:numId w:val="3"/>
        </w:numPr>
        <w:tabs>
          <w:tab w:val="left" w:pos="1034"/>
        </w:tabs>
        <w:spacing w:before="8"/>
        <w:ind w:hanging="361"/>
        <w:rPr>
          <w:sz w:val="24"/>
        </w:rPr>
      </w:pPr>
      <w:r>
        <w:rPr>
          <w:sz w:val="24"/>
        </w:rPr>
        <w:t>Implementering af sikkerhedskrav</w:t>
      </w:r>
      <w:r>
        <w:rPr>
          <w:spacing w:val="-4"/>
          <w:sz w:val="24"/>
        </w:rPr>
        <w:t xml:space="preserve"> </w:t>
      </w:r>
      <w:r>
        <w:rPr>
          <w:sz w:val="24"/>
        </w:rPr>
        <w:t>(fagkontor)</w:t>
      </w:r>
    </w:p>
    <w:p w14:paraId="7767A65F" w14:textId="77777777" w:rsidR="00D92BDF" w:rsidRDefault="00D92BDF">
      <w:pPr>
        <w:pStyle w:val="BodyText"/>
        <w:rPr>
          <w:sz w:val="26"/>
        </w:rPr>
      </w:pPr>
    </w:p>
    <w:p w14:paraId="5E669354" w14:textId="77777777" w:rsidR="00D92BDF" w:rsidRDefault="00D92BDF">
      <w:pPr>
        <w:pStyle w:val="BodyText"/>
        <w:spacing w:before="8"/>
      </w:pPr>
    </w:p>
    <w:p w14:paraId="202EF16F" w14:textId="77777777" w:rsidR="00D92BDF" w:rsidRDefault="00000000">
      <w:pPr>
        <w:pStyle w:val="BodyText"/>
        <w:ind w:left="312"/>
      </w:pPr>
      <w:r>
        <w:pict w14:anchorId="75DE6647">
          <v:group id="_x0000_s2069" style="position:absolute;left:0;text-align:left;margin-left:56.3pt;margin-top:26.5pt;width:420.7pt;height:29.6pt;z-index:-15987712;mso-position-horizontal-relative:page" coordorigin="1126,530" coordsize="8414,592">
            <v:shape id="_x0000_s2079" style="position:absolute;left:1146;top:584;width:1534;height:483" coordorigin="1146,584" coordsize="1534,483" path="m2439,584r-1293,l1146,1067r1293,l2680,826,2439,584xe" fillcolor="#20476f" stroked="f">
              <v:path arrowok="t"/>
            </v:shape>
            <v:shape id="_x0000_s2078" style="position:absolute;left:1146;top:584;width:1534;height:483" coordorigin="1146,584" coordsize="1534,483" path="m1146,584r1293,l2680,826r-241,241l1146,1067r,-483xe" filled="f" strokecolor="#005469" strokeweight="2pt">
              <v:path arrowok="t"/>
            </v:shape>
            <v:shape id="_x0000_s2077" style="position:absolute;left:2215;top:549;width:1916;height:552" coordorigin="2216,550" coordsize="1916,552" path="m3856,550r-1640,l2492,826r-276,276l3856,1102,4132,826,3856,550xe" fillcolor="#20476f" stroked="f">
              <v:path arrowok="t"/>
            </v:shape>
            <v:shape id="_x0000_s2076" style="position:absolute;left:2215;top:549;width:1916;height:552" coordorigin="2216,550" coordsize="1916,552" path="m2216,550r1640,l4132,826r-276,276l2216,1102,2492,826,2216,550xe" filled="f" strokecolor="white" strokeweight="2pt">
              <v:path arrowok="t"/>
            </v:shape>
            <v:shape id="_x0000_s2075" style="position:absolute;left:3677;top:549;width:2206;height:552" coordorigin="3677,550" coordsize="2206,552" path="m5607,550r-1930,l3953,826r-276,276l5607,1102,5883,826,5607,550xe" fillcolor="#20476f" stroked="f">
              <v:path arrowok="t"/>
            </v:shape>
            <v:shape id="_x0000_s2074" style="position:absolute;left:3677;top:549;width:2206;height:552" coordorigin="3677,550" coordsize="2206,552" path="m3677,550r1930,l5883,826r-276,276l3677,1102,3953,826,3677,550xe" filled="f" strokecolor="white" strokeweight="2pt">
              <v:path arrowok="t"/>
            </v:shape>
            <v:shape id="_x0000_s2073" style="position:absolute;left:5428;top:549;width:2274;height:552" coordorigin="5428,550" coordsize="2274,552" path="m7425,550r-1997,l5704,826r-276,276l7425,1102,7701,826,7425,550xe" fillcolor="#20476f" stroked="f">
              <v:path arrowok="t"/>
            </v:shape>
            <v:shape id="_x0000_s2072" style="position:absolute;left:5428;top:549;width:2274;height:552" coordorigin="5428,550" coordsize="2274,552" path="m5428,550r1997,l7701,826r-276,276l5428,1102,5704,826,5428,550xe" filled="f" strokecolor="white" strokeweight="2pt">
              <v:path arrowok="t"/>
            </v:shape>
            <v:shape id="_x0000_s2071" style="position:absolute;left:7246;top:549;width:2273;height:552" coordorigin="7247,550" coordsize="2273,552" path="m9244,550r-1997,l7523,826r-276,276l9244,1102,9520,826,9244,550xe" fillcolor="#20476f" stroked="f">
              <v:path arrowok="t"/>
            </v:shape>
            <v:shape id="_x0000_s2070" style="position:absolute;left:7246;top:549;width:2273;height:552" coordorigin="7247,550" coordsize="2273,552" path="m7247,550r1997,l9520,826r-276,276l7247,1102,7523,826,7247,550xe" filled="f" strokecolor="white" strokeweight="2pt">
              <v:path arrowok="t"/>
            </v:shape>
            <w10:wrap anchorx="page"/>
          </v:group>
        </w:pict>
      </w:r>
      <w:r w:rsidR="00944A9A">
        <w:t xml:space="preserve">Følgende figur illustrerer </w:t>
      </w:r>
      <w:r w:rsidR="00944A9A" w:rsidRPr="00225892">
        <w:t>forløbet:</w:t>
      </w:r>
    </w:p>
    <w:p w14:paraId="4C23B298" w14:textId="77777777" w:rsidR="00D92BDF" w:rsidRDefault="00D92BDF">
      <w:pPr>
        <w:pStyle w:val="BodyText"/>
        <w:spacing w:before="1"/>
        <w:rPr>
          <w:sz w:val="23"/>
        </w:rPr>
      </w:pPr>
    </w:p>
    <w:p w14:paraId="108740DF" w14:textId="77777777" w:rsidR="00D92BDF" w:rsidRDefault="00D92BDF">
      <w:pPr>
        <w:rPr>
          <w:sz w:val="23"/>
        </w:rPr>
        <w:sectPr w:rsidR="00D92BDF">
          <w:pgSz w:w="11910" w:h="16840"/>
          <w:pgMar w:top="1580" w:right="720" w:bottom="1220" w:left="820" w:header="0" w:footer="1022" w:gutter="0"/>
          <w:cols w:space="708"/>
        </w:sectPr>
      </w:pPr>
    </w:p>
    <w:p w14:paraId="2FD061B6" w14:textId="77777777" w:rsidR="00D92BDF" w:rsidRDefault="00000000">
      <w:pPr>
        <w:tabs>
          <w:tab w:val="left" w:pos="1983"/>
          <w:tab w:val="left" w:pos="3238"/>
        </w:tabs>
        <w:spacing w:before="160"/>
        <w:ind w:left="599"/>
        <w:rPr>
          <w:rFonts w:ascii="Arial"/>
          <w:sz w:val="12"/>
        </w:rPr>
      </w:pPr>
      <w:r>
        <w:pict w14:anchorId="6299EA9D">
          <v:shape id="_x0000_s2068" type="#_x0000_t202" style="position:absolute;left:0;text-align:left;margin-left:228.15pt;margin-top:14.35pt;width:22.9pt;height:6.75pt;z-index:-15987200;mso-position-horizontal-relative:page" filled="f" stroked="f">
            <v:textbox inset="0,0,0,0">
              <w:txbxContent>
                <w:p w14:paraId="59E934C2" w14:textId="77777777" w:rsidR="00D92BDF" w:rsidRDefault="00944A9A">
                  <w:pPr>
                    <w:spacing w:line="134" w:lineRule="exact"/>
                    <w:rPr>
                      <w:rFonts w:ascii="Arial"/>
                      <w:sz w:val="12"/>
                    </w:rPr>
                  </w:pPr>
                  <w:r>
                    <w:rPr>
                      <w:rFonts w:ascii="Arial"/>
                      <w:color w:val="FFFFFF"/>
                      <w:sz w:val="12"/>
                    </w:rPr>
                    <w:t>afholdes</w:t>
                  </w:r>
                </w:p>
              </w:txbxContent>
            </v:textbox>
            <w10:wrap anchorx="page"/>
          </v:shape>
        </w:pict>
      </w:r>
      <w:r w:rsidR="00944A9A">
        <w:rPr>
          <w:rFonts w:ascii="Arial"/>
          <w:color w:val="FFFFFF"/>
          <w:sz w:val="12"/>
        </w:rPr>
        <w:t>Projekt</w:t>
      </w:r>
      <w:r w:rsidR="00944A9A">
        <w:rPr>
          <w:rFonts w:ascii="Arial"/>
          <w:color w:val="FFFFFF"/>
          <w:spacing w:val="-1"/>
          <w:sz w:val="12"/>
        </w:rPr>
        <w:t xml:space="preserve"> </w:t>
      </w:r>
      <w:r w:rsidR="00956E91">
        <w:rPr>
          <w:rFonts w:ascii="Arial"/>
          <w:color w:val="FFFFFF"/>
          <w:sz w:val="12"/>
        </w:rPr>
        <w:t>etableres</w:t>
      </w:r>
      <w:r w:rsidR="00956E91">
        <w:rPr>
          <w:rFonts w:ascii="Arial"/>
          <w:color w:val="FFFFFF"/>
          <w:sz w:val="12"/>
        </w:rPr>
        <w:tab/>
      </w:r>
      <w:r w:rsidR="00944A9A">
        <w:rPr>
          <w:rFonts w:ascii="Arial"/>
          <w:color w:val="FFFFFF"/>
          <w:spacing w:val="-1"/>
          <w:sz w:val="12"/>
        </w:rPr>
        <w:t xml:space="preserve"> </w:t>
      </w:r>
      <w:r w:rsidR="00C47BF7">
        <w:rPr>
          <w:rFonts w:ascii="Arial"/>
          <w:color w:val="FFFFFF"/>
          <w:spacing w:val="-1"/>
          <w:sz w:val="12"/>
          <w:lang w:val="da-DK"/>
        </w:rPr>
        <w:t>[</w:t>
      </w:r>
      <w:r w:rsidR="0047240A">
        <w:rPr>
          <w:rFonts w:ascii="Arial"/>
          <w:color w:val="FFFFFF"/>
          <w:spacing w:val="-1"/>
          <w:sz w:val="12"/>
          <w:lang w:val="da-DK"/>
        </w:rPr>
        <w:t>K</w:t>
      </w:r>
      <w:r w:rsidR="00C47BF7">
        <w:rPr>
          <w:rFonts w:ascii="Arial"/>
          <w:color w:val="FFFFFF"/>
          <w:spacing w:val="-1"/>
          <w:sz w:val="12"/>
          <w:lang w:val="da-DK"/>
        </w:rPr>
        <w:t xml:space="preserve">ontor] </w:t>
      </w:r>
      <w:r w:rsidR="00944A9A">
        <w:rPr>
          <w:rFonts w:ascii="Arial"/>
          <w:color w:val="FFFFFF"/>
          <w:sz w:val="12"/>
        </w:rPr>
        <w:t>inddrages</w:t>
      </w:r>
      <w:r w:rsidR="00944A9A">
        <w:rPr>
          <w:rFonts w:ascii="Arial"/>
          <w:color w:val="FFFFFF"/>
          <w:sz w:val="12"/>
        </w:rPr>
        <w:tab/>
      </w:r>
      <w:r w:rsidR="00944A9A">
        <w:rPr>
          <w:rFonts w:ascii="Arial"/>
          <w:color w:val="FFFFFF"/>
          <w:position w:val="6"/>
          <w:sz w:val="12"/>
        </w:rPr>
        <w:t>Risikovurderingsworkshops</w:t>
      </w:r>
    </w:p>
    <w:p w14:paraId="035F1919" w14:textId="77777777" w:rsidR="00D92BDF" w:rsidRDefault="00944A9A">
      <w:pPr>
        <w:pStyle w:val="BodyText"/>
        <w:spacing w:before="4"/>
        <w:rPr>
          <w:rFonts w:ascii="Arial"/>
          <w:sz w:val="9"/>
        </w:rPr>
      </w:pPr>
      <w:r>
        <w:br w:type="column"/>
      </w:r>
    </w:p>
    <w:p w14:paraId="72528C5A" w14:textId="77777777" w:rsidR="00D92BDF" w:rsidRDefault="00C47BF7">
      <w:pPr>
        <w:spacing w:line="216" w:lineRule="auto"/>
        <w:ind w:left="270" w:hanging="2"/>
        <w:jc w:val="center"/>
        <w:rPr>
          <w:rFonts w:ascii="Arial"/>
          <w:sz w:val="12"/>
        </w:rPr>
      </w:pPr>
      <w:r>
        <w:rPr>
          <w:rFonts w:ascii="Arial"/>
          <w:color w:val="FFFFFF"/>
          <w:sz w:val="12"/>
        </w:rPr>
        <w:t>[Kontor]</w:t>
      </w:r>
      <w:r w:rsidR="00944A9A">
        <w:rPr>
          <w:rFonts w:ascii="Arial"/>
          <w:color w:val="FFFFFF"/>
          <w:sz w:val="12"/>
        </w:rPr>
        <w:t xml:space="preserve"> udarbejder risikovurderingsrapport </w:t>
      </w:r>
      <w:r w:rsidR="00944A9A">
        <w:rPr>
          <w:rFonts w:ascii="Arial"/>
          <w:color w:val="FFFFFF"/>
          <w:spacing w:val="-6"/>
          <w:sz w:val="12"/>
        </w:rPr>
        <w:t xml:space="preserve">med </w:t>
      </w:r>
      <w:r w:rsidR="00944A9A">
        <w:rPr>
          <w:rFonts w:ascii="Arial"/>
          <w:color w:val="FFFFFF"/>
          <w:sz w:val="12"/>
        </w:rPr>
        <w:t>anbefalinger</w:t>
      </w:r>
    </w:p>
    <w:p w14:paraId="63DF4258" w14:textId="77777777" w:rsidR="00D92BDF" w:rsidRDefault="00944A9A">
      <w:pPr>
        <w:pStyle w:val="BodyText"/>
        <w:spacing w:before="8"/>
        <w:rPr>
          <w:rFonts w:ascii="Arial"/>
          <w:sz w:val="14"/>
        </w:rPr>
      </w:pPr>
      <w:r>
        <w:br w:type="column"/>
      </w:r>
    </w:p>
    <w:p w14:paraId="0701084F" w14:textId="77777777" w:rsidR="00D92BDF" w:rsidRPr="000103E8" w:rsidRDefault="00944A9A">
      <w:pPr>
        <w:spacing w:before="1" w:line="216" w:lineRule="auto"/>
        <w:ind w:left="453" w:right="1950" w:hanging="245"/>
        <w:rPr>
          <w:rFonts w:ascii="Arial" w:hAnsi="Arial"/>
          <w:sz w:val="12"/>
          <w:lang w:val="da-DK"/>
        </w:rPr>
      </w:pPr>
      <w:r w:rsidRPr="000103E8">
        <w:rPr>
          <w:rFonts w:ascii="Arial" w:hAnsi="Arial"/>
          <w:color w:val="FFFFFF"/>
          <w:sz w:val="12"/>
          <w:lang w:val="da-DK"/>
        </w:rPr>
        <w:t>Krav til systemet og leverandør udvælges af risikoejer</w:t>
      </w:r>
    </w:p>
    <w:p w14:paraId="4DA8661C" w14:textId="77777777" w:rsidR="00D92BDF" w:rsidRPr="000103E8" w:rsidRDefault="00D92BDF">
      <w:pPr>
        <w:spacing w:line="216" w:lineRule="auto"/>
        <w:rPr>
          <w:rFonts w:ascii="Arial" w:hAnsi="Arial"/>
          <w:sz w:val="12"/>
          <w:lang w:val="da-DK"/>
        </w:rPr>
        <w:sectPr w:rsidR="00D92BDF" w:rsidRPr="000103E8">
          <w:type w:val="continuous"/>
          <w:pgSz w:w="11910" w:h="16840"/>
          <w:pgMar w:top="1580" w:right="720" w:bottom="1220" w:left="820" w:header="708" w:footer="708" w:gutter="0"/>
          <w:cols w:num="3" w:space="708" w:equalWidth="0">
            <w:col w:w="4707" w:space="40"/>
            <w:col w:w="1752" w:space="39"/>
            <w:col w:w="3832"/>
          </w:cols>
        </w:sectPr>
      </w:pPr>
    </w:p>
    <w:p w14:paraId="50622ED7" w14:textId="77777777" w:rsidR="00D92BDF" w:rsidRPr="000103E8" w:rsidRDefault="00D92BDF">
      <w:pPr>
        <w:pStyle w:val="BodyText"/>
        <w:rPr>
          <w:rFonts w:ascii="Arial"/>
          <w:sz w:val="26"/>
          <w:lang w:val="da-DK"/>
        </w:rPr>
      </w:pPr>
    </w:p>
    <w:p w14:paraId="61ABD2CF" w14:textId="77777777" w:rsidR="00D92BDF" w:rsidRPr="000103E8" w:rsidRDefault="00944A9A">
      <w:pPr>
        <w:spacing w:before="100"/>
        <w:ind w:left="312"/>
        <w:rPr>
          <w:i/>
          <w:sz w:val="24"/>
          <w:lang w:val="da-DK"/>
        </w:rPr>
      </w:pPr>
      <w:r w:rsidRPr="000103E8">
        <w:rPr>
          <w:i/>
          <w:sz w:val="24"/>
          <w:lang w:val="da-DK"/>
        </w:rPr>
        <w:t>Deltagere i risikovurderingen</w:t>
      </w:r>
    </w:p>
    <w:p w14:paraId="17C32DD6" w14:textId="77777777" w:rsidR="00D92BDF" w:rsidRPr="000103E8" w:rsidRDefault="00D92BDF">
      <w:pPr>
        <w:pStyle w:val="BodyText"/>
        <w:spacing w:before="11"/>
        <w:rPr>
          <w:i/>
          <w:sz w:val="25"/>
          <w:lang w:val="da-DK"/>
        </w:rPr>
      </w:pPr>
    </w:p>
    <w:p w14:paraId="35C22E07" w14:textId="77777777" w:rsidR="00D92BDF" w:rsidRPr="000103E8" w:rsidRDefault="00944A9A">
      <w:pPr>
        <w:pStyle w:val="BodyText"/>
        <w:spacing w:line="249" w:lineRule="auto"/>
        <w:ind w:left="312" w:right="501"/>
        <w:rPr>
          <w:lang w:val="da-DK"/>
        </w:rPr>
      </w:pPr>
      <w:r w:rsidRPr="000103E8">
        <w:rPr>
          <w:lang w:val="da-DK"/>
        </w:rPr>
        <w:t xml:space="preserve">Risikovurderingen faciliteres af </w:t>
      </w:r>
      <w:r w:rsidR="00C47BF7">
        <w:rPr>
          <w:lang w:val="da-DK"/>
        </w:rPr>
        <w:t>[kontor/enhed]</w:t>
      </w:r>
      <w:r w:rsidRPr="000103E8">
        <w:rPr>
          <w:lang w:val="da-DK"/>
        </w:rPr>
        <w:t xml:space="preserve"> på en række workshopper. </w:t>
      </w:r>
      <w:r w:rsidR="00C47BF7">
        <w:rPr>
          <w:lang w:val="da-DK"/>
        </w:rPr>
        <w:t xml:space="preserve">[Juridisk kontor/enhed] </w:t>
      </w:r>
      <w:r w:rsidRPr="000103E8">
        <w:rPr>
          <w:lang w:val="da-DK"/>
        </w:rPr>
        <w:t>understøtter vurderingen af risici for de registrerede. I risikovurderingen deltager kontorchefen for fagkontoret (eller en stedfortræder) og de medarbejdere, som er relevante i forhold til den konkrete anskaffelse. Det kan være systemforvalter, projektejer, indkøbsansvarlig, medarbejdere med viden om processerne, o. lign.</w:t>
      </w:r>
    </w:p>
    <w:p w14:paraId="756CA0BA" w14:textId="77777777" w:rsidR="00D92BDF" w:rsidRPr="000103E8" w:rsidRDefault="00D92BDF">
      <w:pPr>
        <w:pStyle w:val="BodyText"/>
        <w:spacing w:before="6"/>
        <w:rPr>
          <w:lang w:val="da-DK"/>
        </w:rPr>
      </w:pPr>
    </w:p>
    <w:p w14:paraId="635EE5C5" w14:textId="77777777" w:rsidR="00D92BDF" w:rsidRPr="000103E8" w:rsidRDefault="00944A9A">
      <w:pPr>
        <w:pStyle w:val="BodyText"/>
        <w:ind w:left="312"/>
        <w:rPr>
          <w:lang w:val="da-DK"/>
        </w:rPr>
      </w:pPr>
      <w:r w:rsidRPr="000103E8">
        <w:rPr>
          <w:lang w:val="da-DK"/>
        </w:rPr>
        <w:t>Indholdet på workshopperne vil typisk bestå af følgende:</w:t>
      </w:r>
    </w:p>
    <w:p w14:paraId="4AA1AD7A" w14:textId="77777777" w:rsidR="00D92BDF" w:rsidRPr="000103E8" w:rsidRDefault="00D92BDF">
      <w:pPr>
        <w:pStyle w:val="BodyText"/>
        <w:rPr>
          <w:sz w:val="25"/>
          <w:lang w:val="da-DK"/>
        </w:rPr>
      </w:pPr>
    </w:p>
    <w:p w14:paraId="37890547" w14:textId="77777777" w:rsidR="00D92BDF" w:rsidRDefault="00944A9A">
      <w:pPr>
        <w:pStyle w:val="ListParagraph"/>
        <w:numPr>
          <w:ilvl w:val="0"/>
          <w:numId w:val="2"/>
        </w:numPr>
        <w:tabs>
          <w:tab w:val="left" w:pos="1753"/>
          <w:tab w:val="left" w:pos="1754"/>
        </w:tabs>
        <w:spacing w:line="247" w:lineRule="auto"/>
        <w:ind w:right="465"/>
        <w:rPr>
          <w:sz w:val="24"/>
        </w:rPr>
      </w:pPr>
      <w:r w:rsidRPr="000103E8">
        <w:rPr>
          <w:sz w:val="24"/>
          <w:lang w:val="da-DK"/>
        </w:rPr>
        <w:t xml:space="preserve">En redegørelse for systemet, hvilke processer det skal understøtte, hvilke data der lagres i systemet, hvor det skal hostes mv. </w:t>
      </w:r>
      <w:r>
        <w:rPr>
          <w:sz w:val="24"/>
        </w:rPr>
        <w:t>Spørgerammen udfyldes af fagkontoret inden den første</w:t>
      </w:r>
      <w:r>
        <w:rPr>
          <w:spacing w:val="1"/>
          <w:sz w:val="24"/>
        </w:rPr>
        <w:t xml:space="preserve"> </w:t>
      </w:r>
      <w:r>
        <w:rPr>
          <w:sz w:val="24"/>
        </w:rPr>
        <w:t>workshop.</w:t>
      </w:r>
    </w:p>
    <w:p w14:paraId="1E9C341C" w14:textId="77777777" w:rsidR="00D92BDF" w:rsidRPr="000103E8" w:rsidRDefault="00944A9A">
      <w:pPr>
        <w:pStyle w:val="ListParagraph"/>
        <w:numPr>
          <w:ilvl w:val="0"/>
          <w:numId w:val="2"/>
        </w:numPr>
        <w:tabs>
          <w:tab w:val="left" w:pos="1753"/>
          <w:tab w:val="left" w:pos="1754"/>
        </w:tabs>
        <w:spacing w:line="249" w:lineRule="auto"/>
        <w:ind w:right="1495"/>
        <w:rPr>
          <w:sz w:val="24"/>
          <w:lang w:val="da-DK"/>
        </w:rPr>
      </w:pPr>
      <w:r w:rsidRPr="000103E8">
        <w:rPr>
          <w:sz w:val="24"/>
          <w:lang w:val="da-DK"/>
        </w:rPr>
        <w:t xml:space="preserve">Efterfølgende foretages en vurdering af, hvilke konsekvenser brud på hhv. fortroligheden, integriteten og tilgængeligheden vil have inden for en række dimensioner, der vedrører </w:t>
      </w:r>
      <w:r w:rsidR="00225892">
        <w:rPr>
          <w:sz w:val="24"/>
          <w:lang w:val="da-DK"/>
        </w:rPr>
        <w:t>[organisationen]</w:t>
      </w:r>
      <w:r w:rsidRPr="000103E8">
        <w:rPr>
          <w:sz w:val="24"/>
          <w:lang w:val="da-DK"/>
        </w:rPr>
        <w:t xml:space="preserve"> som en forretning samt de registrerede.</w:t>
      </w:r>
    </w:p>
    <w:p w14:paraId="6987DC4D" w14:textId="77777777" w:rsidR="00D92BDF" w:rsidRPr="000103E8" w:rsidRDefault="00944A9A" w:rsidP="00225892">
      <w:pPr>
        <w:pStyle w:val="ListParagraph"/>
        <w:numPr>
          <w:ilvl w:val="0"/>
          <w:numId w:val="2"/>
        </w:numPr>
        <w:tabs>
          <w:tab w:val="left" w:pos="1753"/>
          <w:tab w:val="left" w:pos="1754"/>
        </w:tabs>
        <w:spacing w:line="249" w:lineRule="auto"/>
        <w:ind w:right="427"/>
        <w:rPr>
          <w:sz w:val="24"/>
          <w:lang w:val="da-DK"/>
        </w:rPr>
      </w:pPr>
      <w:r w:rsidRPr="000103E8">
        <w:rPr>
          <w:sz w:val="24"/>
          <w:lang w:val="da-DK"/>
        </w:rPr>
        <w:t xml:space="preserve">Deltagerne skal, med vejledning fra </w:t>
      </w:r>
      <w:r w:rsidR="00225892" w:rsidRPr="000103E8">
        <w:rPr>
          <w:sz w:val="24"/>
          <w:lang w:val="da-DK"/>
        </w:rPr>
        <w:t>[kontor/enhed]</w:t>
      </w:r>
      <w:r w:rsidRPr="000103E8">
        <w:rPr>
          <w:sz w:val="24"/>
          <w:lang w:val="da-DK"/>
        </w:rPr>
        <w:t xml:space="preserve">, identificere de trusler, der er relevante for den pågældende løsning. Til at understøtte dette trin, leverer </w:t>
      </w:r>
      <w:r w:rsidR="00225892" w:rsidRPr="000103E8">
        <w:rPr>
          <w:sz w:val="24"/>
          <w:lang w:val="da-DK"/>
        </w:rPr>
        <w:t>[kontor/enhed]</w:t>
      </w:r>
      <w:r w:rsidR="00225892">
        <w:rPr>
          <w:sz w:val="24"/>
          <w:lang w:val="da-DK"/>
        </w:rPr>
        <w:t xml:space="preserve"> </w:t>
      </w:r>
      <w:r w:rsidR="00225892" w:rsidRPr="000103E8">
        <w:rPr>
          <w:sz w:val="24"/>
          <w:lang w:val="da-DK"/>
        </w:rPr>
        <w:t>et katalog over trusler</w:t>
      </w:r>
      <w:r w:rsidRPr="000103E8">
        <w:rPr>
          <w:sz w:val="24"/>
          <w:lang w:val="da-DK"/>
        </w:rPr>
        <w:t>, som der kan tages afsæt i. Kataloget er dog ikke udtømmende, og deltagerne bør derfor overveje om der er øvrige relevante trusler, som bør medtages. Efterfølgende identificeres de sårbarheder, der kan være i forhold til systemet (eller den type af system), samt processerne. Sårbarhederne kobles sammen med de identificerede trusler, og der foretages en vurdering af, hvad sandsynligheden er for, at en trussel vil udnytte en</w:t>
      </w:r>
      <w:r w:rsidRPr="000103E8">
        <w:rPr>
          <w:spacing w:val="2"/>
          <w:sz w:val="24"/>
          <w:lang w:val="da-DK"/>
        </w:rPr>
        <w:t xml:space="preserve"> </w:t>
      </w:r>
      <w:r w:rsidRPr="000103E8">
        <w:rPr>
          <w:sz w:val="24"/>
          <w:lang w:val="da-DK"/>
        </w:rPr>
        <w:t>sårbarhed.</w:t>
      </w:r>
    </w:p>
    <w:p w14:paraId="1C1B76C7" w14:textId="77777777" w:rsidR="00D92BDF" w:rsidRPr="000103E8" w:rsidRDefault="00D92BDF">
      <w:pPr>
        <w:pStyle w:val="BodyText"/>
        <w:rPr>
          <w:sz w:val="26"/>
          <w:lang w:val="da-DK"/>
        </w:rPr>
      </w:pPr>
    </w:p>
    <w:p w14:paraId="64A86CFC" w14:textId="77777777" w:rsidR="00D92BDF" w:rsidRPr="000103E8" w:rsidRDefault="00944A9A">
      <w:pPr>
        <w:spacing w:before="219"/>
        <w:ind w:left="312"/>
        <w:rPr>
          <w:i/>
          <w:sz w:val="24"/>
          <w:lang w:val="da-DK"/>
        </w:rPr>
      </w:pPr>
      <w:r w:rsidRPr="000103E8">
        <w:rPr>
          <w:i/>
          <w:sz w:val="24"/>
          <w:lang w:val="da-DK"/>
        </w:rPr>
        <w:t>Rapportering</w:t>
      </w:r>
    </w:p>
    <w:p w14:paraId="2C69DE55" w14:textId="77777777" w:rsidR="00D92BDF" w:rsidRPr="000103E8" w:rsidRDefault="00225892">
      <w:pPr>
        <w:pStyle w:val="BodyText"/>
        <w:spacing w:before="181"/>
        <w:ind w:left="312"/>
        <w:rPr>
          <w:lang w:val="da-DK"/>
        </w:rPr>
      </w:pPr>
      <w:r w:rsidRPr="000103E8">
        <w:rPr>
          <w:lang w:val="da-DK"/>
        </w:rPr>
        <w:t>[Kontor/enhed]</w:t>
      </w:r>
      <w:r>
        <w:rPr>
          <w:lang w:val="da-DK"/>
        </w:rPr>
        <w:t xml:space="preserve"> </w:t>
      </w:r>
      <w:r w:rsidR="00944A9A" w:rsidRPr="000103E8">
        <w:rPr>
          <w:lang w:val="da-DK"/>
        </w:rPr>
        <w:t>samler resultaterne i en rapport, hvori anbefalinger til sikkerhedskrav eller -foranstaltninger indgår.</w:t>
      </w:r>
    </w:p>
    <w:p w14:paraId="74833419" w14:textId="77777777" w:rsidR="00D92BDF" w:rsidRPr="000103E8" w:rsidRDefault="00D92BDF">
      <w:pPr>
        <w:rPr>
          <w:lang w:val="da-DK"/>
        </w:rPr>
        <w:sectPr w:rsidR="00D92BDF" w:rsidRPr="000103E8">
          <w:type w:val="continuous"/>
          <w:pgSz w:w="11910" w:h="16840"/>
          <w:pgMar w:top="1580" w:right="720" w:bottom="1220" w:left="820" w:header="708" w:footer="708" w:gutter="0"/>
          <w:cols w:space="708"/>
        </w:sectPr>
      </w:pPr>
    </w:p>
    <w:p w14:paraId="68729F63" w14:textId="77777777" w:rsidR="00D92BDF" w:rsidRPr="000103E8" w:rsidRDefault="00944A9A">
      <w:pPr>
        <w:spacing w:before="112"/>
        <w:ind w:left="312"/>
        <w:rPr>
          <w:b/>
          <w:sz w:val="24"/>
          <w:lang w:val="da-DK"/>
        </w:rPr>
      </w:pPr>
      <w:r w:rsidRPr="000103E8">
        <w:rPr>
          <w:b/>
          <w:sz w:val="24"/>
          <w:lang w:val="da-DK"/>
        </w:rPr>
        <w:lastRenderedPageBreak/>
        <w:t>Bilag 2</w:t>
      </w:r>
    </w:p>
    <w:p w14:paraId="10597FFF" w14:textId="77777777" w:rsidR="00D92BDF" w:rsidRPr="000103E8" w:rsidRDefault="00D92BDF">
      <w:pPr>
        <w:pStyle w:val="BodyText"/>
        <w:spacing w:before="8"/>
        <w:rPr>
          <w:b/>
          <w:sz w:val="25"/>
          <w:lang w:val="da-DK"/>
        </w:rPr>
      </w:pPr>
    </w:p>
    <w:p w14:paraId="549003BF" w14:textId="77777777" w:rsidR="00D92BDF" w:rsidRPr="000103E8" w:rsidRDefault="00944A9A">
      <w:pPr>
        <w:ind w:left="312"/>
        <w:rPr>
          <w:b/>
          <w:sz w:val="24"/>
          <w:lang w:val="da-DK"/>
        </w:rPr>
      </w:pPr>
      <w:r w:rsidRPr="000103E8">
        <w:rPr>
          <w:b/>
          <w:sz w:val="24"/>
          <w:lang w:val="da-DK"/>
        </w:rPr>
        <w:t>Risikovurdering af systemer i drift</w:t>
      </w:r>
    </w:p>
    <w:p w14:paraId="33EC9360" w14:textId="77777777" w:rsidR="00D92BDF" w:rsidRPr="000103E8" w:rsidRDefault="00D92BDF">
      <w:pPr>
        <w:pStyle w:val="BodyText"/>
        <w:spacing w:before="11"/>
        <w:rPr>
          <w:b/>
          <w:sz w:val="25"/>
          <w:lang w:val="da-DK"/>
        </w:rPr>
      </w:pPr>
    </w:p>
    <w:p w14:paraId="15DE8D50" w14:textId="77777777" w:rsidR="00D92BDF" w:rsidRPr="000103E8" w:rsidRDefault="00944A9A">
      <w:pPr>
        <w:pStyle w:val="BodyText"/>
        <w:spacing w:line="249" w:lineRule="auto"/>
        <w:ind w:left="312" w:right="521"/>
        <w:rPr>
          <w:lang w:val="da-DK"/>
        </w:rPr>
      </w:pPr>
      <w:r w:rsidRPr="000103E8">
        <w:rPr>
          <w:lang w:val="da-DK"/>
        </w:rPr>
        <w:t xml:space="preserve">I forbindelse med den årlige planlægning af systemnære risikovurderinger, udarbejder </w:t>
      </w:r>
      <w:r w:rsidR="00225892">
        <w:rPr>
          <w:lang w:val="da-DK"/>
        </w:rPr>
        <w:t xml:space="preserve">[kontor/enhed] </w:t>
      </w:r>
      <w:r w:rsidRPr="000103E8">
        <w:rPr>
          <w:lang w:val="da-DK"/>
        </w:rPr>
        <w:t xml:space="preserve">en plan for de idriftsatte systemer, der skal risikovurderes. Beslutningen træffes ud fra forskellige kriterier, fx om systemet er forretnings- eller samfundskritisk, resultater fra seneste risikovurdering, dato for seneste risikovurdering, eller om fagkontoret har bestilt en risikovurdering af systemet. Som udgangspunkt er det dermed </w:t>
      </w:r>
      <w:r w:rsidR="00225892">
        <w:rPr>
          <w:lang w:val="da-DK"/>
        </w:rPr>
        <w:t>[kontor/enhed]</w:t>
      </w:r>
      <w:r w:rsidRPr="000103E8">
        <w:rPr>
          <w:lang w:val="da-DK"/>
        </w:rPr>
        <w:t>, der har ansvaret for at udvælge og planlægge risikovurderinger, mens det pågældende fagkontor er forpligtet til at stille repræsentanter og information til rådighed til workshopperne.</w:t>
      </w:r>
    </w:p>
    <w:p w14:paraId="15DFFBD3" w14:textId="77777777" w:rsidR="00D92BDF" w:rsidRPr="000103E8" w:rsidRDefault="00D92BDF">
      <w:pPr>
        <w:pStyle w:val="BodyText"/>
        <w:spacing w:before="3"/>
        <w:rPr>
          <w:lang w:val="da-DK"/>
        </w:rPr>
      </w:pPr>
    </w:p>
    <w:p w14:paraId="4CCC8540" w14:textId="77777777" w:rsidR="00D92BDF" w:rsidRPr="000103E8" w:rsidRDefault="00944A9A">
      <w:pPr>
        <w:ind w:left="312"/>
        <w:rPr>
          <w:i/>
          <w:sz w:val="24"/>
          <w:lang w:val="da-DK"/>
        </w:rPr>
      </w:pPr>
      <w:r w:rsidRPr="000103E8">
        <w:rPr>
          <w:i/>
          <w:sz w:val="24"/>
          <w:lang w:val="da-DK"/>
        </w:rPr>
        <w:t>Fremgangsmetode</w:t>
      </w:r>
    </w:p>
    <w:p w14:paraId="5D20B98C" w14:textId="77777777" w:rsidR="00D92BDF" w:rsidRPr="000103E8" w:rsidRDefault="00D92BDF">
      <w:pPr>
        <w:pStyle w:val="BodyText"/>
        <w:spacing w:before="9"/>
        <w:rPr>
          <w:i/>
          <w:sz w:val="25"/>
          <w:lang w:val="da-DK"/>
        </w:rPr>
      </w:pPr>
    </w:p>
    <w:p w14:paraId="4B7B0CC5" w14:textId="77777777" w:rsidR="00D92BDF" w:rsidRPr="000103E8" w:rsidRDefault="00944A9A">
      <w:pPr>
        <w:pStyle w:val="BodyText"/>
        <w:ind w:left="312"/>
        <w:rPr>
          <w:lang w:val="da-DK"/>
        </w:rPr>
      </w:pPr>
      <w:r w:rsidRPr="000103E8">
        <w:rPr>
          <w:lang w:val="da-DK"/>
        </w:rPr>
        <w:t>Risikovurdering af en it-løsning, som er i drift, foretages efter følgende proces:</w:t>
      </w:r>
    </w:p>
    <w:p w14:paraId="4AA5C466" w14:textId="77777777" w:rsidR="00D92BDF" w:rsidRPr="000103E8" w:rsidRDefault="00D92BDF">
      <w:pPr>
        <w:pStyle w:val="BodyText"/>
        <w:spacing w:before="10"/>
        <w:rPr>
          <w:sz w:val="25"/>
          <w:lang w:val="da-DK"/>
        </w:rPr>
      </w:pPr>
    </w:p>
    <w:p w14:paraId="546C46EF" w14:textId="77777777" w:rsidR="00D92BDF" w:rsidRPr="000103E8" w:rsidRDefault="00944A9A">
      <w:pPr>
        <w:pStyle w:val="ListParagraph"/>
        <w:numPr>
          <w:ilvl w:val="0"/>
          <w:numId w:val="1"/>
        </w:numPr>
        <w:tabs>
          <w:tab w:val="left" w:pos="1034"/>
        </w:tabs>
        <w:spacing w:line="249" w:lineRule="auto"/>
        <w:ind w:right="510"/>
        <w:rPr>
          <w:sz w:val="24"/>
          <w:lang w:val="da-DK"/>
        </w:rPr>
      </w:pPr>
      <w:r w:rsidRPr="000103E8">
        <w:rPr>
          <w:sz w:val="24"/>
          <w:lang w:val="da-DK"/>
        </w:rPr>
        <w:t>Resultat fra tidligere risikovurdering fremlægges, såfremt en sådan findes. Resultatet drøftes, og det besluttes, hvilke trusler der skal vurderes igen, tilføjes eller</w:t>
      </w:r>
      <w:r w:rsidRPr="000103E8">
        <w:rPr>
          <w:spacing w:val="3"/>
          <w:sz w:val="24"/>
          <w:lang w:val="da-DK"/>
        </w:rPr>
        <w:t xml:space="preserve"> </w:t>
      </w:r>
      <w:r w:rsidRPr="000103E8">
        <w:rPr>
          <w:sz w:val="24"/>
          <w:lang w:val="da-DK"/>
        </w:rPr>
        <w:t>udgå.</w:t>
      </w:r>
    </w:p>
    <w:p w14:paraId="58EA1C69" w14:textId="77777777" w:rsidR="00D92BDF" w:rsidRPr="000103E8" w:rsidRDefault="00944A9A">
      <w:pPr>
        <w:pStyle w:val="ListParagraph"/>
        <w:numPr>
          <w:ilvl w:val="0"/>
          <w:numId w:val="1"/>
        </w:numPr>
        <w:tabs>
          <w:tab w:val="left" w:pos="1034"/>
        </w:tabs>
        <w:ind w:hanging="361"/>
        <w:rPr>
          <w:sz w:val="24"/>
          <w:lang w:val="da-DK"/>
        </w:rPr>
      </w:pPr>
      <w:r w:rsidRPr="000103E8">
        <w:rPr>
          <w:sz w:val="24"/>
          <w:lang w:val="da-DK"/>
        </w:rPr>
        <w:t>Beskrivelse af it-systemet samt dets formål om nødvendigt (fagkontor)</w:t>
      </w:r>
    </w:p>
    <w:p w14:paraId="2850BCF7" w14:textId="77777777" w:rsidR="00D92BDF" w:rsidRDefault="00944A9A">
      <w:pPr>
        <w:pStyle w:val="ListParagraph"/>
        <w:numPr>
          <w:ilvl w:val="0"/>
          <w:numId w:val="1"/>
        </w:numPr>
        <w:tabs>
          <w:tab w:val="left" w:pos="1034"/>
        </w:tabs>
        <w:spacing w:before="9"/>
        <w:ind w:hanging="361"/>
        <w:rPr>
          <w:sz w:val="24"/>
        </w:rPr>
      </w:pPr>
      <w:r>
        <w:rPr>
          <w:sz w:val="24"/>
        </w:rPr>
        <w:t>Konsekvensvurderinger</w:t>
      </w:r>
      <w:r>
        <w:rPr>
          <w:spacing w:val="-1"/>
          <w:sz w:val="24"/>
        </w:rPr>
        <w:t xml:space="preserve"> </w:t>
      </w:r>
      <w:r>
        <w:rPr>
          <w:sz w:val="24"/>
        </w:rPr>
        <w:t>(fælles)</w:t>
      </w:r>
    </w:p>
    <w:p w14:paraId="3C6E1AE2" w14:textId="77777777" w:rsidR="00D92BDF" w:rsidRPr="000103E8" w:rsidRDefault="00944A9A">
      <w:pPr>
        <w:pStyle w:val="ListParagraph"/>
        <w:numPr>
          <w:ilvl w:val="0"/>
          <w:numId w:val="1"/>
        </w:numPr>
        <w:tabs>
          <w:tab w:val="left" w:pos="1034"/>
        </w:tabs>
        <w:spacing w:before="10"/>
        <w:ind w:hanging="361"/>
        <w:rPr>
          <w:sz w:val="24"/>
          <w:lang w:val="da-DK"/>
        </w:rPr>
      </w:pPr>
      <w:r w:rsidRPr="000103E8">
        <w:rPr>
          <w:sz w:val="24"/>
          <w:lang w:val="da-DK"/>
        </w:rPr>
        <w:t>Trussels-, sårbarheds- og sandsynlighedsvurdering</w:t>
      </w:r>
      <w:r w:rsidRPr="000103E8">
        <w:rPr>
          <w:spacing w:val="-2"/>
          <w:sz w:val="24"/>
          <w:lang w:val="da-DK"/>
        </w:rPr>
        <w:t xml:space="preserve"> </w:t>
      </w:r>
      <w:r w:rsidRPr="000103E8">
        <w:rPr>
          <w:sz w:val="24"/>
          <w:lang w:val="da-DK"/>
        </w:rPr>
        <w:t>(fælles)</w:t>
      </w:r>
    </w:p>
    <w:p w14:paraId="670A310F" w14:textId="77777777" w:rsidR="00D92BDF" w:rsidRPr="000103E8" w:rsidRDefault="00944A9A" w:rsidP="00225892">
      <w:pPr>
        <w:pStyle w:val="ListParagraph"/>
        <w:numPr>
          <w:ilvl w:val="0"/>
          <w:numId w:val="1"/>
        </w:numPr>
        <w:tabs>
          <w:tab w:val="left" w:pos="1034"/>
        </w:tabs>
        <w:spacing w:before="11"/>
        <w:rPr>
          <w:sz w:val="24"/>
          <w:lang w:val="da-DK"/>
        </w:rPr>
      </w:pPr>
      <w:r w:rsidRPr="000103E8">
        <w:rPr>
          <w:sz w:val="24"/>
          <w:lang w:val="da-DK"/>
        </w:rPr>
        <w:t>Anbefalinger til risikoreducerende sikkerhedsforanstaltninger og -krav</w:t>
      </w:r>
      <w:r w:rsidRPr="000103E8">
        <w:rPr>
          <w:spacing w:val="-5"/>
          <w:sz w:val="24"/>
          <w:lang w:val="da-DK"/>
        </w:rPr>
        <w:t xml:space="preserve"> </w:t>
      </w:r>
      <w:r w:rsidRPr="000103E8">
        <w:rPr>
          <w:sz w:val="24"/>
          <w:lang w:val="da-DK"/>
        </w:rPr>
        <w:t>(</w:t>
      </w:r>
      <w:r w:rsidR="00225892" w:rsidRPr="000103E8">
        <w:rPr>
          <w:sz w:val="24"/>
          <w:lang w:val="da-DK"/>
        </w:rPr>
        <w:t>[kontor/enhed]</w:t>
      </w:r>
      <w:r w:rsidRPr="000103E8">
        <w:rPr>
          <w:sz w:val="24"/>
          <w:lang w:val="da-DK"/>
        </w:rPr>
        <w:t>)</w:t>
      </w:r>
    </w:p>
    <w:p w14:paraId="0D08E7F1" w14:textId="77777777" w:rsidR="00D92BDF" w:rsidRPr="000103E8" w:rsidRDefault="00944A9A" w:rsidP="00225892">
      <w:pPr>
        <w:pStyle w:val="ListParagraph"/>
        <w:numPr>
          <w:ilvl w:val="0"/>
          <w:numId w:val="1"/>
        </w:numPr>
        <w:tabs>
          <w:tab w:val="left" w:pos="1034"/>
        </w:tabs>
        <w:spacing w:before="9"/>
        <w:rPr>
          <w:sz w:val="24"/>
          <w:lang w:val="da-DK"/>
        </w:rPr>
      </w:pPr>
      <w:r w:rsidRPr="000103E8">
        <w:rPr>
          <w:sz w:val="24"/>
          <w:lang w:val="da-DK"/>
        </w:rPr>
        <w:t>Rapportering (</w:t>
      </w:r>
      <w:r w:rsidR="00225892" w:rsidRPr="000103E8">
        <w:rPr>
          <w:sz w:val="24"/>
          <w:lang w:val="da-DK"/>
        </w:rPr>
        <w:t>[kontor/enhed]</w:t>
      </w:r>
      <w:r w:rsidRPr="000103E8">
        <w:rPr>
          <w:sz w:val="24"/>
          <w:lang w:val="da-DK"/>
        </w:rPr>
        <w:t xml:space="preserve"> i samarbejde med fagkontor og</w:t>
      </w:r>
      <w:r w:rsidRPr="000103E8">
        <w:rPr>
          <w:spacing w:val="-4"/>
          <w:sz w:val="24"/>
          <w:lang w:val="da-DK"/>
        </w:rPr>
        <w:t xml:space="preserve"> </w:t>
      </w:r>
      <w:r w:rsidR="00225892" w:rsidRPr="000103E8">
        <w:rPr>
          <w:sz w:val="24"/>
          <w:lang w:val="da-DK"/>
        </w:rPr>
        <w:t>[</w:t>
      </w:r>
      <w:r w:rsidR="00225892">
        <w:rPr>
          <w:sz w:val="24"/>
          <w:lang w:val="da-DK"/>
        </w:rPr>
        <w:t xml:space="preserve">juridisk </w:t>
      </w:r>
      <w:r w:rsidR="00225892" w:rsidRPr="000103E8">
        <w:rPr>
          <w:sz w:val="24"/>
          <w:lang w:val="da-DK"/>
        </w:rPr>
        <w:t>kontor/enhed]</w:t>
      </w:r>
      <w:r w:rsidRPr="000103E8">
        <w:rPr>
          <w:sz w:val="24"/>
          <w:lang w:val="da-DK"/>
        </w:rPr>
        <w:t>)</w:t>
      </w:r>
    </w:p>
    <w:p w14:paraId="29B6B3B6" w14:textId="77777777" w:rsidR="00D92BDF" w:rsidRDefault="00944A9A">
      <w:pPr>
        <w:pStyle w:val="ListParagraph"/>
        <w:numPr>
          <w:ilvl w:val="0"/>
          <w:numId w:val="1"/>
        </w:numPr>
        <w:tabs>
          <w:tab w:val="left" w:pos="1034"/>
        </w:tabs>
        <w:spacing w:before="10"/>
        <w:ind w:hanging="361"/>
        <w:rPr>
          <w:sz w:val="24"/>
        </w:rPr>
      </w:pPr>
      <w:r>
        <w:rPr>
          <w:sz w:val="24"/>
        </w:rPr>
        <w:t>Udarbejdelse af risikohåndteringsplan</w:t>
      </w:r>
      <w:r>
        <w:rPr>
          <w:spacing w:val="-8"/>
          <w:sz w:val="24"/>
        </w:rPr>
        <w:t xml:space="preserve"> </w:t>
      </w:r>
      <w:r>
        <w:rPr>
          <w:sz w:val="24"/>
        </w:rPr>
        <w:t>(fagkontor)</w:t>
      </w:r>
    </w:p>
    <w:p w14:paraId="61191891" w14:textId="77777777" w:rsidR="00D92BDF" w:rsidRPr="000103E8" w:rsidRDefault="00000000">
      <w:pPr>
        <w:pStyle w:val="ListParagraph"/>
        <w:numPr>
          <w:ilvl w:val="0"/>
          <w:numId w:val="1"/>
        </w:numPr>
        <w:tabs>
          <w:tab w:val="left" w:pos="1034"/>
        </w:tabs>
        <w:spacing w:before="11" w:line="494" w:lineRule="auto"/>
        <w:ind w:left="312" w:right="3987" w:firstLine="360"/>
        <w:rPr>
          <w:sz w:val="24"/>
          <w:lang w:val="da-DK"/>
        </w:rPr>
      </w:pPr>
      <w:r>
        <w:pict w14:anchorId="2899FA1E">
          <v:group id="_x0000_s2050" style="position:absolute;left:0;text-align:left;margin-left:58.3pt;margin-top:54.95pt;width:511.4pt;height:31.4pt;z-index:15731712;mso-position-horizontal-relative:page" coordorigin="1157,1099" coordsize="10228,628">
            <v:shape id="_x0000_s2067" style="position:absolute;left:1176;top:1154;width:3581;height:516" coordorigin="1177,1155" coordsize="3581,516" path="m4499,1155r-3322,l1177,1671r3322,l4757,1413,4499,1155xe" fillcolor="#20476f" stroked="f">
              <v:path arrowok="t"/>
            </v:shape>
            <v:shape id="_x0000_s2066" style="position:absolute;left:1176;top:1154;width:3581;height:516" coordorigin="1177,1155" coordsize="3581,516" path="m1177,1155r3322,l4757,1413r-258,258l1177,1671r,-516xe" filled="f" strokecolor="#005469" strokeweight="2pt">
              <v:path arrowok="t"/>
            </v:shape>
            <v:shape id="_x0000_s2065" style="position:absolute;left:4277;top:1118;width:1512;height:588" coordorigin="4277,1119" coordsize="1512,588" path="m5495,1119r-1218,l4571,1413r-294,294l5495,1707r294,-294l5495,1119xe" fillcolor="#20476f" stroked="f">
              <v:path arrowok="t"/>
            </v:shape>
            <v:shape id="_x0000_s2064" style="position:absolute;left:4277;top:1118;width:1512;height:588" coordorigin="4277,1119" coordsize="1512,588" path="m4277,1119r1218,l5789,1413r-294,294l4277,1707r294,-294l4277,1119xe" filled="f" strokecolor="white" strokeweight="2pt">
              <v:path arrowok="t"/>
            </v:shape>
            <v:shape id="_x0000_s2063" style="position:absolute;left:5318;top:1118;width:2282;height:588" coordorigin="5319,1119" coordsize="2282,588" path="m7306,1119r-1987,l5613,1413r-294,294l7306,1707r294,-294l7306,1119xe" fillcolor="#20476f" stroked="f">
              <v:path arrowok="t"/>
            </v:shape>
            <v:shape id="_x0000_s2062" style="position:absolute;left:5318;top:1118;width:2282;height:588" coordorigin="5319,1119" coordsize="2282,588" path="m5319,1119r1987,l7600,1413r-294,294l5319,1707r294,-294l5319,1119xe" filled="f" strokecolor="white" strokeweight="2pt">
              <v:path arrowok="t"/>
            </v:shape>
            <v:shape id="_x0000_s2061" style="position:absolute;left:7129;top:1118;width:2351;height:588" coordorigin="7130,1119" coordsize="2351,588" path="m9187,1119r-2057,l7424,1413r-294,294l9187,1707r294,-294l9187,1119xe" fillcolor="#20476f" stroked="f">
              <v:path arrowok="t"/>
            </v:shape>
            <v:shape id="_x0000_s2060" style="position:absolute;left:7129;top:1118;width:2351;height:588" coordorigin="7130,1119" coordsize="2351,588" path="m7130,1119r2057,l9481,1413r-294,294l7130,1707r294,-294l7130,1119xe" filled="f" strokecolor="white" strokeweight="2pt">
              <v:path arrowok="t"/>
            </v:shape>
            <v:shape id="_x0000_s2059" style="position:absolute;left:9013;top:1118;width:2351;height:588" coordorigin="9013,1119" coordsize="2351,588" path="m11070,1119r-2057,l9307,1413r-294,294l11070,1707r294,-294l11070,1119xe" fillcolor="#20476f" stroked="f">
              <v:path arrowok="t"/>
            </v:shape>
            <v:shape id="_x0000_s2058" style="position:absolute;left:9013;top:1118;width:2351;height:588" coordorigin="9013,1119" coordsize="2351,588" path="m9013,1119r2057,l11364,1413r-294,294l9013,1707r294,-294l9013,1119xe" filled="f" strokecolor="white" strokeweight="2pt">
              <v:path arrowok="t"/>
            </v:shape>
            <v:shape id="_x0000_s2057" type="#_x0000_t202" style="position:absolute;left:1227;top:1279;width:2944;height:259" filled="f" stroked="f">
              <v:textbox inset="0,0,0,0">
                <w:txbxContent>
                  <w:p w14:paraId="757ACC48" w14:textId="77777777" w:rsidR="00D92BDF" w:rsidRDefault="00225892">
                    <w:pPr>
                      <w:spacing w:before="7" w:line="216" w:lineRule="auto"/>
                      <w:ind w:right="-5"/>
                      <w:rPr>
                        <w:rFonts w:ascii="Arial" w:hAnsi="Arial"/>
                        <w:sz w:val="12"/>
                      </w:rPr>
                    </w:pPr>
                    <w:r>
                      <w:rPr>
                        <w:rFonts w:ascii="Arial" w:hAnsi="Arial"/>
                        <w:color w:val="FFFFFF"/>
                        <w:sz w:val="12"/>
                        <w:lang w:val="da-DK"/>
                      </w:rPr>
                      <w:t xml:space="preserve">[Kontor] </w:t>
                    </w:r>
                    <w:r w:rsidR="00944A9A">
                      <w:rPr>
                        <w:rFonts w:ascii="Arial" w:hAnsi="Arial"/>
                        <w:color w:val="FFFFFF"/>
                        <w:sz w:val="12"/>
                      </w:rPr>
                      <w:t>udvælger system (evt. på baggrund af bestilling fra fagkontor)</w:t>
                    </w:r>
                  </w:p>
                </w:txbxContent>
              </v:textbox>
            </v:shape>
            <v:shape id="_x0000_s2056" type="#_x0000_t202" style="position:absolute;left:4768;top:1279;width:574;height:259" filled="f" stroked="f">
              <v:textbox inset="0,0,0,0">
                <w:txbxContent>
                  <w:p w14:paraId="57D712C0" w14:textId="77777777" w:rsidR="00D92BDF" w:rsidRDefault="00944A9A">
                    <w:pPr>
                      <w:spacing w:before="7" w:line="216" w:lineRule="auto"/>
                      <w:ind w:right="7" w:firstLine="4"/>
                      <w:rPr>
                        <w:rFonts w:ascii="Arial"/>
                        <w:sz w:val="12"/>
                      </w:rPr>
                    </w:pPr>
                    <w:r>
                      <w:rPr>
                        <w:rFonts w:ascii="Arial"/>
                        <w:color w:val="FFFFFF"/>
                        <w:sz w:val="12"/>
                      </w:rPr>
                      <w:t>Fagkontor notificeres</w:t>
                    </w:r>
                  </w:p>
                </w:txbxContent>
              </v:textbox>
            </v:shape>
            <v:shape id="_x0000_s2055" type="#_x0000_t202" style="position:absolute;left:5738;top:1279;width:1488;height:259" filled="f" stroked="f">
              <v:textbox inset="0,0,0,0">
                <w:txbxContent>
                  <w:p w14:paraId="4A34C00C" w14:textId="77777777" w:rsidR="00D92BDF" w:rsidRDefault="00944A9A">
                    <w:pPr>
                      <w:spacing w:before="7" w:line="216" w:lineRule="auto"/>
                      <w:ind w:left="503" w:right="8" w:hanging="504"/>
                      <w:rPr>
                        <w:rFonts w:ascii="Arial"/>
                        <w:sz w:val="12"/>
                      </w:rPr>
                    </w:pPr>
                    <w:r>
                      <w:rPr>
                        <w:rFonts w:ascii="Arial"/>
                        <w:color w:val="FFFFFF"/>
                        <w:sz w:val="12"/>
                      </w:rPr>
                      <w:t>Risikovurderingsworkshops afholdes</w:t>
                    </w:r>
                  </w:p>
                </w:txbxContent>
              </v:textbox>
            </v:shape>
            <v:shape id="_x0000_s2054" type="#_x0000_t202" style="position:absolute;left:7578;top:1217;width:1501;height:259" filled="f" stroked="f">
              <v:textbox inset="0,0,0,0">
                <w:txbxContent>
                  <w:p w14:paraId="3E5DE6D6" w14:textId="77777777" w:rsidR="00D92BDF" w:rsidRDefault="00225892">
                    <w:pPr>
                      <w:spacing w:line="127" w:lineRule="exact"/>
                      <w:ind w:right="19"/>
                      <w:jc w:val="center"/>
                      <w:rPr>
                        <w:rFonts w:ascii="Arial"/>
                        <w:sz w:val="12"/>
                      </w:rPr>
                    </w:pPr>
                    <w:r>
                      <w:rPr>
                        <w:rFonts w:ascii="Arial"/>
                        <w:color w:val="FFFFFF"/>
                        <w:sz w:val="12"/>
                      </w:rPr>
                      <w:t>[Kontor]</w:t>
                    </w:r>
                    <w:r w:rsidR="00944A9A">
                      <w:rPr>
                        <w:rFonts w:ascii="Arial"/>
                        <w:color w:val="FFFFFF"/>
                        <w:sz w:val="12"/>
                      </w:rPr>
                      <w:t xml:space="preserve"> udarbejder</w:t>
                    </w:r>
                  </w:p>
                  <w:p w14:paraId="336D77EF" w14:textId="77777777" w:rsidR="00D92BDF" w:rsidRDefault="00944A9A">
                    <w:pPr>
                      <w:tabs>
                        <w:tab w:val="left" w:pos="1152"/>
                      </w:tabs>
                      <w:spacing w:line="131" w:lineRule="exact"/>
                      <w:ind w:right="18"/>
                      <w:jc w:val="center"/>
                      <w:rPr>
                        <w:rFonts w:ascii="Arial"/>
                        <w:sz w:val="12"/>
                      </w:rPr>
                    </w:pPr>
                    <w:r>
                      <w:rPr>
                        <w:rFonts w:ascii="Arial"/>
                        <w:color w:val="FFFFFF"/>
                        <w:sz w:val="12"/>
                      </w:rPr>
                      <w:t>risiko</w:t>
                    </w:r>
                    <w:r>
                      <w:rPr>
                        <w:rFonts w:ascii="Arial"/>
                        <w:color w:val="FFFFFF"/>
                        <w:sz w:val="12"/>
                      </w:rPr>
                      <w:tab/>
                      <w:t>rt</w:t>
                    </w:r>
                    <w:r>
                      <w:rPr>
                        <w:rFonts w:ascii="Arial"/>
                        <w:color w:val="FFFFFF"/>
                        <w:spacing w:val="-7"/>
                        <w:sz w:val="12"/>
                      </w:rPr>
                      <w:t xml:space="preserve"> </w:t>
                    </w:r>
                    <w:r>
                      <w:rPr>
                        <w:rFonts w:ascii="Arial"/>
                        <w:color w:val="FFFFFF"/>
                        <w:spacing w:val="-8"/>
                        <w:sz w:val="12"/>
                      </w:rPr>
                      <w:t>med</w:t>
                    </w:r>
                  </w:p>
                </w:txbxContent>
              </v:textbox>
            </v:shape>
            <v:shape id="_x0000_s2053" type="#_x0000_t202" style="position:absolute;left:7863;top:1342;width:888;height:135" filled="f" stroked="f">
              <v:textbox inset="0,0,0,0">
                <w:txbxContent>
                  <w:p w14:paraId="0BED023A" w14:textId="77777777" w:rsidR="00D92BDF" w:rsidRDefault="00944A9A">
                    <w:pPr>
                      <w:spacing w:line="134" w:lineRule="exact"/>
                      <w:rPr>
                        <w:rFonts w:ascii="Arial"/>
                        <w:sz w:val="12"/>
                      </w:rPr>
                    </w:pPr>
                    <w:r>
                      <w:rPr>
                        <w:rFonts w:ascii="Arial"/>
                        <w:color w:val="FFFFFF"/>
                        <w:sz w:val="12"/>
                      </w:rPr>
                      <w:t>vurderingsrappo</w:t>
                    </w:r>
                  </w:p>
                </w:txbxContent>
              </v:textbox>
            </v:shape>
            <v:shape id="_x0000_s2052" type="#_x0000_t202" style="position:absolute;left:7986;top:1467;width:686;height:135" filled="f" stroked="f">
              <v:textbox inset="0,0,0,0">
                <w:txbxContent>
                  <w:p w14:paraId="5C4B33BA" w14:textId="77777777" w:rsidR="00D92BDF" w:rsidRDefault="00944A9A">
                    <w:pPr>
                      <w:spacing w:line="134" w:lineRule="exact"/>
                      <w:rPr>
                        <w:rFonts w:ascii="Arial"/>
                        <w:sz w:val="12"/>
                      </w:rPr>
                    </w:pPr>
                    <w:r>
                      <w:rPr>
                        <w:rFonts w:ascii="Arial"/>
                        <w:color w:val="FFFFFF"/>
                        <w:sz w:val="12"/>
                      </w:rPr>
                      <w:t>anbefalinger</w:t>
                    </w:r>
                  </w:p>
                </w:txbxContent>
              </v:textbox>
            </v:shape>
            <v:shape id="_x0000_s2051" type="#_x0000_t202" style="position:absolute;left:9488;top:1279;width:1446;height:259" filled="f" stroked="f">
              <v:textbox inset="0,0,0,0">
                <w:txbxContent>
                  <w:p w14:paraId="68FCF4B6" w14:textId="77777777" w:rsidR="00D92BDF" w:rsidRDefault="00944A9A">
                    <w:pPr>
                      <w:spacing w:before="7" w:line="216" w:lineRule="auto"/>
                      <w:ind w:left="129" w:right="6" w:hanging="130"/>
                      <w:rPr>
                        <w:rFonts w:ascii="Arial" w:hAnsi="Arial"/>
                        <w:sz w:val="12"/>
                      </w:rPr>
                    </w:pPr>
                    <w:r>
                      <w:rPr>
                        <w:rFonts w:ascii="Arial" w:hAnsi="Arial"/>
                        <w:color w:val="FFFFFF"/>
                        <w:sz w:val="12"/>
                      </w:rPr>
                      <w:t>Sikkerhedsforanstaltninger udvælges af risikoejer</w:t>
                    </w:r>
                  </w:p>
                </w:txbxContent>
              </v:textbox>
            </v:shape>
            <w10:wrap anchorx="page"/>
          </v:group>
        </w:pict>
      </w:r>
      <w:r w:rsidR="00944A9A" w:rsidRPr="000103E8">
        <w:rPr>
          <w:sz w:val="24"/>
          <w:lang w:val="da-DK"/>
        </w:rPr>
        <w:t>Implementering af sikkerhedsforanstaltninger (fagkontor) Følgende figur illustrerer</w:t>
      </w:r>
      <w:r w:rsidR="00944A9A" w:rsidRPr="000103E8">
        <w:rPr>
          <w:spacing w:val="1"/>
          <w:sz w:val="24"/>
          <w:lang w:val="da-DK"/>
        </w:rPr>
        <w:t xml:space="preserve"> </w:t>
      </w:r>
      <w:r w:rsidR="00944A9A" w:rsidRPr="000103E8">
        <w:rPr>
          <w:sz w:val="24"/>
          <w:lang w:val="da-DK"/>
        </w:rPr>
        <w:t>forløbet:</w:t>
      </w:r>
    </w:p>
    <w:p w14:paraId="145CF01B" w14:textId="77777777" w:rsidR="00D92BDF" w:rsidRPr="000103E8" w:rsidRDefault="00D92BDF">
      <w:pPr>
        <w:pStyle w:val="BodyText"/>
        <w:rPr>
          <w:sz w:val="26"/>
          <w:lang w:val="da-DK"/>
        </w:rPr>
      </w:pPr>
    </w:p>
    <w:p w14:paraId="4C740995" w14:textId="77777777" w:rsidR="00D92BDF" w:rsidRPr="000103E8" w:rsidRDefault="00D92BDF">
      <w:pPr>
        <w:pStyle w:val="BodyText"/>
        <w:rPr>
          <w:sz w:val="26"/>
          <w:lang w:val="da-DK"/>
        </w:rPr>
      </w:pPr>
    </w:p>
    <w:p w14:paraId="1AA087CD" w14:textId="77777777" w:rsidR="00D92BDF" w:rsidRPr="000103E8" w:rsidRDefault="00D92BDF">
      <w:pPr>
        <w:pStyle w:val="BodyText"/>
        <w:spacing w:before="5"/>
        <w:rPr>
          <w:sz w:val="29"/>
          <w:lang w:val="da-DK"/>
        </w:rPr>
      </w:pPr>
    </w:p>
    <w:p w14:paraId="1B8681D1" w14:textId="77777777" w:rsidR="00D92BDF" w:rsidRPr="000103E8" w:rsidRDefault="00944A9A">
      <w:pPr>
        <w:ind w:left="312"/>
        <w:rPr>
          <w:i/>
          <w:sz w:val="24"/>
          <w:lang w:val="da-DK"/>
        </w:rPr>
      </w:pPr>
      <w:r w:rsidRPr="000103E8">
        <w:rPr>
          <w:i/>
          <w:sz w:val="24"/>
          <w:lang w:val="da-DK"/>
        </w:rPr>
        <w:t>Deltagere i risikovurderingen</w:t>
      </w:r>
    </w:p>
    <w:p w14:paraId="122EE733" w14:textId="77777777" w:rsidR="00D92BDF" w:rsidRPr="000103E8" w:rsidRDefault="00D92BDF">
      <w:pPr>
        <w:pStyle w:val="BodyText"/>
        <w:spacing w:before="10"/>
        <w:rPr>
          <w:i/>
          <w:sz w:val="25"/>
          <w:lang w:val="da-DK"/>
        </w:rPr>
      </w:pPr>
    </w:p>
    <w:p w14:paraId="2C6852D1" w14:textId="77777777" w:rsidR="00D92BDF" w:rsidRPr="000103E8" w:rsidRDefault="00944A9A">
      <w:pPr>
        <w:pStyle w:val="BodyText"/>
        <w:spacing w:line="247" w:lineRule="auto"/>
        <w:ind w:left="312" w:right="442"/>
        <w:rPr>
          <w:lang w:val="da-DK"/>
        </w:rPr>
      </w:pPr>
      <w:r w:rsidRPr="000103E8">
        <w:rPr>
          <w:lang w:val="da-DK"/>
        </w:rPr>
        <w:t xml:space="preserve">Risikovurderingen faciliteres af </w:t>
      </w:r>
      <w:r w:rsidR="00225892" w:rsidRPr="000103E8">
        <w:rPr>
          <w:lang w:val="da-DK"/>
        </w:rPr>
        <w:t>[kontor/enhed]</w:t>
      </w:r>
      <w:r w:rsidR="00225892">
        <w:rPr>
          <w:lang w:val="da-DK"/>
        </w:rPr>
        <w:t xml:space="preserve"> </w:t>
      </w:r>
      <w:r w:rsidRPr="000103E8">
        <w:rPr>
          <w:lang w:val="da-DK"/>
        </w:rPr>
        <w:t xml:space="preserve">og der afholdes en række workshopper. </w:t>
      </w:r>
      <w:r w:rsidR="00225892" w:rsidRPr="000103E8">
        <w:rPr>
          <w:lang w:val="da-DK"/>
        </w:rPr>
        <w:t>[</w:t>
      </w:r>
      <w:r w:rsidR="00225892">
        <w:rPr>
          <w:lang w:val="da-DK"/>
        </w:rPr>
        <w:t xml:space="preserve">Juridisk </w:t>
      </w:r>
      <w:r w:rsidR="00225892" w:rsidRPr="000103E8">
        <w:rPr>
          <w:lang w:val="da-DK"/>
        </w:rPr>
        <w:t>kontor/enhed]</w:t>
      </w:r>
      <w:r w:rsidR="00225892">
        <w:rPr>
          <w:lang w:val="da-DK"/>
        </w:rPr>
        <w:t xml:space="preserve"> </w:t>
      </w:r>
      <w:r w:rsidRPr="000103E8">
        <w:rPr>
          <w:lang w:val="da-DK"/>
        </w:rPr>
        <w:t>understøtter vurderingen af risici for de registrerede. I risikovurderingen deltager kontorchefen for fagkontoret (eller en stedfortræder) og de medarbejdere, som er relevante i forhold til den konkrete anskaffelse. Det kan være systemforvalter, indkøbsansvarlig, medarbejdere med viden om processerne, o. lign.</w:t>
      </w:r>
    </w:p>
    <w:p w14:paraId="393DD3C0" w14:textId="77777777" w:rsidR="00D92BDF" w:rsidRPr="000103E8" w:rsidRDefault="00D92BDF">
      <w:pPr>
        <w:pStyle w:val="BodyText"/>
        <w:spacing w:before="6"/>
        <w:rPr>
          <w:sz w:val="25"/>
          <w:lang w:val="da-DK"/>
        </w:rPr>
      </w:pPr>
    </w:p>
    <w:p w14:paraId="13F12C98" w14:textId="77777777" w:rsidR="00D92BDF" w:rsidRPr="000103E8" w:rsidRDefault="00944A9A">
      <w:pPr>
        <w:pStyle w:val="BodyText"/>
        <w:spacing w:before="1"/>
        <w:ind w:left="312"/>
        <w:rPr>
          <w:lang w:val="da-DK"/>
        </w:rPr>
      </w:pPr>
      <w:r w:rsidRPr="000103E8">
        <w:rPr>
          <w:lang w:val="da-DK"/>
        </w:rPr>
        <w:t>Indholdet på workshopperne vil typisk bestå af følgende:</w:t>
      </w:r>
    </w:p>
    <w:p w14:paraId="26486D68" w14:textId="77777777" w:rsidR="00D92BDF" w:rsidRPr="000103E8" w:rsidRDefault="00D92BDF">
      <w:pPr>
        <w:pStyle w:val="BodyText"/>
        <w:spacing w:before="10"/>
        <w:rPr>
          <w:lang w:val="da-DK"/>
        </w:rPr>
      </w:pPr>
    </w:p>
    <w:p w14:paraId="4399EC5F" w14:textId="77777777" w:rsidR="00D92BDF" w:rsidRDefault="00944A9A">
      <w:pPr>
        <w:pStyle w:val="ListParagraph"/>
        <w:numPr>
          <w:ilvl w:val="1"/>
          <w:numId w:val="1"/>
        </w:numPr>
        <w:tabs>
          <w:tab w:val="left" w:pos="1753"/>
          <w:tab w:val="left" w:pos="1754"/>
        </w:tabs>
        <w:spacing w:before="1" w:line="249" w:lineRule="auto"/>
        <w:ind w:right="448"/>
        <w:rPr>
          <w:sz w:val="24"/>
        </w:rPr>
      </w:pPr>
      <w:r w:rsidRPr="000103E8">
        <w:rPr>
          <w:sz w:val="24"/>
          <w:lang w:val="da-DK"/>
        </w:rPr>
        <w:t xml:space="preserve">Såfremt der tidligere er foretaget en risikovurdering, drøftes denne og det besluttes, hvilke elementer, der fortsat er gældende. Er der ikke udarbejdet en risikovurdering, eller er denne ikke fyldestgørende, gives der af fagkontoret en indføring i, hvad formålet er med systemet, hvilke processer det skal understøtte, hvilke data der lagres i systemet, hvor det skal hostes mv. </w:t>
      </w:r>
      <w:r>
        <w:rPr>
          <w:sz w:val="24"/>
        </w:rPr>
        <w:t>Spørgerammen forsøges udfyldt af fagkontoret inden</w:t>
      </w:r>
      <w:r>
        <w:rPr>
          <w:spacing w:val="-1"/>
          <w:sz w:val="24"/>
        </w:rPr>
        <w:t xml:space="preserve"> </w:t>
      </w:r>
      <w:r>
        <w:rPr>
          <w:sz w:val="24"/>
        </w:rPr>
        <w:t>workshoppen.</w:t>
      </w:r>
    </w:p>
    <w:p w14:paraId="030DDE32" w14:textId="77777777" w:rsidR="00D92BDF" w:rsidRPr="000103E8" w:rsidRDefault="00944A9A">
      <w:pPr>
        <w:pStyle w:val="ListParagraph"/>
        <w:numPr>
          <w:ilvl w:val="1"/>
          <w:numId w:val="1"/>
        </w:numPr>
        <w:tabs>
          <w:tab w:val="left" w:pos="1753"/>
          <w:tab w:val="left" w:pos="1754"/>
        </w:tabs>
        <w:spacing w:before="1" w:line="280" w:lineRule="exact"/>
        <w:ind w:right="1644"/>
        <w:rPr>
          <w:sz w:val="24"/>
          <w:lang w:val="da-DK"/>
        </w:rPr>
      </w:pPr>
      <w:r w:rsidRPr="000103E8">
        <w:rPr>
          <w:sz w:val="24"/>
          <w:lang w:val="da-DK"/>
        </w:rPr>
        <w:t>Efterfølgende foretages en vurdering af, hvilke konsekvenser brud på hhv. fortroligheden, integriteten og tilgængeligheden vil have inden for en</w:t>
      </w:r>
      <w:r w:rsidRPr="000103E8">
        <w:rPr>
          <w:spacing w:val="-30"/>
          <w:sz w:val="24"/>
          <w:lang w:val="da-DK"/>
        </w:rPr>
        <w:t xml:space="preserve"> </w:t>
      </w:r>
      <w:r w:rsidRPr="000103E8">
        <w:rPr>
          <w:sz w:val="24"/>
          <w:lang w:val="da-DK"/>
        </w:rPr>
        <w:t>række</w:t>
      </w:r>
    </w:p>
    <w:p w14:paraId="4611C3EF" w14:textId="77777777" w:rsidR="00D92BDF" w:rsidRPr="000103E8" w:rsidRDefault="00D92BDF">
      <w:pPr>
        <w:spacing w:line="280" w:lineRule="exact"/>
        <w:rPr>
          <w:sz w:val="24"/>
          <w:lang w:val="da-DK"/>
        </w:rPr>
        <w:sectPr w:rsidR="00D92BDF" w:rsidRPr="000103E8">
          <w:pgSz w:w="11910" w:h="16840"/>
          <w:pgMar w:top="1580" w:right="720" w:bottom="1220" w:left="820" w:header="0" w:footer="1022" w:gutter="0"/>
          <w:cols w:space="708"/>
        </w:sectPr>
      </w:pPr>
    </w:p>
    <w:p w14:paraId="32968244" w14:textId="77777777" w:rsidR="00D92BDF" w:rsidRPr="000103E8" w:rsidRDefault="00944A9A">
      <w:pPr>
        <w:pStyle w:val="BodyText"/>
        <w:spacing w:before="112" w:line="249" w:lineRule="auto"/>
        <w:ind w:left="1753" w:right="1260"/>
        <w:rPr>
          <w:lang w:val="da-DK"/>
        </w:rPr>
      </w:pPr>
      <w:r w:rsidRPr="000103E8">
        <w:rPr>
          <w:lang w:val="da-DK"/>
        </w:rPr>
        <w:lastRenderedPageBreak/>
        <w:t xml:space="preserve">dimensioner, der vedrører </w:t>
      </w:r>
      <w:r w:rsidR="00225892">
        <w:rPr>
          <w:lang w:val="da-DK"/>
        </w:rPr>
        <w:t>[organisationen]</w:t>
      </w:r>
      <w:r w:rsidRPr="000103E8">
        <w:rPr>
          <w:lang w:val="da-DK"/>
        </w:rPr>
        <w:t xml:space="preserve"> som en forretningen samt de registrerede.</w:t>
      </w:r>
    </w:p>
    <w:p w14:paraId="53103E66" w14:textId="77777777" w:rsidR="00D92BDF" w:rsidRPr="000103E8" w:rsidRDefault="00944A9A">
      <w:pPr>
        <w:pStyle w:val="ListParagraph"/>
        <w:numPr>
          <w:ilvl w:val="1"/>
          <w:numId w:val="1"/>
        </w:numPr>
        <w:tabs>
          <w:tab w:val="left" w:pos="1753"/>
          <w:tab w:val="left" w:pos="1754"/>
        </w:tabs>
        <w:spacing w:line="249" w:lineRule="auto"/>
        <w:ind w:right="488"/>
        <w:rPr>
          <w:sz w:val="24"/>
          <w:lang w:val="da-DK"/>
        </w:rPr>
      </w:pPr>
      <w:r w:rsidRPr="000103E8">
        <w:rPr>
          <w:sz w:val="24"/>
          <w:lang w:val="da-DK"/>
        </w:rPr>
        <w:t xml:space="preserve">Deltagerne skal, med vejledning fra </w:t>
      </w:r>
      <w:r w:rsidR="00225892" w:rsidRPr="000103E8">
        <w:rPr>
          <w:sz w:val="24"/>
          <w:lang w:val="da-DK"/>
        </w:rPr>
        <w:t>[kontor/enhed]</w:t>
      </w:r>
      <w:r w:rsidRPr="000103E8">
        <w:rPr>
          <w:sz w:val="24"/>
          <w:lang w:val="da-DK"/>
        </w:rPr>
        <w:t xml:space="preserve">, identificere de trusler, der er relevante for den pågældende løsning. Afhængigt af, om øvelsen er lavet tidligere, kan man overveje at genbruge vurderinger og blot tilføje eller rette til. Til at understøtte dette trin, leverer </w:t>
      </w:r>
      <w:r w:rsidR="00225892" w:rsidRPr="000103E8">
        <w:rPr>
          <w:sz w:val="24"/>
          <w:lang w:val="da-DK"/>
        </w:rPr>
        <w:t>[kontor/enhed]</w:t>
      </w:r>
      <w:r w:rsidR="00225892">
        <w:rPr>
          <w:sz w:val="24"/>
          <w:lang w:val="da-DK"/>
        </w:rPr>
        <w:t xml:space="preserve"> </w:t>
      </w:r>
      <w:r w:rsidRPr="000103E8">
        <w:rPr>
          <w:sz w:val="24"/>
          <w:lang w:val="da-DK"/>
        </w:rPr>
        <w:t>et katalog over trusler, som der kan tages afsæt i. Kataloget er dog ikke udtømmende, og deltagerne bør derfor overveje om der er øvrige relevante trusler, som bør medtages.</w:t>
      </w:r>
    </w:p>
    <w:p w14:paraId="3136A4C6" w14:textId="77777777" w:rsidR="00D92BDF" w:rsidRPr="000103E8" w:rsidRDefault="00944A9A">
      <w:pPr>
        <w:pStyle w:val="ListParagraph"/>
        <w:numPr>
          <w:ilvl w:val="1"/>
          <w:numId w:val="1"/>
        </w:numPr>
        <w:tabs>
          <w:tab w:val="left" w:pos="1753"/>
          <w:tab w:val="left" w:pos="1754"/>
        </w:tabs>
        <w:spacing w:line="288" w:lineRule="exact"/>
        <w:rPr>
          <w:sz w:val="24"/>
          <w:lang w:val="da-DK"/>
        </w:rPr>
      </w:pPr>
      <w:r w:rsidRPr="000103E8">
        <w:rPr>
          <w:sz w:val="24"/>
          <w:lang w:val="da-DK"/>
        </w:rPr>
        <w:t>Efterfølgende identificeres de sårbarheder, der kan være i forhold til systemet (eller</w:t>
      </w:r>
      <w:r w:rsidRPr="000103E8">
        <w:rPr>
          <w:spacing w:val="-11"/>
          <w:sz w:val="24"/>
          <w:lang w:val="da-DK"/>
        </w:rPr>
        <w:t xml:space="preserve"> </w:t>
      </w:r>
      <w:r w:rsidRPr="000103E8">
        <w:rPr>
          <w:sz w:val="24"/>
          <w:lang w:val="da-DK"/>
        </w:rPr>
        <w:t>den</w:t>
      </w:r>
    </w:p>
    <w:p w14:paraId="185C11FB" w14:textId="77777777" w:rsidR="00D92BDF" w:rsidRPr="000103E8" w:rsidRDefault="00944A9A" w:rsidP="00202CE2">
      <w:pPr>
        <w:pStyle w:val="BodyText"/>
        <w:spacing w:before="1" w:line="247" w:lineRule="auto"/>
        <w:ind w:left="1753" w:right="419"/>
        <w:rPr>
          <w:lang w:val="da-DK"/>
        </w:rPr>
      </w:pPr>
      <w:r w:rsidRPr="000103E8">
        <w:rPr>
          <w:lang w:val="da-DK"/>
        </w:rPr>
        <w:t>type af system), samt processerne. Sårbarhederne kobles sammen med de identificerede trusler, og der foretages en vurdering af, hvad sandsynligheden er for, at en trussel vil udnytte en sårbarhed.</w:t>
      </w:r>
    </w:p>
    <w:p w14:paraId="1F2A79B1" w14:textId="77777777" w:rsidR="00D92BDF" w:rsidRPr="000103E8" w:rsidRDefault="00D92BDF">
      <w:pPr>
        <w:pStyle w:val="BodyText"/>
        <w:spacing w:before="6"/>
        <w:rPr>
          <w:sz w:val="38"/>
          <w:lang w:val="da-DK"/>
        </w:rPr>
      </w:pPr>
    </w:p>
    <w:p w14:paraId="3B8B34EC" w14:textId="77777777" w:rsidR="00D92BDF" w:rsidRPr="000103E8" w:rsidRDefault="00944A9A">
      <w:pPr>
        <w:ind w:left="312"/>
        <w:rPr>
          <w:i/>
          <w:sz w:val="24"/>
          <w:lang w:val="da-DK"/>
        </w:rPr>
      </w:pPr>
      <w:r w:rsidRPr="000103E8">
        <w:rPr>
          <w:i/>
          <w:sz w:val="24"/>
          <w:lang w:val="da-DK"/>
        </w:rPr>
        <w:t>Rapportering</w:t>
      </w:r>
    </w:p>
    <w:p w14:paraId="667A0F5C" w14:textId="77777777" w:rsidR="00D92BDF" w:rsidRPr="000103E8" w:rsidRDefault="00225892">
      <w:pPr>
        <w:pStyle w:val="BodyText"/>
        <w:spacing w:before="191"/>
        <w:ind w:left="312"/>
        <w:rPr>
          <w:lang w:val="da-DK"/>
        </w:rPr>
      </w:pPr>
      <w:r w:rsidRPr="000103E8">
        <w:rPr>
          <w:lang w:val="da-DK"/>
        </w:rPr>
        <w:t>[Kontor/enhed]</w:t>
      </w:r>
      <w:r>
        <w:rPr>
          <w:lang w:val="da-DK"/>
        </w:rPr>
        <w:t xml:space="preserve"> </w:t>
      </w:r>
      <w:r w:rsidR="00944A9A" w:rsidRPr="000103E8">
        <w:rPr>
          <w:lang w:val="da-DK"/>
        </w:rPr>
        <w:t>samler resultaterne i en rapport, hvori anbefalinger til sikkerhedskrav eller -foranstaltninger indgår.</w:t>
      </w:r>
    </w:p>
    <w:sectPr w:rsidR="00D92BDF" w:rsidRPr="000103E8">
      <w:pgSz w:w="11910" w:h="16840"/>
      <w:pgMar w:top="1580" w:right="720" w:bottom="1220" w:left="820" w:header="0" w:footer="1022"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6BB449" w14:textId="77777777" w:rsidR="00FD6726" w:rsidRDefault="00FD6726">
      <w:r>
        <w:separator/>
      </w:r>
    </w:p>
  </w:endnote>
  <w:endnote w:type="continuationSeparator" w:id="0">
    <w:p w14:paraId="5191BABC" w14:textId="77777777" w:rsidR="00FD6726" w:rsidRDefault="00FD67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B4E228" w14:textId="77777777" w:rsidR="00D92BDF" w:rsidRDefault="00000000">
    <w:pPr>
      <w:pStyle w:val="BodyText"/>
      <w:spacing w:line="14" w:lineRule="auto"/>
      <w:rPr>
        <w:sz w:val="20"/>
      </w:rPr>
    </w:pPr>
    <w:r>
      <w:pict w14:anchorId="33DD1529">
        <v:shapetype id="_x0000_t202" coordsize="21600,21600" o:spt="202" path="m,l,21600r21600,l21600,xe">
          <v:stroke joinstyle="miter"/>
          <v:path gradientshapeok="t" o:connecttype="rect"/>
        </v:shapetype>
        <v:shape id="_x0000_s1025" type="#_x0000_t202" style="position:absolute;margin-left:530.5pt;margin-top:779.8pt;width:11.2pt;height:14.45pt;z-index:-251658752;mso-position-horizontal-relative:page;mso-position-vertical-relative:page" filled="f" stroked="f">
          <v:textbox style="mso-next-textbox:#_x0000_s1025" inset="0,0,0,0">
            <w:txbxContent>
              <w:p w14:paraId="5669CCA7" w14:textId="77777777" w:rsidR="00D92BDF" w:rsidRDefault="00944A9A">
                <w:pPr>
                  <w:spacing w:before="20"/>
                  <w:ind w:left="60"/>
                </w:pPr>
                <w:r>
                  <w:fldChar w:fldCharType="begin"/>
                </w:r>
                <w:r>
                  <w:instrText xml:space="preserve"> PAGE </w:instrText>
                </w:r>
                <w:r>
                  <w:fldChar w:fldCharType="separate"/>
                </w:r>
                <w:r w:rsidR="00202CE2">
                  <w:rPr>
                    <w:noProof/>
                  </w:rPr>
                  <w:t>1</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0E0616" w14:textId="77777777" w:rsidR="00FD6726" w:rsidRDefault="00FD6726">
      <w:r>
        <w:separator/>
      </w:r>
    </w:p>
  </w:footnote>
  <w:footnote w:type="continuationSeparator" w:id="0">
    <w:p w14:paraId="067F2480" w14:textId="77777777" w:rsidR="00FD6726" w:rsidRDefault="00FD672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7B7DE6"/>
    <w:multiLevelType w:val="hybridMultilevel"/>
    <w:tmpl w:val="63C28F48"/>
    <w:lvl w:ilvl="0" w:tplc="33CA5390">
      <w:start w:val="1"/>
      <w:numFmt w:val="decimal"/>
      <w:lvlText w:val="%1."/>
      <w:lvlJc w:val="left"/>
      <w:pPr>
        <w:ind w:left="1033" w:hanging="360"/>
      </w:pPr>
      <w:rPr>
        <w:rFonts w:ascii="Garamond" w:eastAsia="Garamond" w:hAnsi="Garamond" w:cs="Garamond" w:hint="default"/>
        <w:w w:val="100"/>
        <w:sz w:val="24"/>
        <w:szCs w:val="24"/>
        <w:lang w:eastAsia="en-US" w:bidi="ar-SA"/>
      </w:rPr>
    </w:lvl>
    <w:lvl w:ilvl="1" w:tplc="4CE8B700">
      <w:numFmt w:val="bullet"/>
      <w:lvlText w:val="•"/>
      <w:lvlJc w:val="left"/>
      <w:pPr>
        <w:ind w:left="1972" w:hanging="360"/>
      </w:pPr>
      <w:rPr>
        <w:rFonts w:hint="default"/>
        <w:lang w:eastAsia="en-US" w:bidi="ar-SA"/>
      </w:rPr>
    </w:lvl>
    <w:lvl w:ilvl="2" w:tplc="2D9ADF02">
      <w:numFmt w:val="bullet"/>
      <w:lvlText w:val="•"/>
      <w:lvlJc w:val="left"/>
      <w:pPr>
        <w:ind w:left="2905" w:hanging="360"/>
      </w:pPr>
      <w:rPr>
        <w:rFonts w:hint="default"/>
        <w:lang w:eastAsia="en-US" w:bidi="ar-SA"/>
      </w:rPr>
    </w:lvl>
    <w:lvl w:ilvl="3" w:tplc="F356F0F8">
      <w:numFmt w:val="bullet"/>
      <w:lvlText w:val="•"/>
      <w:lvlJc w:val="left"/>
      <w:pPr>
        <w:ind w:left="3837" w:hanging="360"/>
      </w:pPr>
      <w:rPr>
        <w:rFonts w:hint="default"/>
        <w:lang w:eastAsia="en-US" w:bidi="ar-SA"/>
      </w:rPr>
    </w:lvl>
    <w:lvl w:ilvl="4" w:tplc="000C4D00">
      <w:numFmt w:val="bullet"/>
      <w:lvlText w:val="•"/>
      <w:lvlJc w:val="left"/>
      <w:pPr>
        <w:ind w:left="4770" w:hanging="360"/>
      </w:pPr>
      <w:rPr>
        <w:rFonts w:hint="default"/>
        <w:lang w:eastAsia="en-US" w:bidi="ar-SA"/>
      </w:rPr>
    </w:lvl>
    <w:lvl w:ilvl="5" w:tplc="712E6D3E">
      <w:numFmt w:val="bullet"/>
      <w:lvlText w:val="•"/>
      <w:lvlJc w:val="left"/>
      <w:pPr>
        <w:ind w:left="5703" w:hanging="360"/>
      </w:pPr>
      <w:rPr>
        <w:rFonts w:hint="default"/>
        <w:lang w:eastAsia="en-US" w:bidi="ar-SA"/>
      </w:rPr>
    </w:lvl>
    <w:lvl w:ilvl="6" w:tplc="53FEB0D6">
      <w:numFmt w:val="bullet"/>
      <w:lvlText w:val="•"/>
      <w:lvlJc w:val="left"/>
      <w:pPr>
        <w:ind w:left="6635" w:hanging="360"/>
      </w:pPr>
      <w:rPr>
        <w:rFonts w:hint="default"/>
        <w:lang w:eastAsia="en-US" w:bidi="ar-SA"/>
      </w:rPr>
    </w:lvl>
    <w:lvl w:ilvl="7" w:tplc="9C48DCE2">
      <w:numFmt w:val="bullet"/>
      <w:lvlText w:val="•"/>
      <w:lvlJc w:val="left"/>
      <w:pPr>
        <w:ind w:left="7568" w:hanging="360"/>
      </w:pPr>
      <w:rPr>
        <w:rFonts w:hint="default"/>
        <w:lang w:eastAsia="en-US" w:bidi="ar-SA"/>
      </w:rPr>
    </w:lvl>
    <w:lvl w:ilvl="8" w:tplc="4CC6E168">
      <w:numFmt w:val="bullet"/>
      <w:lvlText w:val="•"/>
      <w:lvlJc w:val="left"/>
      <w:pPr>
        <w:ind w:left="8501" w:hanging="360"/>
      </w:pPr>
      <w:rPr>
        <w:rFonts w:hint="default"/>
        <w:lang w:eastAsia="en-US" w:bidi="ar-SA"/>
      </w:rPr>
    </w:lvl>
  </w:abstractNum>
  <w:abstractNum w:abstractNumId="1" w15:restartNumberingAfterBreak="0">
    <w:nsid w:val="21AD3268"/>
    <w:multiLevelType w:val="hybridMultilevel"/>
    <w:tmpl w:val="06DC6114"/>
    <w:lvl w:ilvl="0" w:tplc="972CF142">
      <w:start w:val="1"/>
      <w:numFmt w:val="decimal"/>
      <w:lvlText w:val="%1."/>
      <w:lvlJc w:val="left"/>
      <w:pPr>
        <w:ind w:left="1033" w:hanging="360"/>
      </w:pPr>
      <w:rPr>
        <w:rFonts w:ascii="Garamond" w:eastAsia="Garamond" w:hAnsi="Garamond" w:cs="Garamond" w:hint="default"/>
        <w:w w:val="100"/>
        <w:sz w:val="24"/>
        <w:szCs w:val="24"/>
        <w:lang w:eastAsia="en-US" w:bidi="ar-SA"/>
      </w:rPr>
    </w:lvl>
    <w:lvl w:ilvl="1" w:tplc="331C0996">
      <w:numFmt w:val="bullet"/>
      <w:lvlText w:val=""/>
      <w:lvlJc w:val="left"/>
      <w:pPr>
        <w:ind w:left="1753" w:hanging="360"/>
      </w:pPr>
      <w:rPr>
        <w:rFonts w:ascii="Symbol" w:eastAsia="Symbol" w:hAnsi="Symbol" w:cs="Symbol" w:hint="default"/>
        <w:w w:val="100"/>
        <w:sz w:val="24"/>
        <w:szCs w:val="24"/>
        <w:lang w:eastAsia="en-US" w:bidi="ar-SA"/>
      </w:rPr>
    </w:lvl>
    <w:lvl w:ilvl="2" w:tplc="44B2DE32">
      <w:numFmt w:val="bullet"/>
      <w:lvlText w:val="•"/>
      <w:lvlJc w:val="left"/>
      <w:pPr>
        <w:ind w:left="2716" w:hanging="360"/>
      </w:pPr>
      <w:rPr>
        <w:rFonts w:hint="default"/>
        <w:lang w:eastAsia="en-US" w:bidi="ar-SA"/>
      </w:rPr>
    </w:lvl>
    <w:lvl w:ilvl="3" w:tplc="B4AA518C">
      <w:numFmt w:val="bullet"/>
      <w:lvlText w:val="•"/>
      <w:lvlJc w:val="left"/>
      <w:pPr>
        <w:ind w:left="3672" w:hanging="360"/>
      </w:pPr>
      <w:rPr>
        <w:rFonts w:hint="default"/>
        <w:lang w:eastAsia="en-US" w:bidi="ar-SA"/>
      </w:rPr>
    </w:lvl>
    <w:lvl w:ilvl="4" w:tplc="B97E9C3A">
      <w:numFmt w:val="bullet"/>
      <w:lvlText w:val="•"/>
      <w:lvlJc w:val="left"/>
      <w:pPr>
        <w:ind w:left="4628" w:hanging="360"/>
      </w:pPr>
      <w:rPr>
        <w:rFonts w:hint="default"/>
        <w:lang w:eastAsia="en-US" w:bidi="ar-SA"/>
      </w:rPr>
    </w:lvl>
    <w:lvl w:ilvl="5" w:tplc="09B82204">
      <w:numFmt w:val="bullet"/>
      <w:lvlText w:val="•"/>
      <w:lvlJc w:val="left"/>
      <w:pPr>
        <w:ind w:left="5585" w:hanging="360"/>
      </w:pPr>
      <w:rPr>
        <w:rFonts w:hint="default"/>
        <w:lang w:eastAsia="en-US" w:bidi="ar-SA"/>
      </w:rPr>
    </w:lvl>
    <w:lvl w:ilvl="6" w:tplc="65A621DA">
      <w:numFmt w:val="bullet"/>
      <w:lvlText w:val="•"/>
      <w:lvlJc w:val="left"/>
      <w:pPr>
        <w:ind w:left="6541" w:hanging="360"/>
      </w:pPr>
      <w:rPr>
        <w:rFonts w:hint="default"/>
        <w:lang w:eastAsia="en-US" w:bidi="ar-SA"/>
      </w:rPr>
    </w:lvl>
    <w:lvl w:ilvl="7" w:tplc="1F4AE0C2">
      <w:numFmt w:val="bullet"/>
      <w:lvlText w:val="•"/>
      <w:lvlJc w:val="left"/>
      <w:pPr>
        <w:ind w:left="7497" w:hanging="360"/>
      </w:pPr>
      <w:rPr>
        <w:rFonts w:hint="default"/>
        <w:lang w:eastAsia="en-US" w:bidi="ar-SA"/>
      </w:rPr>
    </w:lvl>
    <w:lvl w:ilvl="8" w:tplc="2488BF5C">
      <w:numFmt w:val="bullet"/>
      <w:lvlText w:val="•"/>
      <w:lvlJc w:val="left"/>
      <w:pPr>
        <w:ind w:left="8453" w:hanging="360"/>
      </w:pPr>
      <w:rPr>
        <w:rFonts w:hint="default"/>
        <w:lang w:eastAsia="en-US" w:bidi="ar-SA"/>
      </w:rPr>
    </w:lvl>
  </w:abstractNum>
  <w:abstractNum w:abstractNumId="2" w15:restartNumberingAfterBreak="0">
    <w:nsid w:val="708E396B"/>
    <w:multiLevelType w:val="hybridMultilevel"/>
    <w:tmpl w:val="0D34EA0C"/>
    <w:lvl w:ilvl="0" w:tplc="509AB466">
      <w:numFmt w:val="bullet"/>
      <w:lvlText w:val=""/>
      <w:lvlJc w:val="left"/>
      <w:pPr>
        <w:ind w:left="1753" w:hanging="360"/>
      </w:pPr>
      <w:rPr>
        <w:rFonts w:ascii="Symbol" w:eastAsia="Symbol" w:hAnsi="Symbol" w:cs="Symbol" w:hint="default"/>
        <w:w w:val="100"/>
        <w:sz w:val="24"/>
        <w:szCs w:val="24"/>
        <w:lang w:eastAsia="en-US" w:bidi="ar-SA"/>
      </w:rPr>
    </w:lvl>
    <w:lvl w:ilvl="1" w:tplc="3232ED86">
      <w:numFmt w:val="bullet"/>
      <w:lvlText w:val="•"/>
      <w:lvlJc w:val="left"/>
      <w:pPr>
        <w:ind w:left="2620" w:hanging="360"/>
      </w:pPr>
      <w:rPr>
        <w:rFonts w:hint="default"/>
        <w:lang w:eastAsia="en-US" w:bidi="ar-SA"/>
      </w:rPr>
    </w:lvl>
    <w:lvl w:ilvl="2" w:tplc="D6D8BE64">
      <w:numFmt w:val="bullet"/>
      <w:lvlText w:val="•"/>
      <w:lvlJc w:val="left"/>
      <w:pPr>
        <w:ind w:left="3481" w:hanging="360"/>
      </w:pPr>
      <w:rPr>
        <w:rFonts w:hint="default"/>
        <w:lang w:eastAsia="en-US" w:bidi="ar-SA"/>
      </w:rPr>
    </w:lvl>
    <w:lvl w:ilvl="3" w:tplc="B36CD694">
      <w:numFmt w:val="bullet"/>
      <w:lvlText w:val="•"/>
      <w:lvlJc w:val="left"/>
      <w:pPr>
        <w:ind w:left="4341" w:hanging="360"/>
      </w:pPr>
      <w:rPr>
        <w:rFonts w:hint="default"/>
        <w:lang w:eastAsia="en-US" w:bidi="ar-SA"/>
      </w:rPr>
    </w:lvl>
    <w:lvl w:ilvl="4" w:tplc="8BA0D94C">
      <w:numFmt w:val="bullet"/>
      <w:lvlText w:val="•"/>
      <w:lvlJc w:val="left"/>
      <w:pPr>
        <w:ind w:left="5202" w:hanging="360"/>
      </w:pPr>
      <w:rPr>
        <w:rFonts w:hint="default"/>
        <w:lang w:eastAsia="en-US" w:bidi="ar-SA"/>
      </w:rPr>
    </w:lvl>
    <w:lvl w:ilvl="5" w:tplc="C47C47EA">
      <w:numFmt w:val="bullet"/>
      <w:lvlText w:val="•"/>
      <w:lvlJc w:val="left"/>
      <w:pPr>
        <w:ind w:left="6063" w:hanging="360"/>
      </w:pPr>
      <w:rPr>
        <w:rFonts w:hint="default"/>
        <w:lang w:eastAsia="en-US" w:bidi="ar-SA"/>
      </w:rPr>
    </w:lvl>
    <w:lvl w:ilvl="6" w:tplc="43D83DEE">
      <w:numFmt w:val="bullet"/>
      <w:lvlText w:val="•"/>
      <w:lvlJc w:val="left"/>
      <w:pPr>
        <w:ind w:left="6923" w:hanging="360"/>
      </w:pPr>
      <w:rPr>
        <w:rFonts w:hint="default"/>
        <w:lang w:eastAsia="en-US" w:bidi="ar-SA"/>
      </w:rPr>
    </w:lvl>
    <w:lvl w:ilvl="7" w:tplc="6588B02C">
      <w:numFmt w:val="bullet"/>
      <w:lvlText w:val="•"/>
      <w:lvlJc w:val="left"/>
      <w:pPr>
        <w:ind w:left="7784" w:hanging="360"/>
      </w:pPr>
      <w:rPr>
        <w:rFonts w:hint="default"/>
        <w:lang w:eastAsia="en-US" w:bidi="ar-SA"/>
      </w:rPr>
    </w:lvl>
    <w:lvl w:ilvl="8" w:tplc="F6C694DA">
      <w:numFmt w:val="bullet"/>
      <w:lvlText w:val="•"/>
      <w:lvlJc w:val="left"/>
      <w:pPr>
        <w:ind w:left="8645" w:hanging="360"/>
      </w:pPr>
      <w:rPr>
        <w:rFonts w:hint="default"/>
        <w:lang w:eastAsia="en-US" w:bidi="ar-SA"/>
      </w:rPr>
    </w:lvl>
  </w:abstractNum>
  <w:num w:numId="1" w16cid:durableId="657540060">
    <w:abstractNumId w:val="1"/>
  </w:num>
  <w:num w:numId="2" w16cid:durableId="1400439980">
    <w:abstractNumId w:val="2"/>
  </w:num>
  <w:num w:numId="3" w16cid:durableId="875035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hyphenationZone w:val="425"/>
  <w:drawingGridHorizontalSpacing w:val="110"/>
  <w:displayHorizontalDrawingGridEvery w:val="2"/>
  <w:characterSpacingControl w:val="doNotCompress"/>
  <w:hdrShapeDefaults>
    <o:shapedefaults v:ext="edit" spidmax="2090"/>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D92BDF"/>
    <w:rsid w:val="000103E8"/>
    <w:rsid w:val="00202CE2"/>
    <w:rsid w:val="00225892"/>
    <w:rsid w:val="0047240A"/>
    <w:rsid w:val="00502C91"/>
    <w:rsid w:val="006B0E43"/>
    <w:rsid w:val="00944A9A"/>
    <w:rsid w:val="00956E91"/>
    <w:rsid w:val="00B9352A"/>
    <w:rsid w:val="00C47BF7"/>
    <w:rsid w:val="00D92BDF"/>
    <w:rsid w:val="00FD6726"/>
    <w:rsid w:val="00FE1833"/>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90"/>
    <o:shapelayout v:ext="edit">
      <o:idmap v:ext="edit" data="2"/>
    </o:shapelayout>
  </w:shapeDefaults>
  <w:decimalSymbol w:val=","/>
  <w:listSeparator w:val=";"/>
  <w14:docId w14:val="0366E374"/>
  <w15:docId w15:val="{53B1C112-063E-4CF1-BC6B-30E03248CF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Garamond" w:eastAsia="Garamond" w:hAnsi="Garamond" w:cs="Garamon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BodyText">
    <w:name w:val="Body Text"/>
    <w:basedOn w:val="Normal"/>
    <w:uiPriority w:val="1"/>
    <w:qFormat/>
    <w:rPr>
      <w:sz w:val="24"/>
      <w:szCs w:val="24"/>
    </w:rPr>
  </w:style>
  <w:style w:type="paragraph" w:styleId="Title">
    <w:name w:val="Title"/>
    <w:basedOn w:val="Normal"/>
    <w:uiPriority w:val="1"/>
    <w:qFormat/>
    <w:pPr>
      <w:spacing w:before="207"/>
      <w:ind w:left="312"/>
    </w:pPr>
    <w:rPr>
      <w:rFonts w:ascii="Arial" w:eastAsia="Arial" w:hAnsi="Arial" w:cs="Arial"/>
      <w:sz w:val="26"/>
      <w:szCs w:val="26"/>
    </w:rPr>
  </w:style>
  <w:style w:type="paragraph" w:styleId="ListParagraph">
    <w:name w:val="List Paragraph"/>
    <w:basedOn w:val="Normal"/>
    <w:uiPriority w:val="1"/>
    <w:qFormat/>
    <w:pPr>
      <w:ind w:left="1033" w:hanging="36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datatilsynet.dk/media/6879/artikel25og32-vejledning.pdf"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datatilsynet.dk/media/7900/vejledende-tekst-om-risikovurdering.pdf"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www.datatilsynet.dk/media/6879/artikel25og32-vejledning.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268</TotalTime>
  <Pages>8</Pages>
  <Words>2677</Words>
  <Characters>16330</Characters>
  <Application>Microsoft Office Word</Application>
  <DocSecurity>0</DocSecurity>
  <Lines>136</Lines>
  <Paragraphs>37</Paragraphs>
  <ScaleCrop>false</ScaleCrop>
  <HeadingPairs>
    <vt:vector size="2" baseType="variant">
      <vt:variant>
        <vt:lpstr>Titel</vt:lpstr>
      </vt:variant>
      <vt:variant>
        <vt:i4>1</vt:i4>
      </vt:variant>
    </vt:vector>
  </HeadingPairs>
  <TitlesOfParts>
    <vt:vector size="1" baseType="lpstr">
      <vt:lpstr/>
    </vt:vector>
  </TitlesOfParts>
  <Company>Statens It</Company>
  <LinksUpToDate>false</LinksUpToDate>
  <CharactersWithSpaces>18970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Mimi Dvorak Jølner</dc:creator>
  <cp:lastModifiedBy>Staib, Morten</cp:lastModifiedBy>
  <cp:revision>10</cp:revision>
  <dcterms:created xsi:type="dcterms:W3CDTF">2021-01-21T13:17:00Z</dcterms:created>
  <dcterms:modified xsi:type="dcterms:W3CDTF">2024-04-02T12:44:00Z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2020-08-24T00:00:00Z</vt:filetime>
  </property>
  <property fmtid="{D5CDD505-2E9C-101B-9397-08002B2CF9AE}" pid="3" name="Creator">
    <vt:lpwstr>Microsoft® Word 2016</vt:lpwstr>
  </property>
  <property fmtid="{D5CDD505-2E9C-101B-9397-08002B2CF9AE}" pid="4" name="LastSaved">
    <vt:filetime>2021-01-21T00:00:00Z</vt:filetime>
  </property>
  <property fmtid="{D5CDD505-2E9C-101B-9397-08002B2CF9AE}" pid="5" name="ContentRemapped">
    <vt:lpwstr>true</vt:lpwstr>
  </property>
  <property fmtid="{D5CDD505-2E9C-101B-9397-08002B2CF9AE}" pid="6" name="MSIP_Label_ea60d57e-af5b-4752-ac57-3e4f28ca11dc_Enabled">
    <vt:lpwstr>true</vt:lpwstr>
  </property>
  <property fmtid="{D5CDD505-2E9C-101B-9397-08002B2CF9AE}" pid="7" name="MSIP_Label_ea60d57e-af5b-4752-ac57-3e4f28ca11dc_SetDate">
    <vt:lpwstr>2024-04-02T12:44:11Z</vt:lpwstr>
  </property>
  <property fmtid="{D5CDD505-2E9C-101B-9397-08002B2CF9AE}" pid="8" name="MSIP_Label_ea60d57e-af5b-4752-ac57-3e4f28ca11dc_Method">
    <vt:lpwstr>Standard</vt:lpwstr>
  </property>
  <property fmtid="{D5CDD505-2E9C-101B-9397-08002B2CF9AE}" pid="9" name="MSIP_Label_ea60d57e-af5b-4752-ac57-3e4f28ca11dc_Name">
    <vt:lpwstr>ea60d57e-af5b-4752-ac57-3e4f28ca11dc</vt:lpwstr>
  </property>
  <property fmtid="{D5CDD505-2E9C-101B-9397-08002B2CF9AE}" pid="10" name="MSIP_Label_ea60d57e-af5b-4752-ac57-3e4f28ca11dc_SiteId">
    <vt:lpwstr>36da45f1-dd2c-4d1f-af13-5abe46b99921</vt:lpwstr>
  </property>
  <property fmtid="{D5CDD505-2E9C-101B-9397-08002B2CF9AE}" pid="11" name="MSIP_Label_ea60d57e-af5b-4752-ac57-3e4f28ca11dc_ActionId">
    <vt:lpwstr>f0419e7d-31a0-4305-b31b-49f8b558b2d2</vt:lpwstr>
  </property>
  <property fmtid="{D5CDD505-2E9C-101B-9397-08002B2CF9AE}" pid="12" name="MSIP_Label_ea60d57e-af5b-4752-ac57-3e4f28ca11dc_ContentBits">
    <vt:lpwstr>0</vt:lpwstr>
  </property>
</Properties>
</file>