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1F3864"/>
          <w:sz w:val="56"/>
          <w:szCs w:val="56"/>
        </w:rPr>
        <w:t xml:space="preserve">Trade Monitoring</w:t>
      </w:r>
    </w:p>
    <w:p>
      <w:pPr>
        <w:spacing w:after="320"/>
      </w:pPr>
      <w:r>
        <w:rPr>
          <w:rFonts w:ascii="Calibri" w:cs="Calibri" w:eastAsia="Calibri" w:hAnsi="Calibri"/>
          <w:color w:val="667085"/>
          <w:sz w:val="32"/>
          <w:szCs w:val="32"/>
        </w:rPr>
        <w:t xml:space="preserve">Surveillance and anomaly detection</w:t>
      </w:r>
    </w:p>
    <w:p>
      <w:pPr>
        <w:spacing w:after="60"/>
      </w:pPr>
      <w:r>
        <w:rPr>
          <w:rFonts w:ascii="Calibri" w:cs="Calibri" w:eastAsia="Calibri" w:hAnsi="Calibri"/>
          <w:b/>
          <w:bCs/>
          <w:sz w:val="26"/>
          <w:szCs w:val="26"/>
        </w:rPr>
        <w:t xml:space="preserve">Business Requirements and Development Specification</w:t>
      </w:r>
    </w:p>
    <w:p>
      <w:pPr>
        <w:spacing w:after="120" w:before="0"/>
      </w:pPr>
      <w:r>
        <w:rPr>
          <w:rFonts w:ascii="Calibri" w:cs="Calibri" w:eastAsia="Calibri" w:hAnsi="Calibri"/>
          <w:color w:val="667085"/>
          <w:sz w:val="22"/>
          <w:szCs w:val="22"/>
        </w:rPr>
        <w:t xml:space="preserve">For the development team building this system in the bank.</w:t>
      </w:r>
    </w:p>
    <w:p>
      <w:pPr>
        <w:pBdr>
          <w:top w:val="single" w:color="1F3864" w:sz="6"/>
        </w:pBdr>
        <w:spacing w:before="900"/>
      </w:pP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960"/>
      </w:tblGrid>
      <w:tr>
        <w:trPr>
          <w:cantSplit/>
          <w:tblHeader/>
        </w:trPr>
        <w:tc>
          <w:tcPr>
            <w:tcW w:type="dxa" w:w="24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Field</w:t>
            </w:r>
          </w:p>
        </w:tc>
        <w:tc>
          <w:tcPr>
            <w:tcW w:type="dxa" w:w="69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Detail</w:t>
            </w:r>
          </w:p>
        </w:tc>
      </w:tr>
      <w:tr>
        <w:trPr>
          <w:cantSplit/>
        </w:trPr>
        <w:tc>
          <w:tcPr>
            <w:tcW w:type="dxa" w:w="2400"/>
            <w:tcMar>
              <w:top w:type="dxa" w:w="60"/>
              <w:left w:type="dxa" w:w="100"/>
              <w:bottom w:type="dxa" w:w="60"/>
              <w:right w:type="dxa" w:w="100"/>
            </w:tcMar>
          </w:tcPr>
          <w:p>
            <w:pPr>
              <w:keepNext w:val="false"/>
              <w:spacing w:after="0"/>
            </w:pPr>
            <w:r>
              <w:rPr>
                <w:rFonts w:ascii="Calibri" w:cs="Calibri" w:eastAsia="Calibri" w:hAnsi="Calibri"/>
                <w:sz w:val="18"/>
                <w:szCs w:val="18"/>
              </w:rPr>
              <w:t xml:space="preserve">Document</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Business Requirements and Development Specification</w:t>
            </w:r>
          </w:p>
        </w:tc>
      </w:tr>
      <w:tr>
        <w:trPr>
          <w:cantSplit/>
        </w:trPr>
        <w:tc>
          <w:tcPr>
            <w:tcW w:type="dxa" w:w="2400"/>
            <w:tcMar>
              <w:top w:type="dxa" w:w="60"/>
              <w:left w:type="dxa" w:w="100"/>
              <w:bottom w:type="dxa" w:w="60"/>
              <w:right w:type="dxa" w:w="100"/>
            </w:tcMar>
          </w:tcPr>
          <w:p>
            <w:pPr>
              <w:keepNext w:val="false"/>
              <w:spacing w:after="0"/>
            </w:pPr>
            <w:r>
              <w:rPr>
                <w:rFonts w:ascii="Calibri" w:cs="Calibri" w:eastAsia="Calibri" w:hAnsi="Calibri"/>
                <w:sz w:val="18"/>
                <w:szCs w:val="18"/>
              </w:rPr>
              <w:t xml:space="preserve">Version</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1.2</w:t>
            </w:r>
          </w:p>
        </w:tc>
      </w:tr>
      <w:tr>
        <w:trPr>
          <w:cantSplit/>
        </w:trPr>
        <w:tc>
          <w:tcPr>
            <w:tcW w:type="dxa" w:w="2400"/>
            <w:tcMar>
              <w:top w:type="dxa" w:w="60"/>
              <w:left w:type="dxa" w:w="100"/>
              <w:bottom w:type="dxa" w:w="60"/>
              <w:right w:type="dxa" w:w="100"/>
            </w:tcMar>
          </w:tcPr>
          <w:p>
            <w:pPr>
              <w:keepNext w:val="false"/>
              <w:spacing w:after="0"/>
            </w:pPr>
            <w:r>
              <w:rPr>
                <w:rFonts w:ascii="Calibri" w:cs="Calibri" w:eastAsia="Calibri" w:hAnsi="Calibri"/>
                <w:sz w:val="18"/>
                <w:szCs w:val="18"/>
              </w:rPr>
              <w:t xml:space="preserve">Status</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For development</w:t>
            </w:r>
          </w:p>
        </w:tc>
      </w:tr>
      <w:tr>
        <w:trPr>
          <w:cantSplit/>
        </w:trPr>
        <w:tc>
          <w:tcPr>
            <w:tcW w:type="dxa" w:w="2400"/>
            <w:tcMar>
              <w:top w:type="dxa" w:w="60"/>
              <w:left w:type="dxa" w:w="100"/>
              <w:bottom w:type="dxa" w:w="60"/>
              <w:right w:type="dxa" w:w="100"/>
            </w:tcMar>
          </w:tcPr>
          <w:p>
            <w:pPr>
              <w:keepNext w:val="false"/>
              <w:spacing w:after="0"/>
            </w:pPr>
            <w:r>
              <w:rPr>
                <w:rFonts w:ascii="Calibri" w:cs="Calibri" w:eastAsia="Calibri" w:hAnsi="Calibri"/>
                <w:sz w:val="18"/>
                <w:szCs w:val="18"/>
              </w:rPr>
              <w:t xml:space="preserve">Prepared by</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Compliance</w:t>
            </w:r>
          </w:p>
        </w:tc>
      </w:tr>
      <w:tr>
        <w:trPr>
          <w:cantSplit/>
        </w:trPr>
        <w:tc>
          <w:tcPr>
            <w:tcW w:type="dxa" w:w="2400"/>
            <w:tcMar>
              <w:top w:type="dxa" w:w="60"/>
              <w:left w:type="dxa" w:w="100"/>
              <w:bottom w:type="dxa" w:w="60"/>
              <w:right w:type="dxa" w:w="100"/>
            </w:tcMar>
          </w:tcPr>
          <w:p>
            <w:pPr>
              <w:keepNext w:val="false"/>
              <w:spacing w:after="0"/>
            </w:pPr>
            <w:r>
              <w:rPr>
                <w:rFonts w:ascii="Calibri" w:cs="Calibri" w:eastAsia="Calibri" w:hAnsi="Calibri"/>
                <w:sz w:val="18"/>
                <w:szCs w:val="18"/>
              </w:rPr>
              <w:t xml:space="preserve">Audience</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Application developers, data engineers, business analysts</w:t>
            </w:r>
          </w:p>
        </w:tc>
      </w:tr>
      <w:tr>
        <w:trPr>
          <w:cantSplit/>
        </w:trPr>
        <w:tc>
          <w:tcPr>
            <w:tcW w:type="dxa" w:w="2400"/>
            <w:tcMar>
              <w:top w:type="dxa" w:w="60"/>
              <w:left w:type="dxa" w:w="100"/>
              <w:bottom w:type="dxa" w:w="60"/>
              <w:right w:type="dxa" w:w="100"/>
            </w:tcMar>
          </w:tcPr>
          <w:p>
            <w:pPr>
              <w:keepNext w:val="false"/>
              <w:spacing w:after="0"/>
            </w:pPr>
            <w:r>
              <w:rPr>
                <w:rFonts w:ascii="Calibri" w:cs="Calibri" w:eastAsia="Calibri" w:hAnsi="Calibri"/>
                <w:sz w:val="18"/>
                <w:szCs w:val="18"/>
              </w:rPr>
              <w:t xml:space="preserve">Reference build</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A complete working implementation is supplied alongside this document</w:t>
            </w:r>
          </w:p>
        </w:tc>
      </w:tr>
    </w:tbl>
    <w:p>
      <w:pPr>
        <w:spacing w:after="100"/>
      </w:pPr>
    </w:p>
    <w:p>
      <w:pPr>
        <w:spacing w:after="80" w:before="240"/>
      </w:pPr>
      <w:r>
        <w:rPr>
          <w:rFonts w:ascii="Calibri" w:cs="Calibri" w:eastAsia="Calibri" w:hAnsi="Calibri"/>
          <w:b/>
          <w:bCs/>
          <w:sz w:val="20"/>
          <w:szCs w:val="20"/>
        </w:rPr>
        <w:t xml:space="preserve">Version history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100"/>
        <w:gridCol w:w="1500"/>
        <w:gridCol w:w="6760"/>
      </w:tblGrid>
      <w:tr>
        <w:trPr>
          <w:cantSplit/>
          <w:tblHeader/>
        </w:trPr>
        <w:tc>
          <w:tcPr>
            <w:tcW w:type="dxa" w:w="11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Version</w:t>
            </w:r>
          </w:p>
        </w:tc>
        <w:tc>
          <w:tcPr>
            <w:tcW w:type="dxa" w:w="15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Date</w:t>
            </w:r>
          </w:p>
        </w:tc>
        <w:tc>
          <w:tcPr>
            <w:tcW w:type="dxa" w:w="67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What changed</w:t>
            </w:r>
          </w:p>
        </w:tc>
      </w:tr>
      <w:tr>
        <w:trPr>
          <w:cantSplit/>
        </w:trPr>
        <w:tc>
          <w:tcPr>
            <w:tcW w:type="dxa" w:w="1100"/>
            <w:tcMar>
              <w:top w:type="dxa" w:w="60"/>
              <w:left w:type="dxa" w:w="100"/>
              <w:bottom w:type="dxa" w:w="60"/>
              <w:right w:type="dxa" w:w="100"/>
            </w:tcMar>
          </w:tcPr>
          <w:p>
            <w:pPr>
              <w:keepNext w:val="false"/>
              <w:spacing w:after="0"/>
            </w:pPr>
            <w:r>
              <w:rPr>
                <w:rFonts w:ascii="Calibri" w:cs="Calibri" w:eastAsia="Calibri" w:hAnsi="Calibri"/>
                <w:sz w:val="18"/>
                <w:szCs w:val="18"/>
              </w:rPr>
              <w:t xml:space="preserve">1.0</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14 Oct 2026</w:t>
            </w:r>
          </w:p>
        </w:tc>
        <w:tc>
          <w:tcPr>
            <w:tcW w:type="dxa" w:w="6760"/>
            <w:tcMar>
              <w:top w:type="dxa" w:w="60"/>
              <w:left w:type="dxa" w:w="100"/>
              <w:bottom w:type="dxa" w:w="60"/>
              <w:right w:type="dxa" w:w="100"/>
            </w:tcMar>
          </w:tcPr>
          <w:p>
            <w:pPr>
              <w:keepNext w:val="false"/>
              <w:spacing w:after="0"/>
            </w:pPr>
            <w:r>
              <w:rPr>
                <w:rFonts w:ascii="Calibri" w:cs="Calibri" w:eastAsia="Calibri" w:hAnsi="Calibri"/>
                <w:sz w:val="18"/>
                <w:szCs w:val="18"/>
              </w:rPr>
              <w:t xml:space="preserve">First issue.</w:t>
            </w:r>
          </w:p>
        </w:tc>
      </w:tr>
      <w:tr>
        <w:trPr>
          <w:cantSplit/>
        </w:trPr>
        <w:tc>
          <w:tcPr>
            <w:tcW w:type="dxa" w:w="1100"/>
            <w:tcMar>
              <w:top w:type="dxa" w:w="60"/>
              <w:left w:type="dxa" w:w="100"/>
              <w:bottom w:type="dxa" w:w="60"/>
              <w:right w:type="dxa" w:w="100"/>
            </w:tcMar>
          </w:tcPr>
          <w:p>
            <w:pPr>
              <w:keepNext w:val="false"/>
              <w:spacing w:after="0"/>
            </w:pPr>
            <w:r>
              <w:rPr>
                <w:rFonts w:ascii="Calibri" w:cs="Calibri" w:eastAsia="Calibri" w:hAnsi="Calibri"/>
                <w:sz w:val="18"/>
                <w:szCs w:val="18"/>
              </w:rPr>
              <w:t xml:space="preserve">1.1</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15 Oct 2026</w:t>
            </w:r>
          </w:p>
        </w:tc>
        <w:tc>
          <w:tcPr>
            <w:tcW w:type="dxa" w:w="676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Activity drawn in a choice of measure, deals or P&amp;L. Per-deal revenue attribution added as a non-blocking feed (FR-25, FR-26, A10).</w:t>
            </w:r>
          </w:p>
        </w:tc>
      </w:tr>
      <w:tr>
        <w:trPr>
          <w:cantSplit/>
        </w:trPr>
        <w:tc>
          <w:tcPr>
            <w:tcW w:type="dxa" w:w="1100"/>
            <w:tcMar>
              <w:top w:type="dxa" w:w="60"/>
              <w:left w:type="dxa" w:w="100"/>
              <w:bottom w:type="dxa" w:w="60"/>
              <w:right w:type="dxa" w:w="100"/>
            </w:tcMar>
          </w:tcPr>
          <w:p>
            <w:pPr>
              <w:keepNext w:val="false"/>
              <w:spacing w:after="0"/>
            </w:pPr>
            <w:r>
              <w:rPr>
                <w:rFonts w:ascii="Calibri" w:cs="Calibri" w:eastAsia="Calibri" w:hAnsi="Calibri"/>
                <w:sz w:val="18"/>
                <w:szCs w:val="18"/>
              </w:rPr>
              <w:t xml:space="preserve">1.2</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15 Oct 2026</w:t>
            </w:r>
          </w:p>
        </w:tc>
        <w:tc>
          <w:tcPr>
            <w:tcW w:type="dxa" w:w="6760"/>
            <w:tcMar>
              <w:top w:type="dxa" w:w="60"/>
              <w:left w:type="dxa" w:w="100"/>
              <w:bottom w:type="dxa" w:w="60"/>
              <w:right w:type="dxa" w:w="100"/>
            </w:tcMar>
          </w:tcPr>
          <w:p>
            <w:pPr>
              <w:keepNext w:val="false"/>
              <w:spacing w:after="0"/>
            </w:pPr>
            <w:r>
              <w:rPr>
                <w:rFonts w:ascii="Calibri" w:cs="Calibri" w:eastAsia="Calibri" w:hAnsi="Calibri"/>
                <w:sz w:val="18"/>
                <w:szCs w:val="18"/>
              </w:rPr>
              <w:t xml:space="preserve">Eight revenue and margin rules, TS-51 to TS-58, bring the library to fifty-eight (FR-01, FR-26, 7.2, A10). Desk ranking and trader map added to Trade Activity (FR-30, FR-35, A11). Counts and volumes brought up to date.</w:t>
            </w:r>
          </w:p>
        </w:tc>
      </w:tr>
    </w:tbl>
    <w:p>
      <w:pPr>
        <w:pageBreakBefore/>
      </w:pPr>
    </w:p>
    <w:p>
      <w:pPr>
        <w:pStyle w:val="Heading1"/>
        <w:keepNext/>
        <w:spacing w:after="120" w:before="320"/>
      </w:pPr>
      <w:r>
        <w:rPr>
          <w:rFonts w:ascii="Calibri" w:cs="Calibri" w:eastAsia="Calibri" w:hAnsi="Calibri"/>
          <w:b/>
          <w:bCs/>
          <w:color w:val="1F3864"/>
          <w:sz w:val="30"/>
          <w:szCs w:val="30"/>
        </w:rPr>
        <w:t xml:space="preserve">1.  Purpose of this document</w:t>
      </w:r>
    </w:p>
    <w:p>
      <w:pPr>
        <w:spacing w:after="120" w:before="0"/>
      </w:pPr>
      <w:r>
        <w:rPr>
          <w:rFonts w:ascii="Calibri" w:cs="Calibri" w:eastAsia="Calibri" w:hAnsi="Calibri"/>
          <w:sz w:val="20"/>
          <w:szCs w:val="20"/>
        </w:rPr>
        <w:t xml:space="preserve">This document specifies what the Trade Monitoring system does and what it must do when built in the bank. It is written to be read once, in order, before development starts.</w:t>
      </w:r>
    </w:p>
    <w:p>
      <w:pPr>
        <w:spacing w:after="120" w:before="0"/>
      </w:pPr>
      <w:r>
        <w:rPr>
          <w:rFonts w:ascii="Calibri" w:cs="Calibri" w:eastAsia="Calibri" w:hAnsi="Calibri"/>
          <w:sz w:val="20"/>
          <w:szCs w:val="20"/>
        </w:rPr>
        <w:t xml:space="preserve">It deliberately does not contain code, field-level data definitions or user-interface styling. Those exist in separate documents, listed in section 10, and repeating them here would make this specification harder to absorb rather than more complete.</w:t>
      </w:r>
    </w:p>
    <w:p>
      <w:pPr>
        <w:spacing w:after="120" w:before="0"/>
      </w:pPr>
      <w:r>
        <w:rPr>
          <w:rFonts w:ascii="Calibri" w:cs="Calibri" w:eastAsia="Calibri" w:hAnsi="Calibri"/>
          <w:b/>
          <w:bCs/>
          <w:sz w:val="20"/>
          <w:szCs w:val="20"/>
        </w:rPr>
        <w:t xml:space="preserve">A complete working implementation is supplied with this document. Where this specification and the working build disagree, the build is correct and this document should be corrected.</w:t>
      </w:r>
    </w:p>
    <w:p>
      <w:pPr>
        <w:pStyle w:val="Heading1"/>
        <w:keepNext/>
        <w:spacing w:after="120" w:before="320"/>
      </w:pPr>
      <w:r>
        <w:rPr>
          <w:rFonts w:ascii="Calibri" w:cs="Calibri" w:eastAsia="Calibri" w:hAnsi="Calibri"/>
          <w:b/>
          <w:bCs/>
          <w:color w:val="1F3864"/>
          <w:sz w:val="30"/>
          <w:szCs w:val="30"/>
        </w:rPr>
        <w:t xml:space="preserve">2.  What the system is for</w:t>
      </w:r>
    </w:p>
    <w:p>
      <w:pPr>
        <w:spacing w:after="120" w:before="0"/>
      </w:pPr>
      <w:r>
        <w:rPr>
          <w:rFonts w:ascii="Calibri" w:cs="Calibri" w:eastAsia="Calibri" w:hAnsi="Calibri"/>
          <w:sz w:val="20"/>
          <w:szCs w:val="20"/>
        </w:rPr>
        <w:t xml:space="preserve">Trading desks generate tens of thousands of deals a year. A small number of those deals carry conduct risk: a price away from the market, a deal booked hours after it was struck, a position flattened before the end-of-day risk run, a payment routed somewhere the counterparty does not bank.</w:t>
      </w:r>
    </w:p>
    <w:p>
      <w:pPr>
        <w:spacing w:after="120" w:before="0"/>
      </w:pPr>
      <w:r>
        <w:rPr>
          <w:rFonts w:ascii="Calibri" w:cs="Calibri" w:eastAsia="Calibri" w:hAnsi="Calibri"/>
          <w:sz w:val="20"/>
          <w:szCs w:val="20"/>
        </w:rPr>
        <w:t xml:space="preserve">The system runs a library of detection rules across the trading book, raises an alert where a rule is met, and gives a compliance officer the screens needed to work those alerts to a decision. Every alert ends in a recorded disposition with a reason.</w:t>
      </w:r>
    </w:p>
    <w:p>
      <w:pPr>
        <w:spacing w:after="120" w:before="0"/>
      </w:pPr>
      <w:r>
        <w:rPr>
          <w:rFonts w:ascii="Calibri" w:cs="Calibri" w:eastAsia="Calibri" w:hAnsi="Calibri"/>
          <w:i/>
          <w:iCs/>
          <w:sz w:val="20"/>
          <w:szCs w:val="20"/>
        </w:rPr>
        <w:t xml:space="preserve">The system does not block trading, does not price anything and does not replace the risk or limits systems. It observes and reports.</w:t>
      </w:r>
    </w:p>
    <w:p>
      <w:pPr>
        <w:pStyle w:val="Heading1"/>
        <w:keepNext/>
        <w:spacing w:after="120" w:before="320"/>
      </w:pPr>
      <w:r>
        <w:rPr>
          <w:rFonts w:ascii="Calibri" w:cs="Calibri" w:eastAsia="Calibri" w:hAnsi="Calibri"/>
          <w:b/>
          <w:bCs/>
          <w:color w:val="1F3864"/>
          <w:sz w:val="30"/>
          <w:szCs w:val="30"/>
        </w:rPr>
        <w:t xml:space="preserve">3.  Users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5360"/>
        <w:gridCol w:w="1200"/>
      </w:tblGrid>
      <w:tr>
        <w:trPr>
          <w:cantSplit/>
          <w:tblHeader/>
        </w:trPr>
        <w:tc>
          <w:tcPr>
            <w:tcW w:type="dxa" w:w="28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User</w:t>
            </w:r>
          </w:p>
        </w:tc>
        <w:tc>
          <w:tcPr>
            <w:tcW w:type="dxa" w:w="53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What they do with it</w:t>
            </w:r>
          </w:p>
        </w:tc>
        <w:tc>
          <w:tcPr>
            <w:tcW w:type="dxa" w:w="12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Tier</w:t>
            </w:r>
          </w:p>
        </w:tc>
      </w:tr>
      <w:tr>
        <w:trPr>
          <w:cantSplit/>
        </w:trPr>
        <w:tc>
          <w:tcPr>
            <w:tcW w:type="dxa" w:w="2800"/>
            <w:tcMar>
              <w:top w:type="dxa" w:w="60"/>
              <w:left w:type="dxa" w:w="100"/>
              <w:bottom w:type="dxa" w:w="60"/>
              <w:right w:type="dxa" w:w="100"/>
            </w:tcMar>
          </w:tcPr>
          <w:p>
            <w:pPr>
              <w:keepNext w:val="false"/>
              <w:spacing w:after="0"/>
            </w:pPr>
            <w:r>
              <w:rPr>
                <w:rFonts w:ascii="Calibri" w:cs="Calibri" w:eastAsia="Calibri" w:hAnsi="Calibri"/>
                <w:sz w:val="18"/>
                <w:szCs w:val="18"/>
              </w:rPr>
              <w:t xml:space="preserve">Compliance officer / surveillance analyst</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primary user. Works the alert queue daily, investigates, records a disposition with a reason, escalates where needed.</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r>
      <w:tr>
        <w:trPr>
          <w:cantSplit/>
        </w:trPr>
        <w:tc>
          <w:tcPr>
            <w:tcW w:type="dxa" w:w="2800"/>
            <w:tcMar>
              <w:top w:type="dxa" w:w="60"/>
              <w:left w:type="dxa" w:w="100"/>
              <w:bottom w:type="dxa" w:w="60"/>
              <w:right w:type="dxa" w:w="100"/>
            </w:tcMar>
          </w:tcPr>
          <w:p>
            <w:pPr>
              <w:keepNext w:val="false"/>
              <w:spacing w:after="0"/>
            </w:pPr>
            <w:r>
              <w:rPr>
                <w:rFonts w:ascii="Calibri" w:cs="Calibri" w:eastAsia="Calibri" w:hAnsi="Calibri"/>
                <w:sz w:val="18"/>
                <w:szCs w:val="18"/>
              </w:rPr>
              <w:t xml:space="preserve">Surveillance team lead</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Monitors queue health and ageing, reviews what the team closed and why, watches for rules that generate work but no findings.</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r>
      <w:tr>
        <w:trPr>
          <w:cantSplit/>
        </w:trPr>
        <w:tc>
          <w:tcPr>
            <w:tcW w:type="dxa" w:w="2800"/>
            <w:tcMar>
              <w:top w:type="dxa" w:w="60"/>
              <w:left w:type="dxa" w:w="100"/>
              <w:bottom w:type="dxa" w:w="60"/>
              <w:right w:type="dxa" w:w="100"/>
            </w:tcMar>
          </w:tcPr>
          <w:p>
            <w:pPr>
              <w:keepNext w:val="false"/>
              <w:spacing w:after="0"/>
            </w:pPr>
            <w:r>
              <w:rPr>
                <w:rFonts w:ascii="Calibri" w:cs="Calibri" w:eastAsia="Calibri" w:hAnsi="Calibri"/>
                <w:sz w:val="18"/>
                <w:szCs w:val="18"/>
              </w:rPr>
              <w:t xml:space="preserve">Desk head / front-office supervisor</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Reads the view of their own desk and traders. Read-only.</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r>
      <w:tr>
        <w:trPr>
          <w:cantSplit/>
        </w:trPr>
        <w:tc>
          <w:tcPr>
            <w:tcW w:type="dxa" w:w="2800"/>
            <w:tcMar>
              <w:top w:type="dxa" w:w="60"/>
              <w:left w:type="dxa" w:w="100"/>
              <w:bottom w:type="dxa" w:w="60"/>
              <w:right w:type="dxa" w:w="100"/>
            </w:tcMar>
          </w:tcPr>
          <w:p>
            <w:pPr>
              <w:keepNext w:val="false"/>
              <w:spacing w:after="0"/>
            </w:pPr>
            <w:r>
              <w:rPr>
                <w:rFonts w:ascii="Calibri" w:cs="Calibri" w:eastAsia="Calibri" w:hAnsi="Calibri"/>
                <w:sz w:val="18"/>
                <w:szCs w:val="18"/>
              </w:rPr>
              <w:t xml:space="preserve">Audit and regulatory reporting</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Needs to see what was detected, who decided what, when, and on what evidence.</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r>
    </w:tbl>
    <w:p>
      <w:pPr>
        <w:pStyle w:val="Heading1"/>
        <w:keepNext/>
        <w:spacing w:after="120" w:before="320"/>
      </w:pPr>
      <w:r>
        <w:rPr>
          <w:rFonts w:ascii="Calibri" w:cs="Calibri" w:eastAsia="Calibri" w:hAnsi="Calibri"/>
          <w:b/>
          <w:bCs/>
          <w:color w:val="1F3864"/>
          <w:sz w:val="30"/>
          <w:szCs w:val="30"/>
        </w:rPr>
        <w:t xml:space="preserve">4.  Four design decisions that must be preserved</w:t>
      </w:r>
    </w:p>
    <w:p>
      <w:pPr>
        <w:spacing w:after="120" w:before="0"/>
      </w:pPr>
      <w:r>
        <w:rPr>
          <w:rFonts w:ascii="Calibri" w:cs="Calibri" w:eastAsia="Calibri" w:hAnsi="Calibri"/>
          <w:sz w:val="20"/>
          <w:szCs w:val="20"/>
        </w:rPr>
        <w:t xml:space="preserve">These are not implementation preferences. Each one changes what the system is capable of detecting, and a build that drops them will look similar and work materially worse.</w:t>
      </w:r>
    </w:p>
    <w:p>
      <w:pPr>
        <w:pStyle w:val="Heading2"/>
        <w:keepNext/>
        <w:spacing w:after="120" w:before="240"/>
      </w:pPr>
      <w:r>
        <w:rPr>
          <w:rFonts w:ascii="Calibri" w:cs="Calibri" w:eastAsia="Calibri" w:hAnsi="Calibri"/>
          <w:b/>
          <w:bCs/>
          <w:color w:val="1F3864"/>
          <w:sz w:val="24"/>
          <w:szCs w:val="24"/>
        </w:rPr>
        <w:t xml:space="preserve">4.1  Detection runs per trader, not per desk</w:t>
      </w:r>
    </w:p>
    <w:p>
      <w:pPr>
        <w:spacing w:after="120" w:before="0"/>
      </w:pPr>
      <w:r>
        <w:rPr>
          <w:rFonts w:ascii="Calibri" w:cs="Calibri" w:eastAsia="Calibri" w:hAnsi="Calibri"/>
          <w:sz w:val="20"/>
          <w:szCs w:val="20"/>
        </w:rPr>
        <w:t xml:space="preserve">Every rule is evaluated against the individual, measured against that individual's own authorisations and their own trading history. Two people on the same desk are held to different thresholds because they hold different mandates.</w:t>
      </w:r>
    </w:p>
    <w:p>
      <w:pPr>
        <w:spacing w:after="120" w:before="0"/>
      </w:pPr>
      <w:r>
        <w:rPr>
          <w:rFonts w:ascii="Calibri" w:cs="Calibri" w:eastAsia="Calibri" w:hAnsi="Calibri"/>
          <w:i/>
          <w:iCs/>
          <w:sz w:val="20"/>
          <w:szCs w:val="20"/>
        </w:rPr>
        <w:t xml:space="preserve">A desk-level average hides the person it is meant to catch: a junior trader's entire year is a rounding error on a desk head's month.</w:t>
      </w:r>
    </w:p>
    <w:p>
      <w:pPr>
        <w:pStyle w:val="Heading2"/>
        <w:keepNext/>
        <w:spacing w:after="120" w:before="240"/>
      </w:pPr>
      <w:r>
        <w:rPr>
          <w:rFonts w:ascii="Calibri" w:cs="Calibri" w:eastAsia="Calibri" w:hAnsi="Calibri"/>
          <w:b/>
          <w:bCs/>
          <w:color w:val="1F3864"/>
          <w:sz w:val="24"/>
          <w:szCs w:val="24"/>
        </w:rPr>
        <w:t xml:space="preserve">4.2  Thresholds come from behaviour, not from a constant</w:t>
      </w:r>
    </w:p>
    <w:p>
      <w:pPr>
        <w:spacing w:after="120" w:before="0"/>
      </w:pPr>
      <w:r>
        <w:rPr>
          <w:rFonts w:ascii="Calibri" w:cs="Calibri" w:eastAsia="Calibri" w:hAnsi="Calibri"/>
          <w:sz w:val="20"/>
          <w:szCs w:val="20"/>
        </w:rPr>
        <w:t xml:space="preserve">Of the fifty-eight rules, forty-nine measure against a reference specific to the trader, the instrument or the product — that trader's own median ticket, that instrument's own dealing spread, that trader's peer cohort, the margin clients of the same type pay for the same product. Only nine test against a fixed list or tolerance.</w:t>
      </w:r>
    </w:p>
    <w:p>
      <w:pPr>
        <w:spacing w:after="120" w:before="0"/>
      </w:pPr>
      <w:r>
        <w:rPr>
          <w:rFonts w:ascii="Calibri" w:cs="Calibri" w:eastAsia="Calibri" w:hAnsi="Calibri"/>
          <w:sz w:val="20"/>
          <w:szCs w:val="20"/>
        </w:rPr>
        <w:t xml:space="preserve">Twenty-eight rules read the trader's trailing baseline directly and cannot run without it. The baseline is therefore a core requirement, not an enhancement.</w:t>
      </w:r>
    </w:p>
    <w:p>
      <w:pPr>
        <w:pStyle w:val="Heading2"/>
        <w:keepNext/>
        <w:spacing w:after="120" w:before="240"/>
      </w:pPr>
      <w:r>
        <w:rPr>
          <w:rFonts w:ascii="Calibri" w:cs="Calibri" w:eastAsia="Calibri" w:hAnsi="Calibri"/>
          <w:b/>
          <w:bCs/>
          <w:color w:val="1F3864"/>
          <w:sz w:val="24"/>
          <w:szCs w:val="24"/>
        </w:rPr>
        <w:t xml:space="preserve">4.3  Reference data must be point-in-time</w:t>
      </w:r>
    </w:p>
    <w:p>
      <w:pPr>
        <w:spacing w:after="120" w:before="0"/>
      </w:pPr>
      <w:r>
        <w:rPr>
          <w:rFonts w:ascii="Calibri" w:cs="Calibri" w:eastAsia="Calibri" w:hAnsi="Calibri"/>
          <w:sz w:val="20"/>
          <w:szCs w:val="20"/>
        </w:rPr>
        <w:t xml:space="preserve">A trade is tested against the desk structure, the trader mandate, the settlement instructions and the control-room lists as they stood on the trade date — not as they stand today.</w:t>
      </w:r>
    </w:p>
    <w:p>
      <w:pPr>
        <w:spacing w:after="120" w:before="0"/>
      </w:pPr>
      <w:r>
        <w:rPr>
          <w:rFonts w:ascii="Calibri" w:cs="Calibri" w:eastAsia="Calibri" w:hAnsi="Calibri"/>
          <w:b/>
          <w:bCs/>
          <w:sz w:val="20"/>
          <w:szCs w:val="20"/>
        </w:rPr>
        <w:t xml:space="preserve">Testing a January trade against today's restricted list produces findings that are simply wrong, and those are the findings most likely to end up on an individual's file.</w:t>
      </w:r>
    </w:p>
    <w:p>
      <w:pPr>
        <w:pStyle w:val="Heading2"/>
        <w:keepNext/>
        <w:spacing w:after="120" w:before="240"/>
      </w:pPr>
      <w:r>
        <w:rPr>
          <w:rFonts w:ascii="Calibri" w:cs="Calibri" w:eastAsia="Calibri" w:hAnsi="Calibri"/>
          <w:b/>
          <w:bCs/>
          <w:color w:val="1F3864"/>
          <w:sz w:val="24"/>
          <w:szCs w:val="24"/>
        </w:rPr>
        <w:t xml:space="preserve">4.4  An alert must be reviewable without leaving the screen</w:t>
      </w:r>
    </w:p>
    <w:p>
      <w:pPr>
        <w:spacing w:after="120" w:before="0"/>
      </w:pPr>
      <w:r>
        <w:rPr>
          <w:rFonts w:ascii="Calibri" w:cs="Calibri" w:eastAsia="Calibri" w:hAnsi="Calibri"/>
          <w:sz w:val="20"/>
          <w:szCs w:val="20"/>
        </w:rPr>
        <w:t xml:space="preserve">Every alert carries the figures the rule actually used, including the ones that argue against the finding. An officer must be able to triage from the summary line and decide from the evidence, without querying a database.</w:t>
      </w:r>
    </w:p>
    <w:p>
      <w:pPr>
        <w:pageBreakBefore/>
      </w:pPr>
    </w:p>
    <w:p>
      <w:pPr>
        <w:pStyle w:val="Heading1"/>
        <w:keepNext/>
        <w:spacing w:after="120" w:before="320"/>
      </w:pPr>
      <w:r>
        <w:rPr>
          <w:rFonts w:ascii="Calibri" w:cs="Calibri" w:eastAsia="Calibri" w:hAnsi="Calibri"/>
          <w:b/>
          <w:bCs/>
          <w:color w:val="1F3864"/>
          <w:sz w:val="30"/>
          <w:szCs w:val="30"/>
        </w:rPr>
        <w:t xml:space="preserve">5.  The system in eight screens</w:t>
      </w:r>
    </w:p>
    <w:p>
      <w:pPr>
        <w:spacing w:after="120" w:before="0"/>
      </w:pPr>
      <w:r>
        <w:rPr>
          <w:rFonts w:ascii="Calibri" w:cs="Calibri" w:eastAsia="Calibri" w:hAnsi="Calibri"/>
          <w:sz w:val="20"/>
          <w:szCs w:val="20"/>
        </w:rPr>
        <w:t xml:space="preserve">The application is a single page with eight tabs. Filters in a left-hand rail apply to every tab at once.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600"/>
        <w:gridCol w:w="2200"/>
        <w:gridCol w:w="5360"/>
        <w:gridCol w:w="1200"/>
      </w:tblGrid>
      <w:tr>
        <w:trPr>
          <w:cantSplit/>
          <w:tblHeader/>
        </w:trPr>
        <w:tc>
          <w:tcPr>
            <w:tcW w:type="dxa" w:w="6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w:t>
            </w:r>
          </w:p>
        </w:tc>
        <w:tc>
          <w:tcPr>
            <w:tcW w:type="dxa" w:w="22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Screen</w:t>
            </w:r>
          </w:p>
        </w:tc>
        <w:tc>
          <w:tcPr>
            <w:tcW w:type="dxa" w:w="53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What it answers</w:t>
            </w:r>
          </w:p>
        </w:tc>
        <w:tc>
          <w:tcPr>
            <w:tcW w:type="dxa" w:w="12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Priority</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Surveillance Overview</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Where is the risk this period, and is the queue under control?</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Activity</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What did the floor trade and earn, which desks and traders carry it, and does the shape look normal?</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3</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Activity TimeSeries</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One dot per deal across time — where do a person's deals sit against everyone else's?</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3</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4</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Detections</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alert queue. The screen the officer lives in.</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5</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Rule Library</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What does each rule test, what does it measure against, and what data does it need?</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6</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Blotter</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underlying deals, filterable and exportable.</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7</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Traders &amp; Groups</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Which people and desks are running hot, and against which rules?</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r>
      <w:tr>
        <w:trPr>
          <w:cantSplit/>
        </w:trPr>
        <w:tc>
          <w:tcPr>
            <w:tcW w:type="dxa" w:w="600"/>
            <w:tcMar>
              <w:top w:type="dxa" w:w="60"/>
              <w:left w:type="dxa" w:w="100"/>
              <w:bottom w:type="dxa" w:w="60"/>
              <w:right w:type="dxa" w:w="100"/>
            </w:tcMar>
          </w:tcPr>
          <w:p>
            <w:pPr>
              <w:keepNext w:val="false"/>
              <w:spacing w:after="0"/>
            </w:pPr>
            <w:r>
              <w:rPr>
                <w:rFonts w:ascii="Calibri" w:cs="Calibri" w:eastAsia="Calibri" w:hAnsi="Calibri"/>
                <w:sz w:val="18"/>
                <w:szCs w:val="18"/>
              </w:rPr>
              <w:t xml:space="preserve">8</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Review Log</w:t>
            </w:r>
          </w:p>
        </w:tc>
        <w:tc>
          <w:tcPr>
            <w:tcW w:type="dxa" w:w="5360"/>
            <w:tcMar>
              <w:top w:type="dxa" w:w="60"/>
              <w:left w:type="dxa" w:w="100"/>
              <w:bottom w:type="dxa" w:w="60"/>
              <w:right w:type="dxa" w:w="100"/>
            </w:tcMar>
          </w:tcPr>
          <w:p>
            <w:pPr>
              <w:keepNext w:val="false"/>
              <w:spacing w:after="0"/>
            </w:pPr>
            <w:r>
              <w:rPr>
                <w:rFonts w:ascii="Calibri" w:cs="Calibri" w:eastAsia="Calibri" w:hAnsi="Calibri"/>
                <w:sz w:val="18"/>
                <w:szCs w:val="18"/>
              </w:rPr>
              <w:t xml:space="preserve">What was decided, by whom, when and on what grounds.</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r>
    </w:tbl>
    <w:p>
      <w:pPr>
        <w:spacing w:after="100"/>
      </w:pPr>
    </w:p>
    <w:p>
      <w:pPr>
        <w:spacing w:after="120" w:before="0"/>
      </w:pPr>
      <w:r>
        <w:rPr>
          <w:rFonts w:ascii="Calibri" w:cs="Calibri" w:eastAsia="Calibri" w:hAnsi="Calibri"/>
          <w:i/>
          <w:iCs/>
          <w:sz w:val="20"/>
          <w:szCs w:val="20"/>
        </w:rPr>
        <w:t xml:space="preserve">Priority 1 screens are required for a usable first release. Priority 2 and 3 can follow.</w:t>
      </w:r>
    </w:p>
    <w:p>
      <w:pPr>
        <w:pStyle w:val="Heading1"/>
        <w:keepNext/>
        <w:spacing w:after="120" w:before="320"/>
      </w:pPr>
      <w:r>
        <w:rPr>
          <w:rFonts w:ascii="Calibri" w:cs="Calibri" w:eastAsia="Calibri" w:hAnsi="Calibri"/>
          <w:b/>
          <w:bCs/>
          <w:color w:val="1F3864"/>
          <w:sz w:val="30"/>
          <w:szCs w:val="30"/>
        </w:rPr>
        <w:t xml:space="preserve">6.  Functional requirements</w:t>
      </w:r>
    </w:p>
    <w:p>
      <w:pPr>
        <w:spacing w:after="120" w:before="0"/>
      </w:pPr>
      <w:r>
        <w:rPr>
          <w:rFonts w:ascii="Calibri" w:cs="Calibri" w:eastAsia="Calibri" w:hAnsi="Calibri"/>
          <w:sz w:val="20"/>
          <w:szCs w:val="20"/>
        </w:rPr>
        <w:t xml:space="preserve">Requirements are numbered for traceability. Each is written to be testable.</w:t>
      </w:r>
    </w:p>
    <w:p>
      <w:pPr>
        <w:pStyle w:val="Heading2"/>
        <w:keepNext/>
        <w:spacing w:after="120" w:before="240"/>
      </w:pPr>
      <w:r>
        <w:rPr>
          <w:rFonts w:ascii="Calibri" w:cs="Calibri" w:eastAsia="Calibri" w:hAnsi="Calibri"/>
          <w:b/>
          <w:bCs/>
          <w:color w:val="1F3864"/>
          <w:sz w:val="24"/>
          <w:szCs w:val="24"/>
        </w:rPr>
        <w:t xml:space="preserve">6.1  Detection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8460"/>
      </w:tblGrid>
      <w:tr>
        <w:trPr>
          <w:cantSplit/>
          <w:tblHeader/>
        </w:trPr>
        <w:tc>
          <w:tcPr>
            <w:tcW w:type="dxa" w:w="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Ref</w:t>
            </w:r>
          </w:p>
        </w:tc>
        <w:tc>
          <w:tcPr>
            <w:tcW w:type="dxa" w:w="84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Requirement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FR-01</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system shall support a configurable library of detection rules. The reference build defines fifty-eight, eight of which test the revenue and margin earned on a deal rather than its price or its booking.</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FR-02</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Each rule shall record its identifier, category, default severity, the test applied, what the test measures against, and why the pattern matters.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FR-03</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Rules shall be evaluated per trader against that trader's own authorisations and trailing baseline.</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FR-04</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Each alert shall cite the specific deals that triggered it, and shall identify which deal breached and which are supporting context.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FR-05</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Each alert shall carry an evidence set: every figure the rule used, each marked as supporting or not supporting the finding.</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FR-06</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Each alert shall carry a severity of Critical, High, Medium or Low, and a numeric score comparable across rules.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FR-07</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Where a rule's required data is unavailable, the system shall suppress that rule and report the suppression. It shall not substitute a default and fire.</w:t>
            </w:r>
          </w:p>
        </w:tc>
      </w:tr>
    </w:tbl>
    <w:p>
      <w:pPr>
        <w:pStyle w:val="Heading2"/>
        <w:keepNext/>
        <w:spacing w:after="120" w:before="240"/>
      </w:pPr>
      <w:r>
        <w:rPr>
          <w:rFonts w:ascii="Calibri" w:cs="Calibri" w:eastAsia="Calibri" w:hAnsi="Calibri"/>
          <w:b/>
          <w:bCs/>
          <w:color w:val="1F3864"/>
          <w:sz w:val="24"/>
          <w:szCs w:val="24"/>
        </w:rPr>
        <w:t xml:space="preserve">6.2  Alert review and disposition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8460"/>
      </w:tblGrid>
      <w:tr>
        <w:trPr>
          <w:cantSplit/>
          <w:tblHeader/>
        </w:trPr>
        <w:tc>
          <w:tcPr>
            <w:tcW w:type="dxa" w:w="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Ref</w:t>
            </w:r>
          </w:p>
        </w:tc>
        <w:tc>
          <w:tcPr>
            <w:tcW w:type="dxa" w:w="84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Requirement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FR-10</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An alert shall hold one of five states: Open, In Review, Passed, Suspicious, Escalated.</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FR-11</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An officer shall be able to record a disposition of Pass, Tag suspicious, or Escalate to Investigations.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FR-12</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 reason code from a controlled list shall be mandatory on every terminal disposition. Free text alone shall not be accepted.</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FR-13</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 free-text note shall be mandatory when tagging suspicious or escalating.</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FR-14</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Every alert shall carry an append-only audit trail recording each event, its timestamp and its actor. Audit entries shall not be editable or deletable.</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FR-15</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Clicking an alert shall reveal the finding in place, without losing position in the queue. The full case file shall open on a second action.</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FR-16</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Critical and High alerts shall carry a three-business-day disposition target, and breaches shall be visible in the queue.</w:t>
            </w:r>
          </w:p>
        </w:tc>
      </w:tr>
    </w:tbl>
    <w:p>
      <w:pPr>
        <w:pStyle w:val="Heading2"/>
        <w:keepNext/>
        <w:spacing w:after="120" w:before="240"/>
      </w:pPr>
      <w:r>
        <w:rPr>
          <w:rFonts w:ascii="Calibri" w:cs="Calibri" w:eastAsia="Calibri" w:hAnsi="Calibri"/>
          <w:b/>
          <w:bCs/>
          <w:color w:val="1F3864"/>
          <w:sz w:val="24"/>
          <w:szCs w:val="24"/>
        </w:rPr>
        <w:t xml:space="preserve">6.3  Filtering and navigation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8460"/>
      </w:tblGrid>
      <w:tr>
        <w:trPr>
          <w:cantSplit/>
          <w:tblHeader/>
        </w:trPr>
        <w:tc>
          <w:tcPr>
            <w:tcW w:type="dxa" w:w="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Ref</w:t>
            </w:r>
          </w:p>
        </w:tc>
        <w:tc>
          <w:tcPr>
            <w:tcW w:type="dxa" w:w="84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Requirement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FR-20</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 persistent left rail shall filter every screen simultaneously by trader, desk, asset class and severity. Each filter shall support multiple selections.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FR-21</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 review period selector shall scope the alert views. The reference build offers today, 7, 30, 90, 182 and 365 days.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FR-22</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Every panel shall state the period it covers where that differs from the selected review period.</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FR-23</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Selecting a cell in the detection heatmap shall open the matching alerts, and the counts shall reconcile exactly.</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FR-24</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blotter shall carry its own date range, independent of the review period.</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FR-25</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Trade Activity screen shall offer a choice of measure — transaction counts with notional, or revenue with margin. The choice shall apply to every panel on that screen at once, shall persist between sessions, and each panel shall state the measure it is currently drawn in.</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FR-26</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Where per-deal revenue is not supplied, the revenue measure shall read zero, the revenue rules shall be suppressed and reported as FR-07 requires, and nothing else shall be affected. The system shall not estimate revenue it was not given.</w:t>
            </w:r>
          </w:p>
        </w:tc>
      </w:tr>
    </w:tbl>
    <w:p>
      <w:pPr>
        <w:pStyle w:val="Heading2"/>
        <w:keepNext/>
        <w:spacing w:after="120" w:before="240"/>
      </w:pPr>
      <w:r>
        <w:rPr>
          <w:rFonts w:ascii="Calibri" w:cs="Calibri" w:eastAsia="Calibri" w:hAnsi="Calibri"/>
          <w:b/>
          <w:bCs/>
          <w:color w:val="1F3864"/>
          <w:sz w:val="24"/>
          <w:szCs w:val="24"/>
        </w:rPr>
        <w:t xml:space="preserve">6.4  Analysis and linking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8460"/>
      </w:tblGrid>
      <w:tr>
        <w:trPr>
          <w:cantSplit/>
          <w:tblHeader/>
        </w:trPr>
        <w:tc>
          <w:tcPr>
            <w:tcW w:type="dxa" w:w="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Ref</w:t>
            </w:r>
          </w:p>
        </w:tc>
        <w:tc>
          <w:tcPr>
            <w:tcW w:type="dxa" w:w="84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Requirement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FR-30</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Hovering a trader, desk, rule, category, severity, disposition, month or booking hour anywhere on the page shall dim everything not belonging to that selection, and shall mark that selection's share of every other chart on screen.</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FR-31</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 selection shall be pinnable so that it survives scrolling and tab changes, and releasable.</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FR-32</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Linking shall be suppressed on worklist tables — the alert queue, the rule library and the disposition log — which are read as lists.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FR-33</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Every chart shall carry an information control explaining what it shows, how to read it, and where an anomaly appears.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FR-34</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time-series screen shall plot one mark per deal, sized by notional, and shall support highlighting a named trader's deals and the deals cited by a named detection case.</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FR-35</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Trade Activity screen shall rank every desk by the chosen measure, and shall show every trader in scope as a tile whose area is proportional to that measure, grouped by desk. Areas shall be comparable across desks, not only within one. A trader who cannot be drawn — a loss in the P&amp;L measure, or a figure too small to see — shall be listed beside the chart, never silently dropped.</w:t>
            </w:r>
          </w:p>
        </w:tc>
      </w:tr>
    </w:tbl>
    <w:p>
      <w:pPr>
        <w:pStyle w:val="Heading2"/>
        <w:keepNext/>
        <w:spacing w:after="120" w:before="240"/>
      </w:pPr>
      <w:r>
        <w:rPr>
          <w:rFonts w:ascii="Calibri" w:cs="Calibri" w:eastAsia="Calibri" w:hAnsi="Calibri"/>
          <w:b/>
          <w:bCs/>
          <w:color w:val="1F3864"/>
          <w:sz w:val="24"/>
          <w:szCs w:val="24"/>
        </w:rPr>
        <w:t xml:space="preserve">6.5  Presentation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8460"/>
      </w:tblGrid>
      <w:tr>
        <w:trPr>
          <w:cantSplit/>
          <w:tblHeader/>
        </w:trPr>
        <w:tc>
          <w:tcPr>
            <w:tcW w:type="dxa" w:w="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Ref</w:t>
            </w:r>
          </w:p>
        </w:tc>
        <w:tc>
          <w:tcPr>
            <w:tcW w:type="dxa" w:w="84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Requirement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FR-40</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All timestamps shall be handled and displayed in the desk's local time. Hour-of-day analysis in a single global timezone is not acceptable across multiple trading regions.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FR-41</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interface shall offer a light and a dark theme, and a corporate theme.</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FR-42</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Text size shall be user-adjustable across at least five steps, and all chart text shall scale with it.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FR-43</w:t>
            </w:r>
          </w:p>
        </w:tc>
        <w:tc>
          <w:tcPr>
            <w:tcW w:type="dxa" w:w="8460"/>
            <w:tcMar>
              <w:top w:type="dxa" w:w="60"/>
              <w:left w:type="dxa" w:w="100"/>
              <w:bottom w:type="dxa" w:w="60"/>
              <w:right w:type="dxa" w:w="100"/>
            </w:tcMar>
          </w:tcPr>
          <w:p>
            <w:pPr>
              <w:keepNext w:val="false"/>
              <w:spacing w:after="0"/>
            </w:pPr>
            <w:r>
              <w:rPr>
                <w:rFonts w:ascii="Calibri" w:cs="Calibri" w:eastAsia="Calibri" w:hAnsi="Calibri"/>
                <w:sz w:val="18"/>
                <w:szCs w:val="18"/>
              </w:rPr>
              <w:t xml:space="preserve">Figures shown together shall reconcile. Where two panels measure different windows, both shall say which.</w:t>
            </w:r>
          </w:p>
        </w:tc>
      </w:tr>
    </w:tbl>
    <w:p>
      <w:pPr>
        <w:pageBreakBefore/>
      </w:pPr>
    </w:p>
    <w:p>
      <w:pPr>
        <w:pStyle w:val="Heading1"/>
        <w:keepNext/>
        <w:spacing w:after="120" w:before="320"/>
      </w:pPr>
      <w:r>
        <w:rPr>
          <w:rFonts w:ascii="Calibri" w:cs="Calibri" w:eastAsia="Calibri" w:hAnsi="Calibri"/>
          <w:b/>
          <w:bCs/>
          <w:color w:val="1F3864"/>
          <w:sz w:val="30"/>
          <w:szCs w:val="30"/>
        </w:rPr>
        <w:t xml:space="preserve">7.  Data requirements</w:t>
      </w:r>
    </w:p>
    <w:p>
      <w:pPr>
        <w:spacing w:after="120" w:before="0"/>
      </w:pPr>
      <w:r>
        <w:rPr>
          <w:rFonts w:ascii="Calibri" w:cs="Calibri" w:eastAsia="Calibri" w:hAnsi="Calibri"/>
          <w:sz w:val="20"/>
          <w:szCs w:val="20"/>
        </w:rPr>
        <w:t xml:space="preserve">Field-level definitions are not repeated here. They are specified in the two workbooks listed in section 10, which between them give every table, every field, its type and length, and where to find it in the bank's own systems.</w:t>
      </w:r>
    </w:p>
    <w:p>
      <w:pPr>
        <w:spacing w:after="120" w:before="0"/>
      </w:pPr>
      <w:r>
        <w:rPr>
          <w:rFonts w:ascii="Calibri" w:cs="Calibri" w:eastAsia="Calibri" w:hAnsi="Calibri"/>
          <w:sz w:val="20"/>
          <w:szCs w:val="20"/>
        </w:rPr>
        <w:t xml:space="preserve">What this section states is the shape of the requirement.</w:t>
      </w:r>
    </w:p>
    <w:p>
      <w:pPr>
        <w:pStyle w:val="Heading2"/>
        <w:keepNext/>
        <w:spacing w:after="120" w:before="240"/>
      </w:pPr>
      <w:r>
        <w:rPr>
          <w:rFonts w:ascii="Calibri" w:cs="Calibri" w:eastAsia="Calibri" w:hAnsi="Calibri"/>
          <w:b/>
          <w:bCs/>
          <w:color w:val="1F3864"/>
          <w:sz w:val="24"/>
          <w:szCs w:val="24"/>
        </w:rPr>
        <w:t xml:space="preserve">7.1  Scale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6360"/>
        <w:gridCol w:w="3000"/>
      </w:tblGrid>
      <w:tr>
        <w:trPr>
          <w:cantSplit/>
          <w:tblHeader/>
        </w:trPr>
        <w:tc>
          <w:tcPr>
            <w:tcW w:type="dxa" w:w="63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Measure</w:t>
            </w:r>
          </w:p>
        </w:tc>
        <w:tc>
          <w:tcPr>
            <w:tcW w:type="dxa" w:w="30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Count</w:t>
            </w:r>
          </w:p>
        </w:tc>
      </w:tr>
      <w:tr>
        <w:trPr>
          <w:cantSplit/>
        </w:trPr>
        <w:tc>
          <w:tcPr>
            <w:tcW w:type="dxa" w:w="6360"/>
            <w:tcMar>
              <w:top w:type="dxa" w:w="60"/>
              <w:left w:type="dxa" w:w="100"/>
              <w:bottom w:type="dxa" w:w="60"/>
              <w:right w:type="dxa" w:w="100"/>
            </w:tcMar>
          </w:tcPr>
          <w:p>
            <w:pPr>
              <w:keepNext w:val="false"/>
              <w:spacing w:after="0"/>
            </w:pPr>
            <w:r>
              <w:rPr>
                <w:rFonts w:ascii="Calibri" w:cs="Calibri" w:eastAsia="Calibri" w:hAnsi="Calibri"/>
                <w:sz w:val="18"/>
                <w:szCs w:val="18"/>
              </w:rPr>
              <w:t xml:space="preserve">Tables required</w:t>
            </w:r>
          </w:p>
        </w:tc>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24</w:t>
            </w:r>
          </w:p>
        </w:tc>
      </w:tr>
      <w:tr>
        <w:trPr>
          <w:cantSplit/>
        </w:trPr>
        <w:tc>
          <w:tcPr>
            <w:tcW w:type="dxa" w:w="6360"/>
            <w:tcMar>
              <w:top w:type="dxa" w:w="60"/>
              <w:left w:type="dxa" w:w="100"/>
              <w:bottom w:type="dxa" w:w="60"/>
              <w:right w:type="dxa" w:w="100"/>
            </w:tcMar>
          </w:tcPr>
          <w:p>
            <w:pPr>
              <w:keepNext w:val="false"/>
              <w:spacing w:after="0"/>
            </w:pPr>
            <w:r>
              <w:rPr>
                <w:rFonts w:ascii="Calibri" w:cs="Calibri" w:eastAsia="Calibri" w:hAnsi="Calibri"/>
                <w:sz w:val="18"/>
                <w:szCs w:val="18"/>
              </w:rPr>
              <w:t xml:space="preserve">Fields specified</w:t>
            </w:r>
          </w:p>
        </w:tc>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300</w:t>
            </w:r>
          </w:p>
        </w:tc>
      </w:tr>
      <w:tr>
        <w:trPr>
          <w:cantSplit/>
        </w:trPr>
        <w:tc>
          <w:tcPr>
            <w:tcW w:type="dxa" w:w="6360"/>
            <w:tcMar>
              <w:top w:type="dxa" w:w="60"/>
              <w:left w:type="dxa" w:w="100"/>
              <w:bottom w:type="dxa" w:w="60"/>
              <w:right w:type="dxa" w:w="100"/>
            </w:tcMar>
          </w:tcPr>
          <w:p>
            <w:pPr>
              <w:keepNext w:val="false"/>
              <w:spacing w:after="0"/>
            </w:pPr>
            <w:r>
              <w:rPr>
                <w:rFonts w:ascii="Calibri" w:cs="Calibri" w:eastAsia="Calibri" w:hAnsi="Calibri"/>
                <w:sz w:val="18"/>
                <w:szCs w:val="18"/>
              </w:rPr>
              <w:t xml:space="preserve">Of those, sourced from bank systems</w:t>
            </w:r>
          </w:p>
        </w:tc>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189</w:t>
            </w:r>
          </w:p>
        </w:tc>
      </w:tr>
      <w:tr>
        <w:trPr>
          <w:cantSplit/>
        </w:trPr>
        <w:tc>
          <w:tcPr>
            <w:tcW w:type="dxa" w:w="6360"/>
            <w:tcMar>
              <w:top w:type="dxa" w:w="60"/>
              <w:left w:type="dxa" w:w="100"/>
              <w:bottom w:type="dxa" w:w="60"/>
              <w:right w:type="dxa" w:w="100"/>
            </w:tcMar>
          </w:tcPr>
          <w:p>
            <w:pPr>
              <w:keepNext w:val="false"/>
              <w:spacing w:after="0"/>
            </w:pPr>
            <w:r>
              <w:rPr>
                <w:rFonts w:ascii="Calibri" w:cs="Calibri" w:eastAsia="Calibri" w:hAnsi="Calibri"/>
                <w:sz w:val="18"/>
                <w:szCs w:val="18"/>
              </w:rPr>
              <w:t xml:space="preserve">Of those, produced by this system or derived</w:t>
            </w:r>
          </w:p>
        </w:tc>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111</w:t>
            </w:r>
          </w:p>
        </w:tc>
      </w:tr>
      <w:tr>
        <w:trPr>
          <w:cantSplit/>
        </w:trPr>
        <w:tc>
          <w:tcPr>
            <w:tcW w:type="dxa" w:w="6360"/>
            <w:tcMar>
              <w:top w:type="dxa" w:w="60"/>
              <w:left w:type="dxa" w:w="100"/>
              <w:bottom w:type="dxa" w:w="60"/>
              <w:right w:type="dxa" w:w="100"/>
            </w:tcMar>
          </w:tcPr>
          <w:p>
            <w:pPr>
              <w:keepNext w:val="false"/>
              <w:spacing w:after="0"/>
            </w:pPr>
            <w:r>
              <w:rPr>
                <w:rFonts w:ascii="Calibri" w:cs="Calibri" w:eastAsia="Calibri" w:hAnsi="Calibri"/>
                <w:sz w:val="18"/>
                <w:szCs w:val="18"/>
              </w:rPr>
              <w:t xml:space="preserve">Production systems to be approached</w:t>
            </w:r>
          </w:p>
        </w:tc>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12</w:t>
            </w:r>
          </w:p>
        </w:tc>
      </w:tr>
      <w:tr>
        <w:trPr>
          <w:cantSplit/>
        </w:trPr>
        <w:tc>
          <w:tcPr>
            <w:tcW w:type="dxa" w:w="6360"/>
            <w:tcMar>
              <w:top w:type="dxa" w:w="60"/>
              <w:left w:type="dxa" w:w="100"/>
              <w:bottom w:type="dxa" w:w="60"/>
              <w:right w:type="dxa" w:w="100"/>
            </w:tcMar>
          </w:tcPr>
          <w:p>
            <w:pPr>
              <w:keepNext w:val="false"/>
              <w:spacing w:after="0"/>
            </w:pPr>
            <w:r>
              <w:rPr>
                <w:rFonts w:ascii="Calibri" w:cs="Calibri" w:eastAsia="Calibri" w:hAnsi="Calibri"/>
                <w:sz w:val="18"/>
                <w:szCs w:val="18"/>
              </w:rPr>
              <w:t xml:space="preserve">Data elements consumed by the rule library</w:t>
            </w:r>
          </w:p>
        </w:tc>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62</w:t>
            </w:r>
          </w:p>
        </w:tc>
      </w:tr>
    </w:tbl>
    <w:p>
      <w:pPr>
        <w:pStyle w:val="Heading2"/>
        <w:keepNext/>
        <w:spacing w:after="120" w:before="240"/>
      </w:pPr>
      <w:r>
        <w:rPr>
          <w:rFonts w:ascii="Calibri" w:cs="Calibri" w:eastAsia="Calibri" w:hAnsi="Calibri"/>
          <w:b/>
          <w:bCs/>
          <w:color w:val="1F3864"/>
          <w:sz w:val="24"/>
          <w:szCs w:val="24"/>
        </w:rPr>
        <w:t xml:space="preserve">7.2  The feeds that block everything else</w:t>
      </w:r>
    </w:p>
    <w:p>
      <w:pPr>
        <w:spacing w:after="120" w:before="0"/>
      </w:pPr>
      <w:r>
        <w:rPr>
          <w:rFonts w:ascii="Calibri" w:cs="Calibri" w:eastAsia="Calibri" w:hAnsi="Calibri"/>
          <w:sz w:val="20"/>
          <w:szCs w:val="20"/>
        </w:rPr>
        <w:t xml:space="preserve">Six source systems must be in place before the system can render at all:</w:t>
      </w:r>
    </w:p>
    <w:p>
      <w:pPr>
        <w:pStyle w:val="ListParagraph"/>
        <w:keepNext w:val="false"/>
        <w:numPr>
          <w:ilvl w:val="0"/>
          <w:numId w:val="2"/>
        </w:numPr>
        <w:spacing w:after="70"/>
      </w:pPr>
      <w:r>
        <w:rPr>
          <w:rFonts w:ascii="Calibri" w:cs="Calibri" w:eastAsia="Calibri" w:hAnsi="Calibri"/>
          <w:sz w:val="20"/>
          <w:szCs w:val="20"/>
        </w:rPr>
        <w:t xml:space="preserve">Trade capture and booking — the deals, their amendments and their cancellations</w:t>
      </w:r>
    </w:p>
    <w:p>
      <w:pPr>
        <w:pStyle w:val="ListParagraph"/>
        <w:keepNext w:val="false"/>
        <w:numPr>
          <w:ilvl w:val="0"/>
          <w:numId w:val="2"/>
        </w:numPr>
        <w:spacing w:after="70"/>
      </w:pPr>
      <w:r>
        <w:rPr>
          <w:rFonts w:ascii="Calibri" w:cs="Calibri" w:eastAsia="Calibri" w:hAnsi="Calibri"/>
          <w:sz w:val="20"/>
          <w:szCs w:val="20"/>
        </w:rPr>
        <w:t xml:space="preserve">Market data — the mid at the moment of execution, and the official volatility surface</w:t>
      </w:r>
    </w:p>
    <w:p>
      <w:pPr>
        <w:pStyle w:val="ListParagraph"/>
        <w:keepNext w:val="false"/>
        <w:numPr>
          <w:ilvl w:val="0"/>
          <w:numId w:val="2"/>
        </w:numPr>
        <w:spacing w:after="70"/>
      </w:pPr>
      <w:r>
        <w:rPr>
          <w:rFonts w:ascii="Calibri" w:cs="Calibri" w:eastAsia="Calibri" w:hAnsi="Calibri"/>
          <w:sz w:val="20"/>
          <w:szCs w:val="20"/>
        </w:rPr>
        <w:t xml:space="preserve">Reference data — the instrument master and the product taxonomy</w:t>
      </w:r>
    </w:p>
    <w:p>
      <w:pPr>
        <w:pStyle w:val="ListParagraph"/>
        <w:keepNext w:val="false"/>
        <w:numPr>
          <w:ilvl w:val="0"/>
          <w:numId w:val="2"/>
        </w:numPr>
        <w:spacing w:after="70"/>
      </w:pPr>
      <w:r>
        <w:rPr>
          <w:rFonts w:ascii="Calibri" w:cs="Calibri" w:eastAsia="Calibri" w:hAnsi="Calibri"/>
          <w:sz w:val="20"/>
          <w:szCs w:val="20"/>
        </w:rPr>
        <w:t xml:space="preserve">Client reference data — the counterparty master, keyed on LEI</w:t>
      </w:r>
    </w:p>
    <w:p>
      <w:pPr>
        <w:pStyle w:val="ListParagraph"/>
        <w:keepNext w:val="false"/>
        <w:numPr>
          <w:ilvl w:val="0"/>
          <w:numId w:val="2"/>
        </w:numPr>
        <w:spacing w:after="70"/>
      </w:pPr>
      <w:r>
        <w:rPr>
          <w:rFonts w:ascii="Calibri" w:cs="Calibri" w:eastAsia="Calibri" w:hAnsi="Calibri"/>
          <w:sz w:val="20"/>
          <w:szCs w:val="20"/>
        </w:rPr>
        <w:t xml:space="preserve">HR and organisation — who traded, on which desk, at which grade, reporting to whom</w:t>
      </w:r>
    </w:p>
    <w:p>
      <w:pPr>
        <w:pStyle w:val="ListParagraph"/>
        <w:keepNext w:val="false"/>
        <w:numPr>
          <w:ilvl w:val="0"/>
          <w:numId w:val="2"/>
        </w:numPr>
        <w:spacing w:after="70"/>
      </w:pPr>
      <w:r>
        <w:rPr>
          <w:rFonts w:ascii="Calibri" w:cs="Calibri" w:eastAsia="Calibri" w:hAnsi="Calibri"/>
          <w:sz w:val="20"/>
          <w:szCs w:val="20"/>
        </w:rPr>
        <w:t xml:space="preserve">Calendars — business days and holidays per settlement centre</w:t>
      </w:r>
    </w:p>
    <w:p>
      <w:pPr>
        <w:spacing w:after="120" w:before="120"/>
      </w:pPr>
      <w:r>
        <w:rPr>
          <w:rFonts w:ascii="Calibri" w:cs="Calibri" w:eastAsia="Calibri" w:hAnsi="Calibri"/>
          <w:sz w:val="20"/>
          <w:szCs w:val="20"/>
        </w:rPr>
        <w:t xml:space="preserve">One further feed is not blocking. Per-deal revenue attribution drives the P&amp;L measure of the Trade Activity screen and the eight revenue rules, TS-51 to TS-58. Without it the measure reads zero, those eight rules are suppressed, and every other screen and rule is unaffected. It is listed here because it is owned by product control rather than by any of the six above, and because it is the feed most likely to be assumed available and then found not to be published per deal.</w:t>
      </w:r>
    </w:p>
    <w:p>
      <w:pPr>
        <w:spacing w:after="120" w:before="0"/>
      </w:pPr>
      <w:r>
        <w:rPr>
          <w:rFonts w:ascii="Calibri" w:cs="Calibri" w:eastAsia="Calibri" w:hAnsi="Calibri"/>
          <w:sz w:val="20"/>
          <w:szCs w:val="20"/>
        </w:rPr>
        <w:t xml:space="preserve">One of the eight, TS-57, compares this per-deal revenue with product control's own daily P&amp;L for each trader. The two figures must therefore come from different systems. If the daily P&amp;L is simply the per-deal revenue summed, the two can never disagree and the rule can never fire.</w:t>
      </w:r>
    </w:p>
    <w:p>
      <w:pPr>
        <w:pStyle w:val="Heading2"/>
        <w:keepNext/>
        <w:spacing w:after="120" w:before="240"/>
      </w:pPr>
      <w:r>
        <w:rPr>
          <w:rFonts w:ascii="Calibri" w:cs="Calibri" w:eastAsia="Calibri" w:hAnsi="Calibri"/>
          <w:b/>
          <w:bCs/>
          <w:color w:val="1F3864"/>
          <w:sz w:val="24"/>
          <w:szCs w:val="24"/>
        </w:rPr>
        <w:t xml:space="preserve">7.3  Three data points that decide the delivery date</w:t>
      </w:r>
    </w:p>
    <w:p>
      <w:pPr>
        <w:keepNext/>
        <w:spacing w:after="120" w:before="0"/>
      </w:pPr>
      <w:r>
        <w:rPr>
          <w:rFonts w:ascii="Calibri" w:cs="Calibri" w:eastAsia="Calibri" w:hAnsi="Calibri"/>
          <w:sz w:val="20"/>
          <w:szCs w:val="20"/>
        </w:rPr>
        <w:t xml:space="preserve">Each of these has derailed comparable builds. They should be confirmed with the owning system before the project is scoped, not during build.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5560"/>
        <w:gridCol w:w="1200"/>
      </w:tblGrid>
      <w:tr>
        <w:trPr>
          <w:cantSplit/>
          <w:tblHeader/>
        </w:trPr>
        <w:tc>
          <w:tcPr>
            <w:tcW w:type="dxa" w:w="2600"/>
            <w:shd w:fill="F2F4F7" w:color="auto" w:val="clear"/>
            <w:tcMar>
              <w:top w:type="dxa" w:w="60"/>
              <w:left w:type="dxa" w:w="100"/>
              <w:bottom w:type="dxa" w:w="60"/>
              <w:right w:type="dxa" w:w="100"/>
            </w:tcMar>
          </w:tcPr>
          <w:p>
            <w:pPr>
              <w:keepNext/>
              <w:spacing w:after="0"/>
            </w:pPr>
            <w:r>
              <w:rPr>
                <w:rFonts w:ascii="Calibri" w:cs="Calibri" w:eastAsia="Calibri" w:hAnsi="Calibri"/>
                <w:b/>
                <w:bCs/>
                <w:sz w:val="18"/>
                <w:szCs w:val="18"/>
              </w:rPr>
              <w:t xml:space="preserve">Data point</w:t>
            </w:r>
          </w:p>
        </w:tc>
        <w:tc>
          <w:tcPr>
            <w:tcW w:type="dxa" w:w="5560"/>
            <w:shd w:fill="F2F4F7" w:color="auto" w:val="clear"/>
            <w:tcMar>
              <w:top w:type="dxa" w:w="60"/>
              <w:left w:type="dxa" w:w="100"/>
              <w:bottom w:type="dxa" w:w="60"/>
              <w:right w:type="dxa" w:w="100"/>
            </w:tcMar>
          </w:tcPr>
          <w:p>
            <w:pPr>
              <w:keepNext/>
              <w:spacing w:after="0"/>
            </w:pPr>
            <w:r>
              <w:rPr>
                <w:rFonts w:ascii="Calibri" w:cs="Calibri" w:eastAsia="Calibri" w:hAnsi="Calibri"/>
                <w:b/>
                <w:bCs/>
                <w:sz w:val="18"/>
                <w:szCs w:val="18"/>
              </w:rPr>
              <w:t xml:space="preserve">Why it matters</w:t>
            </w:r>
          </w:p>
        </w:tc>
        <w:tc>
          <w:tcPr>
            <w:tcW w:type="dxa" w:w="1200"/>
            <w:shd w:fill="F2F4F7" w:color="auto" w:val="clear"/>
            <w:tcMar>
              <w:top w:type="dxa" w:w="60"/>
              <w:left w:type="dxa" w:w="100"/>
              <w:bottom w:type="dxa" w:w="60"/>
              <w:right w:type="dxa" w:w="100"/>
            </w:tcMar>
          </w:tcPr>
          <w:p>
            <w:pPr>
              <w:keepNext/>
              <w:spacing w:after="0"/>
            </w:pPr>
            <w:r>
              <w:rPr>
                <w:rFonts w:ascii="Calibri" w:cs="Calibri" w:eastAsia="Calibri" w:hAnsi="Calibri"/>
                <w:b/>
                <w:bCs/>
                <w:sz w:val="18"/>
                <w:szCs w:val="18"/>
              </w:rPr>
              <w:t xml:space="preserve">Risk</w:t>
            </w:r>
          </w:p>
        </w:tc>
      </w:tr>
      <w:tr>
        <w:trPr>
          <w:cantSplit/>
        </w:trPr>
        <w:tc>
          <w:tcPr>
            <w:tcW w:type="dxa" w:w="2600"/>
            <w:tcMar>
              <w:top w:type="dxa" w:w="60"/>
              <w:left w:type="dxa" w:w="100"/>
              <w:bottom w:type="dxa" w:w="60"/>
              <w:right w:type="dxa" w:w="100"/>
            </w:tcMar>
          </w:tcPr>
          <w:p>
            <w:pPr>
              <w:keepNext/>
              <w:spacing w:after="0"/>
            </w:pPr>
            <w:r>
              <w:rPr>
                <w:rFonts w:ascii="Calibri" w:cs="Calibri" w:eastAsia="Calibri" w:hAnsi="Calibri"/>
                <w:sz w:val="18"/>
                <w:szCs w:val="18"/>
              </w:rPr>
              <w:t xml:space="preserve">Execution timestamp, to the second, with timezone</w:t>
            </w:r>
          </w:p>
        </w:tc>
        <w:tc>
          <w:tcPr>
            <w:tcW w:type="dxa" w:w="5560"/>
            <w:tcMar>
              <w:top w:type="dxa" w:w="60"/>
              <w:left w:type="dxa" w:w="100"/>
              <w:bottom w:type="dxa" w:w="60"/>
              <w:right w:type="dxa" w:w="100"/>
            </w:tcMar>
          </w:tcPr>
          <w:p>
            <w:pPr>
              <w:keepNext/>
              <w:spacing w:after="0"/>
            </w:pPr>
            <w:r>
              <w:rPr>
                <w:rFonts w:ascii="Calibri" w:cs="Calibri" w:eastAsia="Calibri" w:hAnsi="Calibri"/>
                <w:sz w:val="18"/>
                <w:szCs w:val="18"/>
              </w:rPr>
              <w:t xml:space="preserve">Eighteen rules are computed from it, and every hour-of-day view on the site. There is no safe default.</w:t>
            </w:r>
          </w:p>
        </w:tc>
        <w:tc>
          <w:tcPr>
            <w:tcW w:type="dxa" w:w="1200"/>
            <w:tcMar>
              <w:top w:type="dxa" w:w="60"/>
              <w:left w:type="dxa" w:w="100"/>
              <w:bottom w:type="dxa" w:w="60"/>
              <w:right w:type="dxa" w:w="100"/>
            </w:tcMar>
          </w:tcPr>
          <w:p>
            <w:pPr>
              <w:keepNext/>
              <w:spacing w:after="0"/>
            </w:pPr>
            <w:r>
              <w:rPr>
                <w:rFonts w:ascii="Calibri" w:cs="Calibri" w:eastAsia="Calibri" w:hAnsi="Calibri"/>
                <w:sz w:val="18"/>
                <w:szCs w:val="18"/>
              </w:rPr>
              <w:t xml:space="preserve">High</w:t>
            </w:r>
          </w:p>
        </w:tc>
      </w:tr>
      <w:tr>
        <w:trPr>
          <w:cantSplit/>
        </w:trPr>
        <w:tc>
          <w:tcPr>
            <w:tcW w:type="dxa" w:w="2600"/>
            <w:tcMar>
              <w:top w:type="dxa" w:w="60"/>
              <w:left w:type="dxa" w:w="100"/>
              <w:bottom w:type="dxa" w:w="60"/>
              <w:right w:type="dxa" w:w="100"/>
            </w:tcMar>
          </w:tcPr>
          <w:p>
            <w:pPr>
              <w:keepNext/>
              <w:spacing w:after="0"/>
            </w:pPr>
            <w:r>
              <w:rPr>
                <w:rFonts w:ascii="Calibri" w:cs="Calibri" w:eastAsia="Calibri" w:hAnsi="Calibri"/>
                <w:sz w:val="18"/>
                <w:szCs w:val="18"/>
              </w:rPr>
              <w:t xml:space="preserve">Market mid at the moment of execution</w:t>
            </w:r>
          </w:p>
        </w:tc>
        <w:tc>
          <w:tcPr>
            <w:tcW w:type="dxa" w:w="5560"/>
            <w:tcMar>
              <w:top w:type="dxa" w:w="60"/>
              <w:left w:type="dxa" w:w="100"/>
              <w:bottom w:type="dxa" w:w="60"/>
              <w:right w:type="dxa" w:w="100"/>
            </w:tcMar>
          </w:tcPr>
          <w:p>
            <w:pPr>
              <w:keepNext/>
              <w:spacing w:after="0"/>
            </w:pPr>
            <w:r>
              <w:rPr>
                <w:rFonts w:ascii="Calibri" w:cs="Calibri" w:eastAsia="Calibri" w:hAnsi="Calibri"/>
                <w:sz w:val="18"/>
                <w:szCs w:val="18"/>
              </w:rPr>
              <w:t xml:space="preserve">Substituting an end-of-day mark silently changes what every pricing rule tests. The findings will not survive challenge.</w:t>
            </w:r>
          </w:p>
        </w:tc>
        <w:tc>
          <w:tcPr>
            <w:tcW w:type="dxa" w:w="1200"/>
            <w:tcMar>
              <w:top w:type="dxa" w:w="60"/>
              <w:left w:type="dxa" w:w="100"/>
              <w:bottom w:type="dxa" w:w="60"/>
              <w:right w:type="dxa" w:w="100"/>
            </w:tcMar>
          </w:tcPr>
          <w:p>
            <w:pPr>
              <w:keepNext/>
              <w:spacing w:after="0"/>
            </w:pPr>
            <w:r>
              <w:rPr>
                <w:rFonts w:ascii="Calibri" w:cs="Calibri" w:eastAsia="Calibri" w:hAnsi="Calibri"/>
                <w:sz w:val="18"/>
                <w:szCs w:val="18"/>
              </w:rPr>
              <w:t xml:space="preserve">High</w:t>
            </w:r>
          </w:p>
        </w:tc>
      </w:tr>
      <w:tr>
        <w:trPr>
          <w:cantSplit/>
        </w:trPr>
        <w:tc>
          <w:tcPr>
            <w:tcW w:type="dxa" w:w="26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Trader mandate and limit register</w:t>
            </w:r>
          </w:p>
        </w:tc>
        <w:tc>
          <w:tcPr>
            <w:tcW w:type="dxa" w:w="5560"/>
            <w:tcMar>
              <w:top w:type="dxa" w:w="60"/>
              <w:left w:type="dxa" w:w="100"/>
              <w:bottom w:type="dxa" w:w="60"/>
              <w:right w:type="dxa" w:w="100"/>
            </w:tcMar>
          </w:tcPr>
          <w:p>
            <w:pPr>
              <w:keepNext w:val="false"/>
              <w:spacing w:after="0"/>
            </w:pPr>
            <w:r>
              <w:rPr>
                <w:rFonts w:ascii="Calibri" w:cs="Calibri" w:eastAsia="Calibri" w:hAnsi="Calibri"/>
                <w:sz w:val="18"/>
                <w:szCs w:val="18"/>
              </w:rPr>
              <w:t xml:space="preserve">Often held in spreadsheets by the desk COO rather than in a system, and usually undated. Without it the whole limits category cannot run.</w:t>
            </w:r>
          </w:p>
        </w:tc>
        <w:tc>
          <w:tcPr>
            <w:tcW w:type="dxa" w:w="1200"/>
            <w:tcMar>
              <w:top w:type="dxa" w:w="60"/>
              <w:left w:type="dxa" w:w="100"/>
              <w:bottom w:type="dxa" w:w="60"/>
              <w:right w:type="dxa" w:w="100"/>
            </w:tcMar>
          </w:tcPr>
          <w:p>
            <w:pPr>
              <w:keepNext w:val="false"/>
              <w:spacing w:after="0"/>
            </w:pPr>
            <w:r>
              <w:rPr>
                <w:rFonts w:ascii="Calibri" w:cs="Calibri" w:eastAsia="Calibri" w:hAnsi="Calibri"/>
                <w:sz w:val="18"/>
                <w:szCs w:val="18"/>
              </w:rPr>
              <w:t xml:space="preserve">High</w:t>
            </w:r>
          </w:p>
        </w:tc>
      </w:tr>
    </w:tbl>
    <w:p>
      <w:pPr>
        <w:pStyle w:val="Heading2"/>
        <w:keepNext/>
        <w:spacing w:after="120" w:before="240"/>
      </w:pPr>
      <w:r>
        <w:rPr>
          <w:rFonts w:ascii="Calibri" w:cs="Calibri" w:eastAsia="Calibri" w:hAnsi="Calibri"/>
          <w:b/>
          <w:bCs/>
          <w:color w:val="1F3864"/>
          <w:sz w:val="24"/>
          <w:szCs w:val="24"/>
        </w:rPr>
        <w:t xml:space="preserve">7.4  Retention</w:t>
      </w:r>
    </w:p>
    <w:p>
      <w:pPr>
        <w:spacing w:after="120" w:before="0"/>
      </w:pPr>
      <w:r>
        <w:rPr>
          <w:rFonts w:ascii="Calibri" w:cs="Calibri" w:eastAsia="Calibri" w:hAnsi="Calibri"/>
          <w:sz w:val="20"/>
          <w:szCs w:val="20"/>
        </w:rPr>
        <w:t xml:space="preserve">Rules baseline on a trailing 365-day window. Approximately 400 days of history must be available at execution granularity before the first rule produces a meaningful result.</w:t>
      </w:r>
    </w:p>
    <w:p>
      <w:pPr>
        <w:pStyle w:val="Heading1"/>
        <w:keepNext/>
        <w:spacing w:after="120" w:before="320"/>
      </w:pPr>
      <w:r>
        <w:rPr>
          <w:rFonts w:ascii="Calibri" w:cs="Calibri" w:eastAsia="Calibri" w:hAnsi="Calibri"/>
          <w:b/>
          <w:bCs/>
          <w:color w:val="1F3864"/>
          <w:sz w:val="30"/>
          <w:szCs w:val="30"/>
        </w:rPr>
        <w:t xml:space="preserve">8.  Non-functional requirements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1500"/>
        <w:gridCol w:w="6960"/>
      </w:tblGrid>
      <w:tr>
        <w:trPr>
          <w:cantSplit/>
          <w:tblHeader/>
        </w:trPr>
        <w:tc>
          <w:tcPr>
            <w:tcW w:type="dxa" w:w="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Ref</w:t>
            </w:r>
          </w:p>
        </w:tc>
        <w:tc>
          <w:tcPr>
            <w:tcW w:type="dxa" w:w="15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Area</w:t>
            </w:r>
          </w:p>
        </w:tc>
        <w:tc>
          <w:tcPr>
            <w:tcW w:type="dxa" w:w="69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Requirement</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NFR-01</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Performance</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A screen shall render within two seconds on a year of data for a floor of the bank's size. The reference build renders 60,198 deals and 3,724 alerts, its slowest screen in under a second.</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NFR-02</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Volume</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design shall accommodate at least 200 traders and a growing rule set without redesign. Dense views shall degrade by aggregating, never by silently truncating.</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NFR-03</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Honesty of display</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Where data is sampled or thinned to stay readable, the screen shall say so. An empty result shall be stated as empty, never drawn as a quiet day.</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NFR-04</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Audit</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Every disposition shall be reconstructable: what was shown, who decided, when, and on what reason.</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NFR-05</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Access</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Read access shall be scopeable to a desk or a reporting line. Disposition rights shall be restricted to the surveillance function.</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NFR-06</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Browser</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Current versions of the bank's standard browser. No plug-ins.</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NFR-07</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Accessibility</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Keyboard navigable; colour shall never be the only carrier of meaning; text resizable without loss of function.</w:t>
            </w:r>
          </w:p>
        </w:tc>
      </w:tr>
      <w:tr>
        <w:trPr>
          <w:cantSplit/>
        </w:trPr>
        <w:tc>
          <w:tcPr>
            <w:tcW w:type="dxa" w:w="900"/>
            <w:tcMar>
              <w:top w:type="dxa" w:w="60"/>
              <w:left w:type="dxa" w:w="100"/>
              <w:bottom w:type="dxa" w:w="60"/>
              <w:right w:type="dxa" w:w="100"/>
            </w:tcMar>
          </w:tcPr>
          <w:p>
            <w:pPr>
              <w:keepNext w:val="false"/>
              <w:spacing w:after="0"/>
            </w:pPr>
            <w:r>
              <w:rPr>
                <w:rFonts w:ascii="Calibri" w:cs="Calibri" w:eastAsia="Calibri" w:hAnsi="Calibri"/>
                <w:sz w:val="18"/>
                <w:szCs w:val="18"/>
              </w:rPr>
              <w:t xml:space="preserve">NFR-08</w:t>
            </w:r>
          </w:p>
        </w:tc>
        <w:tc>
          <w:tcPr>
            <w:tcW w:type="dxa" w:w="1500"/>
            <w:tcMar>
              <w:top w:type="dxa" w:w="60"/>
              <w:left w:type="dxa" w:w="100"/>
              <w:bottom w:type="dxa" w:w="60"/>
              <w:right w:type="dxa" w:w="100"/>
            </w:tcMar>
          </w:tcPr>
          <w:p>
            <w:pPr>
              <w:keepNext w:val="false"/>
              <w:spacing w:after="0"/>
            </w:pPr>
            <w:r>
              <w:rPr>
                <w:rFonts w:ascii="Calibri" w:cs="Calibri" w:eastAsia="Calibri" w:hAnsi="Calibri"/>
                <w:sz w:val="18"/>
                <w:szCs w:val="18"/>
              </w:rPr>
              <w:t xml:space="preserve">Data residency</w:t>
            </w:r>
          </w:p>
        </w:tc>
        <w:tc>
          <w:tcPr>
            <w:tcW w:type="dxa" w:w="6960"/>
            <w:tcMar>
              <w:top w:type="dxa" w:w="60"/>
              <w:left w:type="dxa" w:w="100"/>
              <w:bottom w:type="dxa" w:w="60"/>
              <w:right w:type="dxa" w:w="100"/>
            </w:tcMar>
          </w:tcPr>
          <w:p>
            <w:pPr>
              <w:keepNext w:val="false"/>
              <w:spacing w:after="0"/>
            </w:pPr>
            <w:r>
              <w:rPr>
                <w:rFonts w:ascii="Calibri" w:cs="Calibri" w:eastAsia="Calibri" w:hAnsi="Calibri"/>
                <w:sz w:val="18"/>
                <w:szCs w:val="18"/>
              </w:rPr>
              <w:t xml:space="preserve">All data remains within the bank. The reference build makes no external network calls of any kind and this property shall be preserved.</w:t>
            </w:r>
          </w:p>
        </w:tc>
      </w:tr>
    </w:tbl>
    <w:p>
      <w:pPr>
        <w:pStyle w:val="Heading1"/>
        <w:keepNext/>
        <w:spacing w:after="120" w:before="320"/>
      </w:pPr>
      <w:r>
        <w:rPr>
          <w:rFonts w:ascii="Calibri" w:cs="Calibri" w:eastAsia="Calibri" w:hAnsi="Calibri"/>
          <w:b/>
          <w:bCs/>
          <w:color w:val="1F3864"/>
          <w:sz w:val="30"/>
          <w:szCs w:val="30"/>
        </w:rPr>
        <w:t xml:space="preserve">9.  Out of scope</w:t>
      </w:r>
    </w:p>
    <w:p>
      <w:pPr>
        <w:keepNext/>
        <w:spacing w:after="120" w:before="0"/>
      </w:pPr>
      <w:r>
        <w:rPr>
          <w:rFonts w:ascii="Calibri" w:cs="Calibri" w:eastAsia="Calibri" w:hAnsi="Calibri"/>
          <w:sz w:val="20"/>
          <w:szCs w:val="20"/>
        </w:rPr>
        <w:t xml:space="preserve">Stated explicitly to prevent scope being assumed.</w:t>
      </w:r>
    </w:p>
    <w:p>
      <w:pPr>
        <w:pStyle w:val="ListParagraph"/>
        <w:keepNext/>
        <w:numPr>
          <w:ilvl w:val="0"/>
          <w:numId w:val="2"/>
        </w:numPr>
        <w:spacing w:after="70"/>
      </w:pPr>
      <w:r>
        <w:rPr>
          <w:rFonts w:ascii="Calibri" w:cs="Calibri" w:eastAsia="Calibri" w:hAnsi="Calibri"/>
          <w:sz w:val="20"/>
          <w:szCs w:val="20"/>
        </w:rPr>
        <w:t xml:space="preserve">Real-time or pre-trade intervention. The system is post-trade and observational.</w:t>
      </w:r>
    </w:p>
    <w:p>
      <w:pPr>
        <w:pStyle w:val="ListParagraph"/>
        <w:keepNext/>
        <w:numPr>
          <w:ilvl w:val="0"/>
          <w:numId w:val="2"/>
        </w:numPr>
        <w:spacing w:after="70"/>
      </w:pPr>
      <w:r>
        <w:rPr>
          <w:rFonts w:ascii="Calibri" w:cs="Calibri" w:eastAsia="Calibri" w:hAnsi="Calibri"/>
          <w:sz w:val="20"/>
          <w:szCs w:val="20"/>
        </w:rPr>
        <w:t xml:space="preserve">Order-book surveillance beyond the four rules that use it. Full market-abuse monitoring of the order book is a separate programme.</w:t>
      </w:r>
    </w:p>
    <w:p>
      <w:pPr>
        <w:pStyle w:val="ListParagraph"/>
        <w:keepNext/>
        <w:numPr>
          <w:ilvl w:val="0"/>
          <w:numId w:val="2"/>
        </w:numPr>
        <w:spacing w:after="70"/>
      </w:pPr>
      <w:r>
        <w:rPr>
          <w:rFonts w:ascii="Calibri" w:cs="Calibri" w:eastAsia="Calibri" w:hAnsi="Calibri"/>
          <w:sz w:val="20"/>
          <w:szCs w:val="20"/>
        </w:rPr>
        <w:t xml:space="preserve">Communications surveillance — voice, chat and email are not in scope.</w:t>
      </w:r>
    </w:p>
    <w:p>
      <w:pPr>
        <w:pStyle w:val="ListParagraph"/>
        <w:keepNext/>
        <w:numPr>
          <w:ilvl w:val="0"/>
          <w:numId w:val="2"/>
        </w:numPr>
        <w:spacing w:after="70"/>
      </w:pPr>
      <w:r>
        <w:rPr>
          <w:rFonts w:ascii="Calibri" w:cs="Calibri" w:eastAsia="Calibri" w:hAnsi="Calibri"/>
          <w:sz w:val="20"/>
          <w:szCs w:val="20"/>
        </w:rPr>
        <w:t xml:space="preserve">Case management beyond disposition. Once escalated, the case belongs to Financial Crime Investigations and their system.</w:t>
      </w:r>
    </w:p>
    <w:p>
      <w:pPr>
        <w:pStyle w:val="ListParagraph"/>
        <w:keepNext/>
        <w:numPr>
          <w:ilvl w:val="0"/>
          <w:numId w:val="2"/>
        </w:numPr>
        <w:spacing w:after="70"/>
      </w:pPr>
      <w:r>
        <w:rPr>
          <w:rFonts w:ascii="Calibri" w:cs="Calibri" w:eastAsia="Calibri" w:hAnsi="Calibri"/>
          <w:sz w:val="20"/>
          <w:szCs w:val="20"/>
        </w:rPr>
        <w:t xml:space="preserve">Regulatory report generation. The system records that a report is warranted; it does not file it.</w:t>
      </w:r>
    </w:p>
    <w:p>
      <w:pPr>
        <w:pStyle w:val="ListParagraph"/>
        <w:keepNext w:val="false"/>
        <w:numPr>
          <w:ilvl w:val="0"/>
          <w:numId w:val="2"/>
        </w:numPr>
        <w:spacing w:after="70"/>
      </w:pPr>
      <w:r>
        <w:rPr>
          <w:rFonts w:ascii="Calibri" w:cs="Calibri" w:eastAsia="Calibri" w:hAnsi="Calibri"/>
          <w:sz w:val="20"/>
          <w:szCs w:val="20"/>
        </w:rPr>
        <w:t xml:space="preserve">Model validation of the rules themselves, which is a separate governance exercise.</w:t>
      </w:r>
    </w:p>
    <w:p>
      <w:pPr>
        <w:pStyle w:val="Heading1"/>
        <w:keepNext/>
        <w:spacing w:after="120" w:before="320"/>
      </w:pPr>
      <w:r>
        <w:rPr>
          <w:rFonts w:ascii="Calibri" w:cs="Calibri" w:eastAsia="Calibri" w:hAnsi="Calibri"/>
          <w:b/>
          <w:bCs/>
          <w:color w:val="1F3864"/>
          <w:sz w:val="30"/>
          <w:szCs w:val="30"/>
        </w:rPr>
        <w:t xml:space="preserve">10.  Reference documents</w:t>
      </w:r>
    </w:p>
    <w:p>
      <w:pPr>
        <w:spacing w:after="120" w:before="0"/>
      </w:pPr>
      <w:r>
        <w:rPr>
          <w:rFonts w:ascii="Calibri" w:cs="Calibri" w:eastAsia="Calibri" w:hAnsi="Calibri"/>
          <w:sz w:val="20"/>
          <w:szCs w:val="20"/>
        </w:rPr>
        <w:t xml:space="preserve">This specification is deliberately short because the detail lives in these.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4160"/>
        <w:gridCol w:w="2200"/>
      </w:tblGrid>
      <w:tr>
        <w:trPr>
          <w:cantSplit/>
          <w:tblHeader/>
        </w:trPr>
        <w:tc>
          <w:tcPr>
            <w:tcW w:type="dxa" w:w="30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Document</w:t>
            </w:r>
          </w:p>
        </w:tc>
        <w:tc>
          <w:tcPr>
            <w:tcW w:type="dxa" w:w="41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What it carries</w:t>
            </w:r>
          </w:p>
        </w:tc>
        <w:tc>
          <w:tcPr>
            <w:tcW w:type="dxa" w:w="22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Read it when</w:t>
            </w:r>
          </w:p>
        </w:tc>
      </w:tr>
      <w:tr>
        <w:trPr>
          <w:cantSplit/>
        </w:trPr>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Trade-Surveillance-Data-Schema.xlsx</w:t>
            </w:r>
          </w:p>
        </w:tc>
        <w:tc>
          <w:tcPr>
            <w:tcW w:type="dxa" w:w="4160"/>
            <w:tcMar>
              <w:top w:type="dxa" w:w="60"/>
              <w:left w:type="dxa" w:w="100"/>
              <w:bottom w:type="dxa" w:w="60"/>
              <w:right w:type="dxa" w:w="100"/>
            </w:tcMar>
          </w:tcPr>
          <w:p>
            <w:pPr>
              <w:keepNext w:val="false"/>
              <w:spacing w:after="0"/>
            </w:pPr>
            <w:r>
              <w:rPr>
                <w:rFonts w:ascii="Calibri" w:cs="Calibri" w:eastAsia="Calibri" w:hAnsi="Calibri"/>
                <w:sz w:val="18"/>
                <w:szCs w:val="18"/>
              </w:rPr>
              <w:t xml:space="preserve">24 tables, 300 field specifications, code lists, the rule-to-field matrix, the lineage of all 33 panels, and data quality controls.</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Designing the data model.</w:t>
            </w:r>
          </w:p>
        </w:tc>
      </w:tr>
      <w:tr>
        <w:trPr>
          <w:cantSplit/>
        </w:trPr>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Trade-Monitoring-Source-Data-Checklist.xlsx</w:t>
            </w:r>
          </w:p>
        </w:tc>
        <w:tc>
          <w:tcPr>
            <w:tcW w:type="dxa" w:w="41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189 fields to source, grouped by the production system that owns them, with columns to record what was found.</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Locating data in the bank's systems.</w:t>
            </w:r>
          </w:p>
        </w:tc>
      </w:tr>
      <w:tr>
        <w:trPr>
          <w:cantSplit/>
        </w:trPr>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Trade-Monitoring-Source-Code.md</w:t>
            </w:r>
          </w:p>
        </w:tc>
        <w:tc>
          <w:tcPr>
            <w:tcW w:type="dxa" w:w="4160"/>
            <w:tcMar>
              <w:top w:type="dxa" w:w="60"/>
              <w:left w:type="dxa" w:w="100"/>
              <w:bottom w:type="dxa" w:w="60"/>
              <w:right w:type="dxa" w:w="100"/>
            </w:tcMar>
          </w:tcPr>
          <w:p>
            <w:pPr>
              <w:keepNext w:val="false"/>
              <w:spacing w:after="0"/>
            </w:pPr>
            <w:r>
              <w:rPr>
                <w:rFonts w:ascii="Calibri" w:cs="Calibri" w:eastAsia="Calibri" w:hAnsi="Calibri"/>
                <w:sz w:val="18"/>
                <w:szCs w:val="18"/>
              </w:rPr>
              <w:t xml:space="preserve">Every line of the reference implementation, annotated as port, rebuild, replace or support.</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Building it.</w:t>
            </w:r>
          </w:p>
        </w:tc>
      </w:tr>
      <w:tr>
        <w:trPr>
          <w:cantSplit/>
        </w:trPr>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Trade-Monitoring-Demo.html</w:t>
            </w:r>
          </w:p>
        </w:tc>
        <w:tc>
          <w:tcPr>
            <w:tcW w:type="dxa" w:w="41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working system with sample data. Opens by double-clicking; no server or internet required.</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Understanding what is being asked for.</w:t>
            </w:r>
          </w:p>
        </w:tc>
      </w:tr>
      <w:tr>
        <w:trPr>
          <w:cantSplit/>
        </w:trPr>
        <w:tc>
          <w:tcPr>
            <w:tcW w:type="dxa" w:w="30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Trade-Surveillance-50-Rules.docx</w:t>
            </w:r>
          </w:p>
        </w:tc>
        <w:tc>
          <w:tcPr>
            <w:tcW w:type="dxa" w:w="4160"/>
            <w:tcMar>
              <w:top w:type="dxa" w:w="60"/>
              <w:left w:type="dxa" w:w="100"/>
              <w:bottom w:type="dxa" w:w="60"/>
              <w:right w:type="dxa" w:w="100"/>
            </w:tcMar>
          </w:tcPr>
          <w:p>
            <w:pPr>
              <w:keepNext w:val="false"/>
              <w:spacing w:after="0"/>
            </w:pPr>
            <w:r>
              <w:rPr>
                <w:rFonts w:ascii="Calibri" w:cs="Calibri" w:eastAsia="Calibri" w:hAnsi="Calibri"/>
                <w:sz w:val="18"/>
                <w:szCs w:val="18"/>
              </w:rPr>
              <w:t xml:space="preserve">All fifty-eight rules explained: what each detects, how the test works, and the data it requires. The file keeps the name it was first issued under.</w:t>
            </w:r>
          </w:p>
        </w:tc>
        <w:tc>
          <w:tcPr>
            <w:tcW w:type="dxa" w:w="2200"/>
            <w:tcMar>
              <w:top w:type="dxa" w:w="60"/>
              <w:left w:type="dxa" w:w="100"/>
              <w:bottom w:type="dxa" w:w="60"/>
              <w:right w:type="dxa" w:w="100"/>
            </w:tcMar>
          </w:tcPr>
          <w:p>
            <w:pPr>
              <w:keepNext w:val="false"/>
              <w:spacing w:after="0"/>
            </w:pPr>
            <w:r>
              <w:rPr>
                <w:rFonts w:ascii="Calibri" w:cs="Calibri" w:eastAsia="Calibri" w:hAnsi="Calibri"/>
                <w:sz w:val="18"/>
                <w:szCs w:val="18"/>
              </w:rPr>
              <w:t xml:space="preserve">Implementing detection.</w:t>
            </w:r>
          </w:p>
        </w:tc>
      </w:tr>
    </w:tbl>
    <w:p>
      <w:pPr>
        <w:pStyle w:val="Heading1"/>
        <w:keepNext/>
        <w:spacing w:after="120" w:before="320"/>
      </w:pPr>
      <w:r>
        <w:rPr>
          <w:rFonts w:ascii="Calibri" w:cs="Calibri" w:eastAsia="Calibri" w:hAnsi="Calibri"/>
          <w:b/>
          <w:bCs/>
          <w:color w:val="1F3864"/>
          <w:sz w:val="30"/>
          <w:szCs w:val="30"/>
        </w:rPr>
        <w:t xml:space="preserve">11.  Acceptance criteria</w:t>
      </w:r>
    </w:p>
    <w:p>
      <w:pPr>
        <w:spacing w:after="120" w:before="0"/>
      </w:pPr>
      <w:r>
        <w:rPr>
          <w:rFonts w:ascii="Calibri" w:cs="Calibri" w:eastAsia="Calibri" w:hAnsi="Calibri"/>
          <w:sz w:val="20"/>
          <w:szCs w:val="20"/>
        </w:rPr>
        <w:t xml:space="preserve">These are the criteria for the complete system. Where delivery is phased, each phase is accepted against the subset of these criteria covering what that phase delivers.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8660"/>
      </w:tblGrid>
      <w:tr>
        <w:trPr>
          <w:cantSplit/>
          <w:tblHeader/>
        </w:trPr>
        <w:tc>
          <w:tcPr>
            <w:tcW w:type="dxa" w:w="7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w:t>
            </w:r>
          </w:p>
        </w:tc>
        <w:tc>
          <w:tcPr>
            <w:tcW w:type="dxa" w:w="86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Criterion</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A1</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All eight screens render from live bank data within the stated performance target.</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A2</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Every rule whose data is available runs end to end and raises alerts with complete evidence sets. Rules whose data is not yet available are suppressed and listed.</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A3</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An officer can take an alert from Open to a recorded disposition with a reason, and the audit trail reflects it.</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A4</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Counts reconcile across screens: a heatmap cell opened into the queue returns exactly that number of alerts.</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A5</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Rail filters and the review period apply consistently, and every panel states its own window where it differs.</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A6</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Rules whose data is unavailable are suppressed and reported, not silently defaulted.</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A7</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Trader baselines are computed over a trailing year and visible in the alert evidence.</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A8</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Point-in-time joins are demonstrated: a historic trade is tested against the desk, mandate and control lists as they stood on its trade date.</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A9</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An auditor can reconstruct any closed alert: what was shown, who decided, when, and why.</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A10</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Activity renders in both measures from live data. Revenue totals reconcile to the figures the desk reports for the same period. Where revenue is not supplied, the measure reads zero rather than an estimate and the revenue rules are reported as suppressed.</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A11</w:t>
            </w:r>
          </w:p>
        </w:tc>
        <w:tc>
          <w:tcPr>
            <w:tcW w:type="dxa" w:w="86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desk ranking and the trader map reconcile to the blotter: each desk's figure and each trader's tile equal the sum of their deals in scope, and every trader in scope appears either on the map or in the list beside it.</w:t>
            </w:r>
          </w:p>
        </w:tc>
      </w:tr>
    </w:tbl>
    <w:p>
      <w:pPr>
        <w:pStyle w:val="Heading1"/>
        <w:keepNext/>
        <w:spacing w:after="120" w:before="320"/>
      </w:pPr>
      <w:r>
        <w:rPr>
          <w:rFonts w:ascii="Calibri" w:cs="Calibri" w:eastAsia="Calibri" w:hAnsi="Calibri"/>
          <w:b/>
          <w:bCs/>
          <w:color w:val="1F3864"/>
          <w:sz w:val="30"/>
          <w:szCs w:val="30"/>
        </w:rPr>
        <w:t xml:space="preserve">12.  Suggested phasing</w:t>
      </w:r>
    </w:p>
    <w:p>
      <w:pPr>
        <w:spacing w:after="120" w:before="0"/>
      </w:pPr>
      <w:r>
        <w:rPr>
          <w:rFonts w:ascii="Calibri" w:cs="Calibri" w:eastAsia="Calibri" w:hAnsi="Calibri"/>
          <w:sz w:val="20"/>
          <w:szCs w:val="20"/>
        </w:rPr>
        <w:t xml:space="preserve">Offered as a starting point for planning, not as a requirement.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3100"/>
        <w:gridCol w:w="2660"/>
        <w:gridCol w:w="2900"/>
      </w:tblGrid>
      <w:tr>
        <w:trPr>
          <w:cantSplit/>
          <w:tblHeader/>
        </w:trPr>
        <w:tc>
          <w:tcPr>
            <w:tcW w:type="dxa" w:w="7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Phase</w:t>
            </w:r>
          </w:p>
        </w:tc>
        <w:tc>
          <w:tcPr>
            <w:tcW w:type="dxa" w:w="31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Screens delivered</w:t>
            </w:r>
          </w:p>
        </w:tc>
        <w:tc>
          <w:tcPr>
            <w:tcW w:type="dxa" w:w="266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Also in this phase</w:t>
            </w:r>
          </w:p>
        </w:tc>
        <w:tc>
          <w:tcPr>
            <w:tcW w:type="dxa" w:w="2900"/>
            <w:shd w:fill="F2F4F7" w:color="auto" w:val="clear"/>
            <w:tcMar>
              <w:top w:type="dxa" w:w="60"/>
              <w:left w:type="dxa" w:w="100"/>
              <w:bottom w:type="dxa" w:w="60"/>
              <w:right w:type="dxa" w:w="100"/>
            </w:tcMar>
          </w:tcPr>
          <w:p>
            <w:pPr>
              <w:keepNext w:val="false"/>
              <w:spacing w:after="0"/>
            </w:pPr>
            <w:r>
              <w:rPr>
                <w:rFonts w:ascii="Calibri" w:cs="Calibri" w:eastAsia="Calibri" w:hAnsi="Calibri"/>
                <w:b/>
                <w:bCs/>
                <w:sz w:val="18"/>
                <w:szCs w:val="18"/>
              </w:rPr>
              <w:t xml:space="preserve">Depends on</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1</w:t>
            </w:r>
          </w:p>
        </w:tc>
        <w:tc>
          <w:tcPr>
            <w:tcW w:type="dxa" w:w="3100"/>
            <w:tcMar>
              <w:top w:type="dxa" w:w="60"/>
              <w:left w:type="dxa" w:w="100"/>
              <w:bottom w:type="dxa" w:w="60"/>
              <w:right w:type="dxa" w:w="100"/>
            </w:tcMar>
          </w:tcPr>
          <w:p>
            <w:pPr>
              <w:keepNext w:val="false"/>
              <w:spacing w:after="0"/>
            </w:pPr>
            <w:r>
              <w:rPr>
                <w:rFonts w:ascii="Calibri" w:cs="Calibri" w:eastAsia="Calibri" w:hAnsi="Calibri"/>
                <w:sz w:val="18"/>
                <w:szCs w:val="18"/>
              </w:rPr>
              <w:t xml:space="preserve">Surveillance Overview, Detections queue, Trade Blotter, Review Log (the four priority-1 screens)</w:t>
            </w:r>
          </w:p>
        </w:tc>
        <w:tc>
          <w:tcPr>
            <w:tcW w:type="dxa" w:w="2660"/>
            <w:tcMar>
              <w:top w:type="dxa" w:w="60"/>
              <w:left w:type="dxa" w:w="100"/>
              <w:bottom w:type="dxa" w:w="60"/>
              <w:right w:type="dxa" w:w="100"/>
            </w:tcMar>
          </w:tcPr>
          <w:p>
            <w:pPr>
              <w:keepNext w:val="false"/>
              <w:spacing w:after="0"/>
            </w:pPr>
            <w:r>
              <w:rPr>
                <w:rFonts w:ascii="Calibri" w:cs="Calibri" w:eastAsia="Calibri" w:hAnsi="Calibri"/>
                <w:sz w:val="18"/>
                <w:szCs w:val="18"/>
              </w:rPr>
              <w:t xml:space="preserve">Alert review and disposition; trader baselines.</w:t>
            </w:r>
          </w:p>
        </w:tc>
        <w:tc>
          <w:tcPr>
            <w:tcW w:type="dxa" w:w="29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capture, market data, reference data, client reference data, HR feed, calendars.</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2</w:t>
            </w:r>
          </w:p>
        </w:tc>
        <w:tc>
          <w:tcPr>
            <w:tcW w:type="dxa" w:w="31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Activity, Rule Library, Traders &amp; Groups (priority 2)</w:t>
            </w:r>
          </w:p>
        </w:tc>
        <w:tc>
          <w:tcPr>
            <w:tcW w:type="dxa" w:w="2660"/>
            <w:tcMar>
              <w:top w:type="dxa" w:w="60"/>
              <w:left w:type="dxa" w:w="100"/>
              <w:bottom w:type="dxa" w:w="60"/>
              <w:right w:type="dxa" w:w="100"/>
            </w:tcMar>
          </w:tcPr>
          <w:p>
            <w:pPr>
              <w:keepNext w:val="false"/>
              <w:spacing w:after="0"/>
            </w:pPr>
            <w:r>
              <w:rPr>
                <w:rFonts w:ascii="Calibri" w:cs="Calibri" w:eastAsia="Calibri" w:hAnsi="Calibri"/>
                <w:sz w:val="18"/>
                <w:szCs w:val="18"/>
              </w:rPr>
              <w:t xml:space="preserve">The Limits and controls rule category, and the eight revenue rules.</w:t>
            </w:r>
          </w:p>
        </w:tc>
        <w:tc>
          <w:tcPr>
            <w:tcW w:type="dxa" w:w="2900"/>
            <w:tcMar>
              <w:top w:type="dxa" w:w="60"/>
              <w:left w:type="dxa" w:w="100"/>
              <w:bottom w:type="dxa" w:w="60"/>
              <w:right w:type="dxa" w:w="100"/>
            </w:tcMar>
          </w:tcPr>
          <w:p>
            <w:pPr>
              <w:keepNext w:val="false"/>
              <w:spacing w:after="0"/>
            </w:pPr>
            <w:r>
              <w:rPr>
                <w:rFonts w:ascii="Calibri" w:cs="Calibri" w:eastAsia="Calibri" w:hAnsi="Calibri"/>
                <w:sz w:val="18"/>
                <w:szCs w:val="18"/>
              </w:rPr>
              <w:t xml:space="preserve">Phase 1 plus the trader mandate and limit register, and — for the P&amp;L measure and the revenue rules — revenue attribution and product control's daily P&amp;L.</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3</w:t>
            </w:r>
          </w:p>
        </w:tc>
        <w:tc>
          <w:tcPr>
            <w:tcW w:type="dxa" w:w="3100"/>
            <w:tcMar>
              <w:top w:type="dxa" w:w="60"/>
              <w:left w:type="dxa" w:w="100"/>
              <w:bottom w:type="dxa" w:w="60"/>
              <w:right w:type="dxa" w:w="100"/>
            </w:tcMar>
          </w:tcPr>
          <w:p>
            <w:pPr>
              <w:keepNext w:val="false"/>
              <w:spacing w:after="0"/>
            </w:pPr>
            <w:r>
              <w:rPr>
                <w:rFonts w:ascii="Calibri" w:cs="Calibri" w:eastAsia="Calibri" w:hAnsi="Calibri"/>
                <w:sz w:val="18"/>
                <w:szCs w:val="18"/>
              </w:rPr>
              <w:t xml:space="preserve">Trade Activity TimeSeries (priority 3)</w:t>
            </w:r>
          </w:p>
        </w:tc>
        <w:tc>
          <w:tcPr>
            <w:tcW w:type="dxa" w:w="2660"/>
            <w:tcMar>
              <w:top w:type="dxa" w:w="60"/>
              <w:left w:type="dxa" w:w="100"/>
              <w:bottom w:type="dxa" w:w="60"/>
              <w:right w:type="dxa" w:w="100"/>
            </w:tcMar>
          </w:tcPr>
          <w:p>
            <w:pPr>
              <w:keepNext w:val="false"/>
              <w:spacing w:after="0"/>
            </w:pPr>
            <w:r>
              <w:rPr>
                <w:rFonts w:ascii="Calibri" w:cs="Calibri" w:eastAsia="Calibri" w:hAnsi="Calibri"/>
                <w:sz w:val="18"/>
                <w:szCs w:val="18"/>
              </w:rPr>
              <w:t xml:space="preserve">Cross-screen linking.</w:t>
            </w:r>
          </w:p>
        </w:tc>
        <w:tc>
          <w:tcPr>
            <w:tcW w:type="dxa" w:w="2900"/>
            <w:tcMar>
              <w:top w:type="dxa" w:w="60"/>
              <w:left w:type="dxa" w:w="100"/>
              <w:bottom w:type="dxa" w:w="60"/>
              <w:right w:type="dxa" w:w="100"/>
            </w:tcMar>
          </w:tcPr>
          <w:p>
            <w:pPr>
              <w:keepNext w:val="false"/>
              <w:spacing w:after="0"/>
            </w:pPr>
            <w:r>
              <w:rPr>
                <w:rFonts w:ascii="Calibri" w:cs="Calibri" w:eastAsia="Calibri" w:hAnsi="Calibri"/>
                <w:sz w:val="18"/>
                <w:szCs w:val="18"/>
              </w:rPr>
              <w:t xml:space="preserve">Phase 2.</w:t>
            </w:r>
          </w:p>
        </w:tc>
      </w:tr>
      <w:tr>
        <w:trPr>
          <w:cantSplit/>
        </w:trPr>
        <w:tc>
          <w:tcPr>
            <w:tcW w:type="dxa" w:w="700"/>
            <w:tcMar>
              <w:top w:type="dxa" w:w="60"/>
              <w:left w:type="dxa" w:w="100"/>
              <w:bottom w:type="dxa" w:w="60"/>
              <w:right w:type="dxa" w:w="100"/>
            </w:tcMar>
          </w:tcPr>
          <w:p>
            <w:pPr>
              <w:keepNext w:val="false"/>
              <w:spacing w:after="0"/>
            </w:pPr>
            <w:r>
              <w:rPr>
                <w:rFonts w:ascii="Calibri" w:cs="Calibri" w:eastAsia="Calibri" w:hAnsi="Calibri"/>
                <w:sz w:val="18"/>
                <w:szCs w:val="18"/>
              </w:rPr>
              <w:t xml:space="preserve">4</w:t>
            </w:r>
          </w:p>
        </w:tc>
        <w:tc>
          <w:tcPr>
            <w:tcW w:type="dxa" w:w="3100"/>
            <w:tcMar>
              <w:top w:type="dxa" w:w="60"/>
              <w:left w:type="dxa" w:w="100"/>
              <w:bottom w:type="dxa" w:w="60"/>
              <w:right w:type="dxa" w:w="100"/>
            </w:tcMar>
          </w:tcPr>
          <w:p>
            <w:pPr>
              <w:keepNext w:val="false"/>
              <w:spacing w:after="0"/>
            </w:pPr>
            <w:r>
              <w:rPr>
                <w:rFonts w:ascii="Calibri" w:cs="Calibri" w:eastAsia="Calibri" w:hAnsi="Calibri"/>
                <w:sz w:val="18"/>
                <w:szCs w:val="18"/>
              </w:rPr>
              <w:t xml:space="preserve">None — existing screens gain rules</w:t>
            </w:r>
          </w:p>
        </w:tc>
        <w:tc>
          <w:tcPr>
            <w:tcW w:type="dxa" w:w="2660"/>
            <w:tcMar>
              <w:top w:type="dxa" w:w="60"/>
              <w:left w:type="dxa" w:w="100"/>
              <w:bottom w:type="dxa" w:w="60"/>
              <w:right w:type="dxa" w:w="100"/>
            </w:tcMar>
          </w:tcPr>
          <w:p>
            <w:pPr>
              <w:keepNext w:val="false"/>
              <w:spacing w:after="0"/>
            </w:pPr>
            <w:r>
              <w:rPr>
                <w:rFonts w:ascii="Calibri" w:cs="Calibri" w:eastAsia="Calibri" w:hAnsi="Calibri"/>
                <w:sz w:val="18"/>
                <w:szCs w:val="18"/>
              </w:rPr>
              <w:t xml:space="preserve">Order-book, settlement and control-room rule categories.</w:t>
            </w:r>
          </w:p>
        </w:tc>
        <w:tc>
          <w:tcPr>
            <w:tcW w:type="dxa" w:w="2900"/>
            <w:tcMar>
              <w:top w:type="dxa" w:w="60"/>
              <w:left w:type="dxa" w:w="100"/>
              <w:bottom w:type="dxa" w:w="60"/>
              <w:right w:type="dxa" w:w="100"/>
            </w:tcMar>
          </w:tcPr>
          <w:p>
            <w:pPr>
              <w:keepNext w:val="false"/>
              <w:spacing w:after="0"/>
            </w:pPr>
            <w:r>
              <w:rPr>
                <w:rFonts w:ascii="Calibri" w:cs="Calibri" w:eastAsia="Calibri" w:hAnsi="Calibri"/>
                <w:sz w:val="18"/>
                <w:szCs w:val="18"/>
              </w:rPr>
              <w:t xml:space="preserve">OMS, settlement and control-room feeds.</w:t>
            </w:r>
          </w:p>
        </w:tc>
      </w:tr>
    </w:tbl>
    <w:p>
      <w:pPr>
        <w:pBdr>
          <w:top w:val="single" w:color="1F3864" w:sz="6"/>
        </w:pBdr>
        <w:spacing w:before="400"/>
      </w:pPr>
    </w:p>
    <w:p>
      <w:pPr>
        <w:spacing w:after="120" w:before="0"/>
      </w:pPr>
      <w:r>
        <w:rPr>
          <w:rFonts w:ascii="Calibri" w:cs="Calibri" w:eastAsia="Calibri" w:hAnsi="Calibri"/>
          <w:i/>
          <w:iCs/>
          <w:color w:val="66708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8A2B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8A2B3"/>
        <w:sz w:val="16"/>
        <w:szCs w:val="16"/>
      </w:rPr>
      <w:t xml:space="preserve">Trade Monitoring — BRD and Development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Monitoring — Business Requirements and Development Specification</dc:title>
  <dc:creator>Trade Compliance</dc:creator>
  <dc:description>Development specification for building the Trade Monitoring surveillance system</dc:description>
  <cp:lastModifiedBy>Un-named</cp:lastModifiedBy>
  <cp:revision>1</cp:revision>
  <dcterms:created xsi:type="dcterms:W3CDTF">2026-10-15T14:14:59.799Z</dcterms:created>
  <dcterms:modified xsi:type="dcterms:W3CDTF">2026-10-15T14:14:59.800Z</dcterms:modified>
</cp:coreProperties>
</file>

<file path=docProps/custom.xml><?xml version="1.0" encoding="utf-8"?>
<Properties xmlns="http://schemas.openxmlformats.org/officeDocument/2006/custom-properties" xmlns:vt="http://schemas.openxmlformats.org/officeDocument/2006/docPropsVTypes"/>
</file>