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4B8F8" w14:textId="1B1D1C97" w:rsidR="00476F58" w:rsidRPr="00E96C8D" w:rsidRDefault="006E7DF3" w:rsidP="00476F58">
      <w:pPr>
        <w:pStyle w:val="NormalWeb"/>
        <w:jc w:val="thaiDistribute"/>
        <w:rPr>
          <w:rFonts w:ascii="Browallia New" w:hAnsi="Browallia New" w:cs="Browallia New"/>
          <w:b/>
          <w:bCs/>
          <w:sz w:val="28"/>
          <w:szCs w:val="28"/>
          <w:lang w:bidi="th-TH"/>
        </w:rPr>
      </w:pPr>
      <w:r w:rsidRPr="001F6588">
        <w:rPr>
          <w:rStyle w:val="Strong"/>
          <w:rFonts w:ascii="Browallia New" w:eastAsiaTheme="majorEastAsia" w:hAnsi="Browallia New" w:cs="Browallia New"/>
          <w:sz w:val="28"/>
          <w:szCs w:val="28"/>
        </w:rPr>
        <w:t>Title:</w:t>
      </w:r>
      <w:r w:rsidRPr="001F6588">
        <w:rPr>
          <w:rFonts w:ascii="Browallia New" w:hAnsi="Browallia New" w:cs="Browallia New"/>
          <w:b/>
          <w:bCs/>
          <w:sz w:val="28"/>
          <w:szCs w:val="28"/>
        </w:rPr>
        <w:t xml:space="preserve"> Educational Inequality and Its Implications for Human Capital, Youth Development, and Labor Market</w:t>
      </w:r>
      <w:r w:rsidRPr="00E96C8D">
        <w:rPr>
          <w:rFonts w:ascii="Browallia New" w:hAnsi="Browallia New" w:cs="Browallia New"/>
          <w:b/>
          <w:bCs/>
          <w:sz w:val="28"/>
          <w:szCs w:val="28"/>
        </w:rPr>
        <w:t xml:space="preserve"> Integration: A Comparative Analysis of Thailand and Selected Asian Countries</w:t>
      </w:r>
      <w:r w:rsidR="00476F58">
        <w:rPr>
          <w:rFonts w:ascii="Browallia New" w:hAnsi="Browallia New" w:cs="Browallia New"/>
          <w:b/>
          <w:bCs/>
          <w:sz w:val="28"/>
          <w:szCs w:val="28"/>
          <w:cs/>
          <w:lang w:bidi="th-TH"/>
        </w:rPr>
        <w:tab/>
      </w:r>
      <w:r w:rsidR="00476F58">
        <w:rPr>
          <w:rFonts w:ascii="Browallia New" w:hAnsi="Browallia New" w:cs="Browallia New"/>
          <w:b/>
          <w:bCs/>
          <w:sz w:val="28"/>
          <w:szCs w:val="28"/>
          <w:cs/>
          <w:lang w:bidi="th-TH"/>
        </w:rPr>
        <w:tab/>
      </w:r>
      <w:r w:rsidR="00476F58">
        <w:rPr>
          <w:rFonts w:ascii="Browallia New" w:hAnsi="Browallia New" w:cs="Browallia New"/>
          <w:b/>
          <w:bCs/>
          <w:sz w:val="28"/>
          <w:szCs w:val="28"/>
          <w:cs/>
          <w:lang w:bidi="th-TH"/>
        </w:rPr>
        <w:tab/>
      </w:r>
      <w:r w:rsidR="00476F58">
        <w:rPr>
          <w:rFonts w:ascii="Browallia New" w:hAnsi="Browallia New" w:cs="Browallia New"/>
          <w:b/>
          <w:bCs/>
          <w:sz w:val="28"/>
          <w:szCs w:val="28"/>
          <w:cs/>
          <w:lang w:bidi="th-TH"/>
        </w:rPr>
        <w:tab/>
      </w:r>
      <w:r w:rsidR="00476F58">
        <w:rPr>
          <w:rFonts w:ascii="Browallia New" w:hAnsi="Browallia New" w:cs="Browallia New"/>
          <w:b/>
          <w:bCs/>
          <w:sz w:val="28"/>
          <w:szCs w:val="28"/>
          <w:cs/>
          <w:lang w:bidi="th-TH"/>
        </w:rPr>
        <w:tab/>
      </w:r>
      <w:r w:rsidR="00476F58">
        <w:rPr>
          <w:rFonts w:ascii="Browallia New" w:hAnsi="Browallia New" w:cs="Browallia New"/>
          <w:b/>
          <w:bCs/>
          <w:sz w:val="28"/>
          <w:szCs w:val="28"/>
          <w:cs/>
          <w:lang w:bidi="th-TH"/>
        </w:rPr>
        <w:tab/>
      </w:r>
      <w:r w:rsidR="00476F58">
        <w:rPr>
          <w:rFonts w:ascii="Browallia New" w:hAnsi="Browallia New" w:cs="Browallia New"/>
          <w:b/>
          <w:bCs/>
          <w:sz w:val="28"/>
          <w:szCs w:val="28"/>
          <w:cs/>
          <w:lang w:bidi="th-TH"/>
        </w:rPr>
        <w:tab/>
      </w:r>
      <w:r w:rsidR="00476F58">
        <w:rPr>
          <w:rFonts w:ascii="Browallia New" w:hAnsi="Browallia New" w:cs="Browallia New"/>
          <w:b/>
          <w:bCs/>
          <w:sz w:val="28"/>
          <w:szCs w:val="28"/>
          <w:cs/>
          <w:lang w:bidi="th-TH"/>
        </w:rPr>
        <w:tab/>
      </w:r>
    </w:p>
    <w:p w14:paraId="5D896B5B" w14:textId="77777777" w:rsidR="006E7DF3" w:rsidRPr="00E96C8D" w:rsidRDefault="006E7DF3" w:rsidP="000C04A5">
      <w:pPr>
        <w:pStyle w:val="NormalWeb"/>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Chapter 1: Context and Problem Statement</w:t>
      </w:r>
    </w:p>
    <w:p w14:paraId="7BE860D7" w14:textId="0DEC210D" w:rsidR="006E7DF3" w:rsidRPr="00E96C8D" w:rsidRDefault="006E7DF3" w:rsidP="000C04A5">
      <w:pPr>
        <w:pStyle w:val="NormalWeb"/>
        <w:jc w:val="thaiDistribute"/>
        <w:rPr>
          <w:rFonts w:ascii="Browallia New" w:hAnsi="Browallia New" w:cs="Browallia New"/>
          <w:sz w:val="28"/>
          <w:szCs w:val="28"/>
        </w:rPr>
      </w:pPr>
      <w:r w:rsidRPr="00E96C8D">
        <w:rPr>
          <w:rFonts w:ascii="Browallia New" w:hAnsi="Browallia New" w:cs="Browallia New"/>
          <w:sz w:val="28"/>
          <w:szCs w:val="28"/>
        </w:rPr>
        <w:t>In recent years, the global landscape has been marked by multifaceted crises</w:t>
      </w:r>
      <w:r w:rsidR="008B27C1">
        <w:rPr>
          <w:rFonts w:ascii="Browallia New" w:hAnsi="Browallia New" w:cs="Browallia New" w:hint="cs"/>
          <w:sz w:val="28"/>
          <w:szCs w:val="28"/>
          <w:cs/>
          <w:lang w:bidi="th-TH"/>
        </w:rPr>
        <w:t xml:space="preserve"> </w:t>
      </w:r>
      <w:r w:rsidRPr="00E96C8D">
        <w:rPr>
          <w:rFonts w:ascii="Browallia New" w:hAnsi="Browallia New" w:cs="Browallia New"/>
          <w:sz w:val="28"/>
          <w:szCs w:val="28"/>
        </w:rPr>
        <w:t>including the COVID-19 pandemic, global economic downturns, and increasing social fragility</w:t>
      </w:r>
      <w:r w:rsidR="008B27C1">
        <w:rPr>
          <w:rFonts w:ascii="Browallia New" w:hAnsi="Browallia New" w:cs="Browallia New" w:hint="cs"/>
          <w:sz w:val="28"/>
          <w:szCs w:val="28"/>
          <w:cs/>
          <w:lang w:bidi="th-TH"/>
        </w:rPr>
        <w:t xml:space="preserve"> </w:t>
      </w:r>
      <w:r w:rsidRPr="00E96C8D">
        <w:rPr>
          <w:rFonts w:ascii="Browallia New" w:hAnsi="Browallia New" w:cs="Browallia New"/>
          <w:sz w:val="28"/>
          <w:szCs w:val="28"/>
        </w:rPr>
        <w:t xml:space="preserve">which have profoundly disrupted educational systems and impeded human capital development, particularly among youth transitioning from school to work. One alarming consequence has been the growing number of </w:t>
      </w:r>
      <w:r w:rsidR="006D3FCF" w:rsidRPr="00E96C8D">
        <w:rPr>
          <w:rFonts w:ascii="Browallia New" w:hAnsi="Browallia New" w:cs="Browallia New"/>
          <w:sz w:val="28"/>
          <w:szCs w:val="28"/>
        </w:rPr>
        <w:t>youths</w:t>
      </w:r>
      <w:r w:rsidRPr="00E96C8D">
        <w:rPr>
          <w:rFonts w:ascii="Browallia New" w:hAnsi="Browallia New" w:cs="Browallia New"/>
          <w:sz w:val="28"/>
          <w:szCs w:val="28"/>
        </w:rPr>
        <w:t xml:space="preserve"> categorized as NEET (Not in Education, Employment, or Training), signaling systemic failures in equipping young individuals with skills and equitable opportunities to integrate into labor markets and broader society.</w:t>
      </w:r>
    </w:p>
    <w:p w14:paraId="1CD80FB2" w14:textId="77777777" w:rsidR="006E7DF3" w:rsidRPr="00E96C8D" w:rsidRDefault="006E7DF3" w:rsidP="000C04A5">
      <w:pPr>
        <w:pStyle w:val="NormalWeb"/>
        <w:jc w:val="thaiDistribute"/>
        <w:rPr>
          <w:rFonts w:ascii="Browallia New" w:hAnsi="Browallia New" w:cs="Browallia New"/>
          <w:sz w:val="28"/>
          <w:szCs w:val="28"/>
        </w:rPr>
      </w:pPr>
      <w:r w:rsidRPr="00E96C8D">
        <w:rPr>
          <w:rFonts w:ascii="Browallia New" w:hAnsi="Browallia New" w:cs="Browallia New"/>
          <w:sz w:val="28"/>
          <w:szCs w:val="28"/>
        </w:rPr>
        <w:t>A core structural issue underpinning this phenomenon is the “Lack of Education,” which stems from the intersection of individual exclusion and systemic barriers. Socio-cultural disparities, inflexible curricula, and a mismatch between educational outputs and labor market demands further exacerbate social and economic inequality. These factors perpetuate a cycle of poverty and exclusion, particularly in geographically or socially marginalized areas.</w:t>
      </w:r>
    </w:p>
    <w:p w14:paraId="27DECF3F" w14:textId="77777777" w:rsidR="006E7DF3" w:rsidRPr="00E96C8D" w:rsidRDefault="006E7DF3" w:rsidP="000C04A5">
      <w:pPr>
        <w:pStyle w:val="NormalWeb"/>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Global and Regional Dimensions</w:t>
      </w:r>
    </w:p>
    <w:p w14:paraId="29C1647A" w14:textId="77777777" w:rsidR="006E7DF3" w:rsidRPr="00E96C8D" w:rsidRDefault="006E7DF3" w:rsidP="000C04A5">
      <w:pPr>
        <w:pStyle w:val="NormalWeb"/>
        <w:jc w:val="thaiDistribute"/>
        <w:rPr>
          <w:rFonts w:ascii="Browallia New" w:hAnsi="Browallia New" w:cs="Browallia New"/>
          <w:sz w:val="28"/>
          <w:szCs w:val="28"/>
        </w:rPr>
      </w:pPr>
      <w:r w:rsidRPr="00E96C8D">
        <w:rPr>
          <w:rFonts w:ascii="Browallia New" w:hAnsi="Browallia New" w:cs="Browallia New"/>
          <w:sz w:val="28"/>
          <w:szCs w:val="28"/>
        </w:rPr>
        <w:t>Globally, the growing prevalence of educational exclusion threatens future workforce capacity, economic competitiveness, and social cohesion. In the Asian context—particularly among developing nations such as the Philippines, Vietnam, Indonesia, and Thailand—education and skills gaps are becoming more pronounced. Education systems in these countries remain heavily reliant on rote learning and fail to integrate vocational, digital, and soft skills required by rapidly evolving labor markets. For example, nearly 20% of youth in Indonesia remain excluded from the education system (ILO, 2023), underscoring the breakdown in school-to-work transitions.</w:t>
      </w:r>
    </w:p>
    <w:p w14:paraId="7B3865D2" w14:textId="3DC23613" w:rsidR="006E7DF3" w:rsidRPr="00E96C8D" w:rsidRDefault="006E7DF3" w:rsidP="000C04A5">
      <w:pPr>
        <w:pStyle w:val="NormalWeb"/>
        <w:jc w:val="thaiDistribute"/>
        <w:rPr>
          <w:rFonts w:ascii="Browallia New" w:hAnsi="Browallia New" w:cs="Browallia New"/>
          <w:sz w:val="28"/>
          <w:szCs w:val="28"/>
        </w:rPr>
      </w:pPr>
      <w:r w:rsidRPr="00E96C8D">
        <w:rPr>
          <w:rFonts w:ascii="Browallia New" w:hAnsi="Browallia New" w:cs="Browallia New"/>
          <w:sz w:val="28"/>
          <w:szCs w:val="28"/>
        </w:rPr>
        <w:t xml:space="preserve">Moreover, structural transformations in rapidly developing economies, such as China, reveal that large segments of the youth workforce lack digital and soft skills necessary for the modern industry. Spatial inequality—such as digital infrastructure deficits in rural areas and the urban concentration of education-labor linkages—further </w:t>
      </w:r>
      <w:r w:rsidR="00B344D1" w:rsidRPr="00E96C8D">
        <w:rPr>
          <w:rFonts w:ascii="Browallia New" w:hAnsi="Browallia New" w:cs="Browallia New"/>
          <w:sz w:val="28"/>
          <w:szCs w:val="28"/>
        </w:rPr>
        <w:t>limit</w:t>
      </w:r>
      <w:r w:rsidRPr="00E96C8D">
        <w:rPr>
          <w:rFonts w:ascii="Browallia New" w:hAnsi="Browallia New" w:cs="Browallia New"/>
          <w:sz w:val="28"/>
          <w:szCs w:val="28"/>
        </w:rPr>
        <w:t xml:space="preserve"> educational access and reinforces structural exclusion, particularly for marginalized youth populations.</w:t>
      </w:r>
    </w:p>
    <w:p w14:paraId="3DA730C3" w14:textId="77777777" w:rsidR="006E7DF3" w:rsidRPr="00E96C8D" w:rsidRDefault="006E7DF3" w:rsidP="000C04A5">
      <w:pPr>
        <w:pStyle w:val="NormalWeb"/>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The Thai Context</w:t>
      </w:r>
    </w:p>
    <w:p w14:paraId="52066BE6" w14:textId="77777777" w:rsidR="006E7DF3" w:rsidRPr="00E96C8D" w:rsidRDefault="006E7DF3" w:rsidP="000C04A5">
      <w:pPr>
        <w:pStyle w:val="NormalWeb"/>
        <w:jc w:val="thaiDistribute"/>
        <w:rPr>
          <w:rFonts w:ascii="Browallia New" w:hAnsi="Browallia New" w:cs="Browallia New"/>
          <w:sz w:val="28"/>
          <w:szCs w:val="28"/>
        </w:rPr>
      </w:pPr>
      <w:r w:rsidRPr="00E96C8D">
        <w:rPr>
          <w:rFonts w:ascii="Browallia New" w:hAnsi="Browallia New" w:cs="Browallia New"/>
          <w:sz w:val="28"/>
          <w:szCs w:val="28"/>
        </w:rPr>
        <w:t xml:space="preserve">Thailand faces similar structural challenges, especially among youth from low-income, migrant, and peripheral households who often drop out of the education system due to socioeconomic pressures. These “missed” populations face long-term barriers to labor market preparedness and potential. Without a flexible, equitable, and labor-market-aligned education system, Thailand risks forfeiting its 21st-century human capital advantage and </w:t>
      </w:r>
      <w:r w:rsidRPr="00E96C8D">
        <w:rPr>
          <w:rFonts w:ascii="Browallia New" w:hAnsi="Browallia New" w:cs="Browallia New"/>
          <w:sz w:val="28"/>
          <w:szCs w:val="28"/>
        </w:rPr>
        <w:lastRenderedPageBreak/>
        <w:t>economic competitiveness. The situation exemplifies broader systemic failures in education and labor integration across Asia, and undermines the attainment of several Sustainable Development Goals (SDGs), notably:</w:t>
      </w:r>
    </w:p>
    <w:p w14:paraId="5B664632" w14:textId="77777777" w:rsidR="006E7DF3" w:rsidRPr="00E96C8D" w:rsidRDefault="006E7DF3" w:rsidP="000C04A5">
      <w:pPr>
        <w:pStyle w:val="NormalWeb"/>
        <w:numPr>
          <w:ilvl w:val="0"/>
          <w:numId w:val="1"/>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SDG 1</w:t>
      </w:r>
      <w:r w:rsidRPr="00E96C8D">
        <w:rPr>
          <w:rFonts w:ascii="Browallia New" w:hAnsi="Browallia New" w:cs="Browallia New"/>
          <w:sz w:val="28"/>
          <w:szCs w:val="28"/>
        </w:rPr>
        <w:t>: Youth NEETs are at high risk of chronic poverty and intergenerational transmission of deprivation.</w:t>
      </w:r>
    </w:p>
    <w:p w14:paraId="7D9FDEBA" w14:textId="77777777" w:rsidR="006E7DF3" w:rsidRPr="00E96C8D" w:rsidRDefault="006E7DF3" w:rsidP="000C04A5">
      <w:pPr>
        <w:pStyle w:val="NormalWeb"/>
        <w:numPr>
          <w:ilvl w:val="0"/>
          <w:numId w:val="1"/>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SDG 4</w:t>
      </w:r>
      <w:r w:rsidRPr="00E96C8D">
        <w:rPr>
          <w:rFonts w:ascii="Browallia New" w:hAnsi="Browallia New" w:cs="Browallia New"/>
          <w:sz w:val="28"/>
          <w:szCs w:val="28"/>
        </w:rPr>
        <w:t>: Current education systems lack inclusivity and relevance to 21st-century skill demands.</w:t>
      </w:r>
    </w:p>
    <w:p w14:paraId="79307B5B" w14:textId="77777777" w:rsidR="006E7DF3" w:rsidRPr="00E96C8D" w:rsidRDefault="006E7DF3" w:rsidP="000C04A5">
      <w:pPr>
        <w:pStyle w:val="NormalWeb"/>
        <w:numPr>
          <w:ilvl w:val="0"/>
          <w:numId w:val="1"/>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SDG 5</w:t>
      </w:r>
      <w:r w:rsidRPr="00E96C8D">
        <w:rPr>
          <w:rFonts w:ascii="Browallia New" w:hAnsi="Browallia New" w:cs="Browallia New"/>
          <w:sz w:val="28"/>
          <w:szCs w:val="28"/>
        </w:rPr>
        <w:t>: Gender disparities persist, particularly in countries where women seek education as a path away from early marriage or economic dependency.</w:t>
      </w:r>
    </w:p>
    <w:p w14:paraId="53F94094" w14:textId="77777777" w:rsidR="006E7DF3" w:rsidRPr="00E96C8D" w:rsidRDefault="006E7DF3" w:rsidP="000C04A5">
      <w:pPr>
        <w:pStyle w:val="NormalWeb"/>
        <w:numPr>
          <w:ilvl w:val="0"/>
          <w:numId w:val="1"/>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SDG 8</w:t>
      </w:r>
      <w:r w:rsidRPr="00E96C8D">
        <w:rPr>
          <w:rFonts w:ascii="Browallia New" w:hAnsi="Browallia New" w:cs="Browallia New"/>
          <w:sz w:val="28"/>
          <w:szCs w:val="28"/>
        </w:rPr>
        <w:t>: Weak school-to-work mechanisms hinder youth access to quality employment.</w:t>
      </w:r>
    </w:p>
    <w:p w14:paraId="1C2F449C" w14:textId="77777777" w:rsidR="006E7DF3" w:rsidRPr="00E96C8D" w:rsidRDefault="006E7DF3" w:rsidP="000C04A5">
      <w:pPr>
        <w:pStyle w:val="NormalWeb"/>
        <w:numPr>
          <w:ilvl w:val="0"/>
          <w:numId w:val="1"/>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SDG 10</w:t>
      </w:r>
      <w:r w:rsidRPr="00E96C8D">
        <w:rPr>
          <w:rFonts w:ascii="Browallia New" w:hAnsi="Browallia New" w:cs="Browallia New"/>
          <w:sz w:val="28"/>
          <w:szCs w:val="28"/>
        </w:rPr>
        <w:t>: Urban-rural and vulnerable group disparities undermine equitable access to education and employment.</w:t>
      </w:r>
    </w:p>
    <w:p w14:paraId="5C67DC27" w14:textId="77777777" w:rsidR="006E7DF3" w:rsidRPr="00E96C8D" w:rsidRDefault="006E7DF3" w:rsidP="000C04A5">
      <w:pPr>
        <w:pStyle w:val="NormalWeb"/>
        <w:numPr>
          <w:ilvl w:val="0"/>
          <w:numId w:val="1"/>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SDG 17</w:t>
      </w:r>
      <w:r w:rsidRPr="00E96C8D">
        <w:rPr>
          <w:rFonts w:ascii="Browallia New" w:hAnsi="Browallia New" w:cs="Browallia New"/>
          <w:sz w:val="28"/>
          <w:szCs w:val="28"/>
        </w:rPr>
        <w:t>: Addressing these issues requires multisectoral coordination among government, private sector, academia, and civil society.</w:t>
      </w:r>
    </w:p>
    <w:p w14:paraId="1775A8F3" w14:textId="77777777" w:rsidR="006E7DF3" w:rsidRPr="00E96C8D" w:rsidRDefault="006E7DF3" w:rsidP="000C04A5">
      <w:pPr>
        <w:pStyle w:val="NormalWeb"/>
        <w:jc w:val="thaiDistribute"/>
        <w:rPr>
          <w:rFonts w:ascii="Browallia New" w:hAnsi="Browallia New" w:cs="Browallia New"/>
          <w:sz w:val="28"/>
          <w:szCs w:val="28"/>
        </w:rPr>
      </w:pPr>
      <w:r w:rsidRPr="00E96C8D">
        <w:rPr>
          <w:rFonts w:ascii="Browallia New" w:hAnsi="Browallia New" w:cs="Browallia New"/>
          <w:sz w:val="28"/>
          <w:szCs w:val="28"/>
        </w:rPr>
        <w:t>This study therefore focuses on identifying the structural origins of educational exclusion as a critical challenge requiring urgent redress. It advocates for an inclusive ecosystem promoting lifelong learning, decent employment, and comprehensive human development.</w:t>
      </w:r>
    </w:p>
    <w:p w14:paraId="17DF3185" w14:textId="77777777" w:rsidR="006E7DF3" w:rsidRPr="00E96C8D" w:rsidRDefault="006E7DF3" w:rsidP="000C04A5">
      <w:pPr>
        <w:pStyle w:val="NormalWeb"/>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Theoretical Framework</w:t>
      </w:r>
    </w:p>
    <w:p w14:paraId="687B7A7B" w14:textId="77777777" w:rsidR="006E7DF3" w:rsidRPr="00E96C8D" w:rsidRDefault="006E7DF3" w:rsidP="000C04A5">
      <w:pPr>
        <w:pStyle w:val="NormalWeb"/>
        <w:jc w:val="thaiDistribute"/>
        <w:rPr>
          <w:rFonts w:ascii="Browallia New" w:hAnsi="Browallia New" w:cs="Browallia New"/>
          <w:sz w:val="28"/>
          <w:szCs w:val="28"/>
        </w:rPr>
      </w:pPr>
      <w:r w:rsidRPr="00E96C8D">
        <w:rPr>
          <w:rFonts w:ascii="Browallia New" w:hAnsi="Browallia New" w:cs="Browallia New"/>
          <w:sz w:val="28"/>
          <w:szCs w:val="28"/>
        </w:rPr>
        <w:t>This study is informed by five major theoretical frameworks:</w:t>
      </w:r>
    </w:p>
    <w:p w14:paraId="64169F3E" w14:textId="77777777" w:rsidR="006E7DF3" w:rsidRPr="00E96C8D" w:rsidRDefault="006E7DF3" w:rsidP="000C04A5">
      <w:pPr>
        <w:pStyle w:val="NormalWeb"/>
        <w:numPr>
          <w:ilvl w:val="0"/>
          <w:numId w:val="2"/>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Human Capital Theory (Becker, 1993)</w:t>
      </w:r>
      <w:r w:rsidRPr="00E96C8D">
        <w:rPr>
          <w:rFonts w:ascii="Browallia New" w:hAnsi="Browallia New" w:cs="Browallia New"/>
          <w:sz w:val="28"/>
          <w:szCs w:val="28"/>
        </w:rPr>
        <w:t xml:space="preserve"> – Education is an investment in human capital; lack of education equates to future economic loss.</w:t>
      </w:r>
    </w:p>
    <w:p w14:paraId="52E7F034" w14:textId="77777777" w:rsidR="006E7DF3" w:rsidRPr="00E96C8D" w:rsidRDefault="006E7DF3" w:rsidP="000C04A5">
      <w:pPr>
        <w:pStyle w:val="NormalWeb"/>
        <w:numPr>
          <w:ilvl w:val="0"/>
          <w:numId w:val="2"/>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Mismatch Theory (McGuinness, 2006)</w:t>
      </w:r>
      <w:r w:rsidRPr="00E96C8D">
        <w:rPr>
          <w:rFonts w:ascii="Browallia New" w:hAnsi="Browallia New" w:cs="Browallia New"/>
          <w:sz w:val="28"/>
          <w:szCs w:val="28"/>
        </w:rPr>
        <w:t xml:space="preserve"> – Misalignment between education system outputs and labor market demands.</w:t>
      </w:r>
    </w:p>
    <w:p w14:paraId="26F6DD33" w14:textId="77777777" w:rsidR="006E7DF3" w:rsidRPr="00E96C8D" w:rsidRDefault="006E7DF3" w:rsidP="000C04A5">
      <w:pPr>
        <w:pStyle w:val="NormalWeb"/>
        <w:numPr>
          <w:ilvl w:val="0"/>
          <w:numId w:val="2"/>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Structural Inequality Theory (Bowles &amp; Gintis, 1976)</w:t>
      </w:r>
      <w:r w:rsidRPr="00E96C8D">
        <w:rPr>
          <w:rFonts w:ascii="Browallia New" w:hAnsi="Browallia New" w:cs="Browallia New"/>
          <w:sz w:val="28"/>
          <w:szCs w:val="28"/>
        </w:rPr>
        <w:t xml:space="preserve"> – Structural barriers within education and society exclude vulnerable populations.</w:t>
      </w:r>
    </w:p>
    <w:p w14:paraId="6790ACFD" w14:textId="77777777" w:rsidR="006E7DF3" w:rsidRPr="00E96C8D" w:rsidRDefault="006E7DF3" w:rsidP="000C04A5">
      <w:pPr>
        <w:pStyle w:val="NormalWeb"/>
        <w:numPr>
          <w:ilvl w:val="0"/>
          <w:numId w:val="2"/>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Capability Approach (Sen, 1999)</w:t>
      </w:r>
      <w:r w:rsidRPr="00E96C8D">
        <w:rPr>
          <w:rFonts w:ascii="Browallia New" w:hAnsi="Browallia New" w:cs="Browallia New"/>
          <w:sz w:val="28"/>
          <w:szCs w:val="28"/>
        </w:rPr>
        <w:t xml:space="preserve"> – Youth facing educational exclusion lack the freedom to shape their futures, undermining human dignity.</w:t>
      </w:r>
    </w:p>
    <w:p w14:paraId="34496058" w14:textId="77777777" w:rsidR="006E7DF3" w:rsidRPr="00E96C8D" w:rsidRDefault="006E7DF3" w:rsidP="000C04A5">
      <w:pPr>
        <w:pStyle w:val="NormalWeb"/>
        <w:numPr>
          <w:ilvl w:val="0"/>
          <w:numId w:val="2"/>
        </w:numPr>
        <w:jc w:val="thaiDistribute"/>
        <w:rPr>
          <w:rFonts w:ascii="Browallia New" w:hAnsi="Browallia New" w:cs="Browallia New"/>
          <w:sz w:val="28"/>
          <w:szCs w:val="28"/>
        </w:rPr>
      </w:pPr>
      <w:r w:rsidRPr="00E96C8D">
        <w:rPr>
          <w:rStyle w:val="Strong"/>
          <w:rFonts w:ascii="Browallia New" w:eastAsiaTheme="majorEastAsia" w:hAnsi="Browallia New" w:cs="Browallia New"/>
          <w:sz w:val="28"/>
          <w:szCs w:val="28"/>
        </w:rPr>
        <w:t>Transition Theory (Walther, 2006)</w:t>
      </w:r>
      <w:r w:rsidRPr="00E96C8D">
        <w:rPr>
          <w:rFonts w:ascii="Browallia New" w:hAnsi="Browallia New" w:cs="Browallia New"/>
          <w:sz w:val="28"/>
          <w:szCs w:val="28"/>
        </w:rPr>
        <w:t xml:space="preserve"> – Absence of transitional mechanisms (e.g., counseling, internships, employer partnerships) impedes school-to-work pathways.</w:t>
      </w:r>
    </w:p>
    <w:p w14:paraId="23086E83" w14:textId="77777777" w:rsidR="00E96C8D" w:rsidRPr="00E96C8D" w:rsidRDefault="00E96C8D" w:rsidP="00E96C8D">
      <w:pPr>
        <w:spacing w:before="100" w:beforeAutospacing="1" w:after="100" w:afterAutospacing="1" w:line="240" w:lineRule="auto"/>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Chapter 2: Root Causes of Educational Exclusion and National-Level Challenges</w:t>
      </w:r>
    </w:p>
    <w:p w14:paraId="15845D5A" w14:textId="2BCA4073" w:rsidR="00E96C8D" w:rsidRPr="00E96C8D" w:rsidRDefault="00E96C8D" w:rsidP="00E90E11">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This chapter explores the underlying causes of educational exclusion “Lack of Education” </w:t>
      </w:r>
      <w:r w:rsidR="00F62212" w:rsidRPr="00F62212">
        <w:rPr>
          <w:rFonts w:ascii="Browallia New" w:eastAsia="Times New Roman" w:hAnsi="Browallia New" w:cs="Browallia New"/>
          <w:kern w:val="0"/>
          <w:sz w:val="28"/>
          <w:szCs w:val="28"/>
          <w14:ligatures w14:val="none"/>
        </w:rPr>
        <w:t>by analyzing country-level challenges in eight countries from 2020 to 2022 using a purposive sampling approach</w:t>
      </w:r>
      <w:r w:rsidRPr="00E96C8D">
        <w:rPr>
          <w:rFonts w:ascii="Browallia New" w:eastAsia="Times New Roman" w:hAnsi="Browallia New" w:cs="Browallia New"/>
          <w:kern w:val="0"/>
          <w:sz w:val="28"/>
          <w:szCs w:val="28"/>
          <w14:ligatures w14:val="none"/>
        </w:rPr>
        <w:t xml:space="preserve">: Lebanon, Iraq, Bangladesh, China, Nepal, Pakistan, the Syrian Arab Republic, and Thailand. The data, derived from the UNHCR </w:t>
      </w:r>
      <w:r w:rsidRPr="00E96C8D">
        <w:rPr>
          <w:rFonts w:ascii="Browallia New" w:eastAsia="Times New Roman" w:hAnsi="Browallia New" w:cs="Browallia New"/>
          <w:kern w:val="0"/>
          <w:sz w:val="28"/>
          <w:szCs w:val="28"/>
          <w14:ligatures w14:val="none"/>
        </w:rPr>
        <w:lastRenderedPageBreak/>
        <w:t>DATATHRON dataset</w:t>
      </w:r>
      <w:r w:rsidR="009D2934">
        <w:rPr>
          <w:rFonts w:ascii="Browallia New" w:eastAsia="Times New Roman" w:hAnsi="Browallia New" w:cs="Browallia New"/>
          <w:kern w:val="0"/>
          <w:sz w:val="28"/>
          <w:szCs w:val="28"/>
          <w14:ligatures w14:val="none"/>
        </w:rPr>
        <w:t xml:space="preserve"> </w:t>
      </w:r>
      <w:r w:rsidR="009D2934" w:rsidRPr="009D2934">
        <w:rPr>
          <w:rFonts w:ascii="Browallia New" w:eastAsia="Times New Roman" w:hAnsi="Browallia New" w:cs="Browallia New"/>
          <w:kern w:val="0"/>
          <w:sz w:val="28"/>
          <w:szCs w:val="28"/>
          <w14:ligatures w14:val="none"/>
        </w:rPr>
        <w:fldChar w:fldCharType="begin"/>
      </w:r>
      <w:r w:rsidR="009D2934" w:rsidRPr="009D2934">
        <w:rPr>
          <w:rFonts w:ascii="Browallia New" w:eastAsia="Times New Roman" w:hAnsi="Browallia New" w:cs="Browallia New"/>
          <w:kern w:val="0"/>
          <w:sz w:val="28"/>
          <w:szCs w:val="28"/>
          <w14:ligatures w14:val="none"/>
        </w:rPr>
        <w:instrText xml:space="preserve"> ADDIN EN.CITE &lt;EndNote&gt;&lt;Cite&gt;&lt;Year&gt;2025&lt;/Year&gt;&lt;RecNum&gt;230&lt;/RecNum&gt;&lt;DisplayText&gt;(&lt;style face="italic"&gt;The UNHCR DATATHRON dataset &lt;/style&gt;2025)&lt;/DisplayText&gt;&lt;record&gt;&lt;rec-number&gt;230&lt;/rec-number&gt;&lt;foreign-keys&gt;&lt;key app="EN" db-id="pfxwrxrfzfed96ef9t359rfa92f2pezwz5a5" timestamp="1746030311"&gt;230&lt;/key&gt;&lt;/foreign-keys&gt;&lt;ref-type name="Dataset"&gt;59&lt;/ref-type&gt;&lt;contributors&gt;&lt;/contributors&gt;&lt;auth-address&gt;the UNHCR DATATHRON dataset &lt;/auth-address&gt;&lt;titles&gt;&lt;title&gt;The UNHCR DATATHRON dataset &lt;/title&gt;&lt;/titles&gt;&lt;dates&gt;&lt;year&gt;2025&lt;/year&gt;&lt;/dates&gt;&lt;urls&gt;&lt;related-urls&gt;&lt;url&gt;https://rstudio.unhcr.org/content/c3250e76-580a-4109-8ec8-173b150ec3de/#&lt;/url&gt;&lt;/related-urls&gt;&lt;/urls&gt;&lt;/record&gt;&lt;/Cite&gt;&lt;/EndNote&gt;</w:instrText>
      </w:r>
      <w:r w:rsidR="009D2934" w:rsidRPr="009D2934">
        <w:rPr>
          <w:rFonts w:ascii="Browallia New" w:eastAsia="Times New Roman" w:hAnsi="Browallia New" w:cs="Browallia New"/>
          <w:kern w:val="0"/>
          <w:sz w:val="28"/>
          <w:szCs w:val="28"/>
          <w14:ligatures w14:val="none"/>
        </w:rPr>
        <w:fldChar w:fldCharType="separate"/>
      </w:r>
      <w:r w:rsidR="009D2934" w:rsidRPr="009D2934">
        <w:rPr>
          <w:rFonts w:ascii="Browallia New" w:eastAsia="Times New Roman" w:hAnsi="Browallia New" w:cs="Browallia New"/>
          <w:noProof/>
          <w:kern w:val="0"/>
          <w:sz w:val="28"/>
          <w:szCs w:val="28"/>
          <w14:ligatures w14:val="none"/>
        </w:rPr>
        <w:t>(The UNHCR DATATHRON dataset 2025)</w:t>
      </w:r>
      <w:r w:rsidR="009D2934" w:rsidRPr="009D2934">
        <w:rPr>
          <w:rFonts w:ascii="Browallia New" w:eastAsia="Times New Roman" w:hAnsi="Browallia New" w:cs="Browallia New"/>
          <w:kern w:val="0"/>
          <w:sz w:val="28"/>
          <w:szCs w:val="28"/>
          <w14:ligatures w14:val="none"/>
        </w:rPr>
        <w:fldChar w:fldCharType="end"/>
      </w:r>
      <w:r w:rsidRPr="009D2934">
        <w:rPr>
          <w:rFonts w:ascii="Browallia New" w:eastAsia="Times New Roman" w:hAnsi="Browallia New" w:cs="Browallia New"/>
          <w:kern w:val="0"/>
          <w:sz w:val="28"/>
          <w:szCs w:val="28"/>
          <w14:ligatures w14:val="none"/>
        </w:rPr>
        <w:t>,</w:t>
      </w:r>
      <w:r w:rsidRPr="001A14A0">
        <w:rPr>
          <w:rFonts w:ascii="Browallia New" w:eastAsia="Times New Roman" w:hAnsi="Browallia New" w:cs="Browallia New"/>
          <w:kern w:val="0"/>
          <w:sz w:val="28"/>
          <w:szCs w:val="28"/>
          <w14:ligatures w14:val="none"/>
        </w:rPr>
        <w:t xml:space="preserve"> </w:t>
      </w:r>
      <w:r w:rsidR="006D3FCF" w:rsidRPr="00E96C8D">
        <w:rPr>
          <w:rFonts w:ascii="Browallia New" w:eastAsia="Times New Roman" w:hAnsi="Browallia New" w:cs="Browallia New"/>
          <w:kern w:val="0"/>
          <w:sz w:val="28"/>
          <w:szCs w:val="28"/>
          <w14:ligatures w14:val="none"/>
        </w:rPr>
        <w:t>highlights</w:t>
      </w:r>
      <w:r w:rsidRPr="00E96C8D">
        <w:rPr>
          <w:rFonts w:ascii="Browallia New" w:eastAsia="Times New Roman" w:hAnsi="Browallia New" w:cs="Browallia New"/>
          <w:kern w:val="0"/>
          <w:sz w:val="28"/>
          <w:szCs w:val="28"/>
          <w14:ligatures w14:val="none"/>
        </w:rPr>
        <w:t xml:space="preserve"> critical structural and contextual differences that shape each country’s education landscape.</w:t>
      </w:r>
    </w:p>
    <w:p w14:paraId="11FDFD4C" w14:textId="77777777" w:rsidR="00E96C8D" w:rsidRPr="00E96C8D" w:rsidRDefault="00E96C8D" w:rsidP="00E96C8D">
      <w:pPr>
        <w:spacing w:before="100" w:beforeAutospacing="1" w:after="100" w:afterAutospacing="1" w:line="240" w:lineRule="auto"/>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Comparative Trends and Primary Challenges</w:t>
      </w:r>
    </w:p>
    <w:p w14:paraId="57EAF78B" w14:textId="77777777" w:rsidR="00E96C8D" w:rsidRPr="00E96C8D" w:rsidRDefault="00E96C8D" w:rsidP="001A14A0">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The following table summarizes educational exclusion rates, trends, and principal barriers faced by each country:</w:t>
      </w:r>
    </w:p>
    <w:tbl>
      <w:tblPr>
        <w:tblStyle w:val="GridTable3"/>
        <w:tblW w:w="9824" w:type="dxa"/>
        <w:tblInd w:w="5" w:type="dxa"/>
        <w:tblLook w:val="04A0" w:firstRow="1" w:lastRow="0" w:firstColumn="1" w:lastColumn="0" w:noHBand="0" w:noVBand="1"/>
      </w:tblPr>
      <w:tblGrid>
        <w:gridCol w:w="1271"/>
        <w:gridCol w:w="1985"/>
        <w:gridCol w:w="1148"/>
        <w:gridCol w:w="5420"/>
      </w:tblGrid>
      <w:tr w:rsidR="00E96C8D" w:rsidRPr="00E96C8D" w14:paraId="2BABCFEE" w14:textId="77777777" w:rsidTr="009D29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Borders>
              <w:bottom w:val="single" w:sz="4" w:space="0" w:color="auto"/>
            </w:tcBorders>
            <w:hideMark/>
          </w:tcPr>
          <w:p w14:paraId="6C276C68" w14:textId="77777777" w:rsidR="00E96C8D" w:rsidRPr="00E90E11" w:rsidRDefault="00E96C8D" w:rsidP="00E96C8D">
            <w:pPr>
              <w:jc w:val="center"/>
              <w:rPr>
                <w:rFonts w:ascii="Browallia New" w:eastAsia="Times New Roman" w:hAnsi="Browallia New" w:cs="Browallia New"/>
                <w:i w:val="0"/>
                <w:iCs w:val="0"/>
                <w:kern w:val="0"/>
                <w:sz w:val="28"/>
                <w:szCs w:val="28"/>
                <w14:ligatures w14:val="none"/>
              </w:rPr>
            </w:pPr>
            <w:r w:rsidRPr="00E90E11">
              <w:rPr>
                <w:rFonts w:ascii="Browallia New" w:eastAsia="Times New Roman" w:hAnsi="Browallia New" w:cs="Browallia New"/>
                <w:i w:val="0"/>
                <w:iCs w:val="0"/>
                <w:kern w:val="0"/>
                <w:sz w:val="28"/>
                <w:szCs w:val="28"/>
                <w14:ligatures w14:val="none"/>
              </w:rPr>
              <w:t>Country</w:t>
            </w:r>
          </w:p>
        </w:tc>
        <w:tc>
          <w:tcPr>
            <w:tcW w:w="1985" w:type="dxa"/>
            <w:hideMark/>
          </w:tcPr>
          <w:p w14:paraId="3F76B49D" w14:textId="15946657" w:rsidR="00E96C8D" w:rsidRPr="00E96C8D" w:rsidRDefault="00E90E11" w:rsidP="00E96C8D">
            <w:pPr>
              <w:jc w:val="center"/>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Pr>
                <w:rFonts w:ascii="Browallia New" w:eastAsia="Times New Roman" w:hAnsi="Browallia New" w:cs="Browallia New"/>
                <w:kern w:val="0"/>
                <w:sz w:val="28"/>
                <w:szCs w:val="28"/>
                <w14:ligatures w14:val="none"/>
              </w:rPr>
              <w:t xml:space="preserve">Percent of </w:t>
            </w:r>
            <w:r w:rsidR="00E96C8D" w:rsidRPr="00E96C8D">
              <w:rPr>
                <w:rFonts w:ascii="Browallia New" w:eastAsia="Times New Roman" w:hAnsi="Browallia New" w:cs="Browallia New"/>
                <w:kern w:val="0"/>
                <w:sz w:val="28"/>
                <w:szCs w:val="28"/>
                <w14:ligatures w14:val="none"/>
              </w:rPr>
              <w:t xml:space="preserve">Lack of Education </w:t>
            </w:r>
          </w:p>
        </w:tc>
        <w:tc>
          <w:tcPr>
            <w:tcW w:w="0" w:type="auto"/>
            <w:hideMark/>
          </w:tcPr>
          <w:p w14:paraId="47FBB4FD" w14:textId="77777777" w:rsidR="00E96C8D" w:rsidRPr="00E96C8D" w:rsidRDefault="00E96C8D" w:rsidP="00E96C8D">
            <w:pPr>
              <w:jc w:val="center"/>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Trend</w:t>
            </w:r>
          </w:p>
        </w:tc>
        <w:tc>
          <w:tcPr>
            <w:tcW w:w="0" w:type="auto"/>
            <w:hideMark/>
          </w:tcPr>
          <w:p w14:paraId="1E5B3277" w14:textId="77777777" w:rsidR="00E96C8D" w:rsidRPr="00E96C8D" w:rsidRDefault="00E96C8D" w:rsidP="00E96C8D">
            <w:pPr>
              <w:jc w:val="center"/>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Key Challenges</w:t>
            </w:r>
          </w:p>
        </w:tc>
      </w:tr>
      <w:tr w:rsidR="00E96C8D" w:rsidRPr="00E96C8D" w14:paraId="08A3A9FA"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954A8FC" w14:textId="77777777" w:rsidR="00E96C8D" w:rsidRPr="00E96C8D" w:rsidRDefault="00E96C8D" w:rsidP="009D293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Thailand</w:t>
            </w:r>
          </w:p>
        </w:tc>
        <w:tc>
          <w:tcPr>
            <w:tcW w:w="1985" w:type="dxa"/>
            <w:tcBorders>
              <w:left w:val="single" w:sz="4" w:space="0" w:color="auto"/>
            </w:tcBorders>
            <w:hideMark/>
          </w:tcPr>
          <w:p w14:paraId="1CB136B3" w14:textId="558C2673" w:rsidR="00E96C8D" w:rsidRDefault="00E96C8D" w:rsidP="00E96C8D">
            <w:pPr>
              <w:jc w:val="cente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31.18%</w:t>
            </w:r>
          </w:p>
          <w:p w14:paraId="3FE3CF59" w14:textId="7BE509AD" w:rsidR="00E96C8D" w:rsidRPr="00E96C8D" w:rsidRDefault="00E96C8D" w:rsidP="00E96C8D">
            <w:pPr>
              <w:jc w:val="cente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(2020)</w:t>
            </w:r>
          </w:p>
        </w:tc>
        <w:tc>
          <w:tcPr>
            <w:tcW w:w="0" w:type="auto"/>
            <w:hideMark/>
          </w:tcPr>
          <w:p w14:paraId="2196504B"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Increasing</w:t>
            </w:r>
          </w:p>
        </w:tc>
        <w:tc>
          <w:tcPr>
            <w:tcW w:w="0" w:type="auto"/>
            <w:hideMark/>
          </w:tcPr>
          <w:p w14:paraId="1E930140" w14:textId="77777777" w:rsidR="00E96C8D" w:rsidRPr="00E96C8D" w:rsidRDefault="00E96C8D" w:rsidP="00E90E11">
            <w:pPr>
              <w:jc w:val="thaiDistribute"/>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Economic hardship during COVID-19 limited household investment in learning. Informal workers lack time/resources for education. Rural-urban divide and declining motivation among mid-career workers contribute to stagnation.</w:t>
            </w:r>
          </w:p>
        </w:tc>
      </w:tr>
      <w:tr w:rsidR="00E96C8D" w:rsidRPr="00E96C8D" w14:paraId="4272AB65" w14:textId="77777777" w:rsidTr="009D2934">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09BC985E" w14:textId="77777777" w:rsidR="00E96C8D" w:rsidRPr="00E96C8D" w:rsidRDefault="00E96C8D" w:rsidP="009D293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Iraq</w:t>
            </w:r>
          </w:p>
        </w:tc>
        <w:tc>
          <w:tcPr>
            <w:tcW w:w="1985" w:type="dxa"/>
            <w:tcBorders>
              <w:left w:val="single" w:sz="4" w:space="0" w:color="auto"/>
            </w:tcBorders>
            <w:hideMark/>
          </w:tcPr>
          <w:p w14:paraId="0F52A339" w14:textId="77777777" w:rsidR="00E90E11" w:rsidRDefault="00E96C8D" w:rsidP="00E96C8D">
            <w:pPr>
              <w:jc w:val="cente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Up to 82.14% </w:t>
            </w:r>
          </w:p>
          <w:p w14:paraId="232DF8A3" w14:textId="23E7D13C" w:rsidR="00E96C8D" w:rsidRPr="00E96C8D" w:rsidRDefault="00E96C8D" w:rsidP="00E96C8D">
            <w:pPr>
              <w:jc w:val="cente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(2020–2021)</w:t>
            </w:r>
          </w:p>
        </w:tc>
        <w:tc>
          <w:tcPr>
            <w:tcW w:w="0" w:type="auto"/>
            <w:hideMark/>
          </w:tcPr>
          <w:p w14:paraId="35A83851" w14:textId="77777777" w:rsidR="00E96C8D" w:rsidRPr="00E96C8D" w:rsidRDefault="00E96C8D" w:rsidP="00E96C8D">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Increasing</w:t>
            </w:r>
          </w:p>
        </w:tc>
        <w:tc>
          <w:tcPr>
            <w:tcW w:w="0" w:type="auto"/>
            <w:hideMark/>
          </w:tcPr>
          <w:p w14:paraId="1185509F" w14:textId="77777777" w:rsidR="00E96C8D" w:rsidRPr="00E96C8D" w:rsidRDefault="00E96C8D" w:rsidP="00E90E11">
            <w:pPr>
              <w:jc w:val="thaiDistribute"/>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Collapse of education infrastructure due to conflict. Children enter labor markets prematurely. Widespread poverty and gender inequality in education access.</w:t>
            </w:r>
          </w:p>
        </w:tc>
      </w:tr>
      <w:tr w:rsidR="00E96C8D" w:rsidRPr="00E96C8D" w14:paraId="646D2950"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44260E0B" w14:textId="77777777" w:rsidR="00E96C8D" w:rsidRPr="00E96C8D" w:rsidRDefault="00E96C8D" w:rsidP="009D293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Bangladesh</w:t>
            </w:r>
          </w:p>
        </w:tc>
        <w:tc>
          <w:tcPr>
            <w:tcW w:w="1985" w:type="dxa"/>
            <w:tcBorders>
              <w:left w:val="single" w:sz="4" w:space="0" w:color="auto"/>
            </w:tcBorders>
            <w:hideMark/>
          </w:tcPr>
          <w:p w14:paraId="6C363450" w14:textId="6E907E86" w:rsidR="00E96C8D" w:rsidRDefault="00E96C8D" w:rsidP="00E96C8D">
            <w:pPr>
              <w:jc w:val="cente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18.80% </w:t>
            </w:r>
            <w:r w:rsidRPr="00E96C8D">
              <w:rPr>
                <w:rFonts w:ascii="Arial" w:eastAsia="Times New Roman" w:hAnsi="Arial" w:cs="Arial"/>
                <w:kern w:val="0"/>
                <w:sz w:val="28"/>
                <w:szCs w:val="28"/>
                <w14:ligatures w14:val="none"/>
              </w:rPr>
              <w:t>→</w:t>
            </w:r>
            <w:r w:rsidRPr="00E96C8D">
              <w:rPr>
                <w:rFonts w:ascii="Browallia New" w:eastAsia="Times New Roman" w:hAnsi="Browallia New" w:cs="Browallia New"/>
                <w:kern w:val="0"/>
                <w:sz w:val="28"/>
                <w:szCs w:val="28"/>
                <w14:ligatures w14:val="none"/>
              </w:rPr>
              <w:t xml:space="preserve"> 31.71%</w:t>
            </w:r>
          </w:p>
          <w:p w14:paraId="02F5995C" w14:textId="64530998" w:rsidR="00E96C8D" w:rsidRPr="00E96C8D" w:rsidRDefault="00E96C8D" w:rsidP="00E96C8D">
            <w:pPr>
              <w:jc w:val="cente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 (2020</w:t>
            </w:r>
            <w:r w:rsidR="007F5508">
              <w:rPr>
                <w:rFonts w:ascii="Browallia New" w:eastAsia="Times New Roman" w:hAnsi="Browallia New" w:cs="Browallia New"/>
                <w:kern w:val="0"/>
                <w:sz w:val="28"/>
                <w:szCs w:val="28"/>
                <w14:ligatures w14:val="none"/>
              </w:rPr>
              <w:t>-</w:t>
            </w:r>
            <w:r w:rsidRPr="00E96C8D">
              <w:rPr>
                <w:rFonts w:ascii="Browallia New" w:eastAsia="Times New Roman" w:hAnsi="Browallia New" w:cs="Browallia New"/>
                <w:kern w:val="0"/>
                <w:sz w:val="28"/>
                <w:szCs w:val="28"/>
                <w14:ligatures w14:val="none"/>
              </w:rPr>
              <w:t>2021)</w:t>
            </w:r>
          </w:p>
        </w:tc>
        <w:tc>
          <w:tcPr>
            <w:tcW w:w="0" w:type="auto"/>
            <w:hideMark/>
          </w:tcPr>
          <w:p w14:paraId="23091E56"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Sharp Increase</w:t>
            </w:r>
          </w:p>
        </w:tc>
        <w:tc>
          <w:tcPr>
            <w:tcW w:w="0" w:type="auto"/>
            <w:hideMark/>
          </w:tcPr>
          <w:p w14:paraId="2FDDA0C3" w14:textId="77777777" w:rsidR="00E96C8D" w:rsidRPr="00E96C8D" w:rsidRDefault="00E96C8D" w:rsidP="00E90E11">
            <w:pPr>
              <w:jc w:val="thaiDistribute"/>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Rural education is inadequate. Many children leave school to support family income. Long-term school closures during COVID-19 disrupted learning. Limited access to basic rights and lifelong learning opportunities.</w:t>
            </w:r>
          </w:p>
        </w:tc>
      </w:tr>
      <w:tr w:rsidR="00E96C8D" w:rsidRPr="00E96C8D" w14:paraId="4E00FCEF" w14:textId="77777777" w:rsidTr="009D2934">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4AD6BF0C" w14:textId="77777777" w:rsidR="00E96C8D" w:rsidRPr="00E96C8D" w:rsidRDefault="00E96C8D" w:rsidP="009D293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Lebanon</w:t>
            </w:r>
          </w:p>
        </w:tc>
        <w:tc>
          <w:tcPr>
            <w:tcW w:w="1985" w:type="dxa"/>
            <w:tcBorders>
              <w:left w:val="single" w:sz="4" w:space="0" w:color="auto"/>
            </w:tcBorders>
            <w:hideMark/>
          </w:tcPr>
          <w:p w14:paraId="2B6C1929" w14:textId="53B4FE1D" w:rsidR="00E96C8D" w:rsidRPr="00E96C8D" w:rsidRDefault="00E96C8D" w:rsidP="00E96C8D">
            <w:pPr>
              <w:jc w:val="cente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3.86% </w:t>
            </w:r>
            <w:r w:rsidRPr="00E96C8D">
              <w:rPr>
                <w:rFonts w:ascii="Arial" w:eastAsia="Times New Roman" w:hAnsi="Arial" w:cs="Arial"/>
                <w:kern w:val="0"/>
                <w:sz w:val="28"/>
                <w:szCs w:val="28"/>
                <w14:ligatures w14:val="none"/>
              </w:rPr>
              <w:t>→</w:t>
            </w:r>
            <w:r w:rsidRPr="00E96C8D">
              <w:rPr>
                <w:rFonts w:ascii="Browallia New" w:eastAsia="Times New Roman" w:hAnsi="Browallia New" w:cs="Browallia New"/>
                <w:kern w:val="0"/>
                <w:sz w:val="28"/>
                <w:szCs w:val="28"/>
                <w14:ligatures w14:val="none"/>
              </w:rPr>
              <w:t xml:space="preserve"> 7.91% (2020</w:t>
            </w:r>
            <w:r w:rsidR="007F5508">
              <w:rPr>
                <w:rFonts w:ascii="Browallia New" w:eastAsia="Times New Roman" w:hAnsi="Browallia New" w:cs="Browallia New"/>
                <w:kern w:val="0"/>
                <w:sz w:val="28"/>
                <w:szCs w:val="28"/>
                <w14:ligatures w14:val="none"/>
              </w:rPr>
              <w:t>-</w:t>
            </w:r>
            <w:r w:rsidRPr="00E96C8D">
              <w:rPr>
                <w:rFonts w:ascii="Browallia New" w:eastAsia="Times New Roman" w:hAnsi="Browallia New" w:cs="Browallia New"/>
                <w:kern w:val="0"/>
                <w:sz w:val="28"/>
                <w:szCs w:val="28"/>
                <w14:ligatures w14:val="none"/>
              </w:rPr>
              <w:t>2022)</w:t>
            </w:r>
          </w:p>
        </w:tc>
        <w:tc>
          <w:tcPr>
            <w:tcW w:w="0" w:type="auto"/>
            <w:hideMark/>
          </w:tcPr>
          <w:p w14:paraId="6D0DFFA6" w14:textId="77777777" w:rsidR="00E96C8D" w:rsidRPr="00E96C8D" w:rsidRDefault="00E96C8D" w:rsidP="00E96C8D">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Increasing</w:t>
            </w:r>
          </w:p>
        </w:tc>
        <w:tc>
          <w:tcPr>
            <w:tcW w:w="0" w:type="auto"/>
            <w:hideMark/>
          </w:tcPr>
          <w:p w14:paraId="4D1587A1" w14:textId="77777777" w:rsidR="00E96C8D" w:rsidRPr="00E96C8D" w:rsidRDefault="00E96C8D" w:rsidP="00E90E11">
            <w:pPr>
              <w:jc w:val="thaiDistribute"/>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Economic collapse undermined the education system. Massive job losses among teachers and education personnel.</w:t>
            </w:r>
          </w:p>
        </w:tc>
      </w:tr>
      <w:tr w:rsidR="00FB2054" w:rsidRPr="00E96C8D" w14:paraId="1A924E40"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16F447AD" w14:textId="77777777" w:rsidR="00FB2054" w:rsidRPr="00E96C8D" w:rsidRDefault="00FB2054" w:rsidP="00FB205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China</w:t>
            </w:r>
          </w:p>
        </w:tc>
        <w:tc>
          <w:tcPr>
            <w:tcW w:w="1985" w:type="dxa"/>
            <w:tcBorders>
              <w:left w:val="single" w:sz="4" w:space="0" w:color="auto"/>
            </w:tcBorders>
            <w:hideMark/>
          </w:tcPr>
          <w:p w14:paraId="346E6C13" w14:textId="30AACB7A" w:rsidR="00FB2054" w:rsidRPr="00E96C8D" w:rsidRDefault="00FB2054" w:rsidP="007F5508">
            <w:pPr>
              <w:jc w:val="cente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Pr>
                <w:rFonts w:ascii="Browallia New" w:eastAsia="Times New Roman" w:hAnsi="Browallia New" w:cs="Browallia New"/>
                <w:kern w:val="0"/>
                <w:sz w:val="28"/>
                <w:szCs w:val="28"/>
                <w14:ligatures w14:val="none"/>
              </w:rPr>
              <w:t>15.25%</w:t>
            </w:r>
            <w:r w:rsidR="007F5508">
              <w:rPr>
                <w:rFonts w:ascii="Browallia New" w:eastAsia="Times New Roman" w:hAnsi="Browallia New" w:cs="Browallia New"/>
                <w:kern w:val="0"/>
                <w:sz w:val="28"/>
                <w:szCs w:val="28"/>
                <w14:ligatures w14:val="none"/>
              </w:rPr>
              <w:t xml:space="preserve"> </w:t>
            </w:r>
            <w:r w:rsidR="007F5508" w:rsidRPr="00E96C8D">
              <w:rPr>
                <w:rFonts w:ascii="Arial" w:eastAsia="Times New Roman" w:hAnsi="Arial" w:cs="Arial"/>
                <w:kern w:val="0"/>
                <w:sz w:val="28"/>
                <w:szCs w:val="28"/>
                <w14:ligatures w14:val="none"/>
              </w:rPr>
              <w:t>→</w:t>
            </w:r>
            <w:r w:rsidR="007F5508" w:rsidRPr="00E96C8D">
              <w:rPr>
                <w:rFonts w:ascii="Browallia New" w:eastAsia="Times New Roman" w:hAnsi="Browallia New" w:cs="Browallia New"/>
                <w:kern w:val="0"/>
                <w:sz w:val="28"/>
                <w:szCs w:val="28"/>
                <w14:ligatures w14:val="none"/>
              </w:rPr>
              <w:t xml:space="preserve"> </w:t>
            </w:r>
            <w:r w:rsidR="007F5508">
              <w:rPr>
                <w:rFonts w:ascii="Browallia New" w:eastAsia="Times New Roman" w:hAnsi="Browallia New" w:cs="Browallia New"/>
                <w:kern w:val="0"/>
                <w:sz w:val="28"/>
                <w:szCs w:val="28"/>
                <w14:ligatures w14:val="none"/>
              </w:rPr>
              <w:t xml:space="preserve">15.38% </w:t>
            </w:r>
            <w:r w:rsidRPr="00E96C8D">
              <w:rPr>
                <w:rFonts w:ascii="Browallia New" w:eastAsia="Times New Roman" w:hAnsi="Browallia New" w:cs="Browallia New"/>
                <w:kern w:val="0"/>
                <w:sz w:val="28"/>
                <w:szCs w:val="28"/>
                <w14:ligatures w14:val="none"/>
              </w:rPr>
              <w:t>(2021</w:t>
            </w:r>
            <w:r w:rsidR="007F5508">
              <w:rPr>
                <w:rFonts w:ascii="Browallia New" w:eastAsia="Times New Roman" w:hAnsi="Browallia New" w:cs="Browallia New"/>
                <w:kern w:val="0"/>
                <w:sz w:val="28"/>
                <w:szCs w:val="28"/>
                <w14:ligatures w14:val="none"/>
              </w:rPr>
              <w:t>-</w:t>
            </w:r>
            <w:r w:rsidRPr="00E96C8D">
              <w:rPr>
                <w:rFonts w:ascii="Browallia New" w:eastAsia="Times New Roman" w:hAnsi="Browallia New" w:cs="Browallia New"/>
                <w:kern w:val="0"/>
                <w:sz w:val="28"/>
                <w:szCs w:val="28"/>
                <w14:ligatures w14:val="none"/>
              </w:rPr>
              <w:t>2022)</w:t>
            </w:r>
          </w:p>
        </w:tc>
        <w:tc>
          <w:tcPr>
            <w:tcW w:w="0" w:type="auto"/>
            <w:hideMark/>
          </w:tcPr>
          <w:p w14:paraId="0B34DF89" w14:textId="4D8FC010" w:rsidR="00FB2054" w:rsidRPr="00E96C8D" w:rsidRDefault="00FB2054" w:rsidP="00FB2054">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Increasing</w:t>
            </w:r>
          </w:p>
        </w:tc>
        <w:tc>
          <w:tcPr>
            <w:tcW w:w="0" w:type="auto"/>
            <w:hideMark/>
          </w:tcPr>
          <w:p w14:paraId="06703AF4" w14:textId="77777777" w:rsidR="00FB2054" w:rsidRPr="00E96C8D" w:rsidRDefault="00FB2054" w:rsidP="00FB2054">
            <w:pPr>
              <w:jc w:val="thaiDistribute"/>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Urban-rural educational disparity. Intense competition and rigid systems exclude many students. Migrant laborers face restrictions due to the Hukou system. Lifelong learning policies remain limited.</w:t>
            </w:r>
          </w:p>
        </w:tc>
      </w:tr>
      <w:tr w:rsidR="00FB2054" w:rsidRPr="00E96C8D" w14:paraId="6286459A" w14:textId="77777777" w:rsidTr="009D2934">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79D0BC25" w14:textId="77777777" w:rsidR="00FB2054" w:rsidRPr="00E96C8D" w:rsidRDefault="00FB2054" w:rsidP="00FB205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Nepal</w:t>
            </w:r>
          </w:p>
        </w:tc>
        <w:tc>
          <w:tcPr>
            <w:tcW w:w="1985" w:type="dxa"/>
            <w:tcBorders>
              <w:left w:val="single" w:sz="4" w:space="0" w:color="auto"/>
            </w:tcBorders>
            <w:hideMark/>
          </w:tcPr>
          <w:p w14:paraId="348694DB" w14:textId="77777777" w:rsidR="00FB2054" w:rsidRDefault="00FB2054" w:rsidP="00FB2054">
            <w:pPr>
              <w:jc w:val="cente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25.0% </w:t>
            </w:r>
          </w:p>
          <w:p w14:paraId="57CEE1E8" w14:textId="77132530" w:rsidR="00FB2054" w:rsidRPr="00E96C8D" w:rsidRDefault="00FB2054" w:rsidP="00FB2054">
            <w:pPr>
              <w:jc w:val="cente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(2021)</w:t>
            </w:r>
          </w:p>
        </w:tc>
        <w:tc>
          <w:tcPr>
            <w:tcW w:w="0" w:type="auto"/>
            <w:hideMark/>
          </w:tcPr>
          <w:p w14:paraId="36BD74E6" w14:textId="77777777" w:rsidR="00FB2054" w:rsidRPr="00E96C8D" w:rsidRDefault="00FB2054" w:rsidP="00FB2054">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Increasing</w:t>
            </w:r>
          </w:p>
        </w:tc>
        <w:tc>
          <w:tcPr>
            <w:tcW w:w="0" w:type="auto"/>
            <w:hideMark/>
          </w:tcPr>
          <w:p w14:paraId="1D3A5973" w14:textId="77777777" w:rsidR="00FB2054" w:rsidRPr="00E96C8D" w:rsidRDefault="00FB2054" w:rsidP="00FB2054">
            <w:pPr>
              <w:jc w:val="thaiDistribute"/>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High poverty rates limit learning opportunities. Budget and policy gaps in skills training. Limited technology access, particularly in remote areas.</w:t>
            </w:r>
          </w:p>
        </w:tc>
      </w:tr>
      <w:tr w:rsidR="00FB2054" w:rsidRPr="00E96C8D" w14:paraId="2A27957F"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542900F5" w14:textId="77777777" w:rsidR="00FB2054" w:rsidRPr="00E96C8D" w:rsidRDefault="00FB2054" w:rsidP="00FB205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Pakistan</w:t>
            </w:r>
          </w:p>
        </w:tc>
        <w:tc>
          <w:tcPr>
            <w:tcW w:w="1985" w:type="dxa"/>
            <w:tcBorders>
              <w:left w:val="single" w:sz="4" w:space="0" w:color="auto"/>
            </w:tcBorders>
            <w:hideMark/>
          </w:tcPr>
          <w:p w14:paraId="436017A1" w14:textId="0FE4C556" w:rsidR="00FB2054" w:rsidRDefault="00FB2054" w:rsidP="00FB2054">
            <w:pPr>
              <w:jc w:val="cente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16.9</w:t>
            </w:r>
            <w:r w:rsidR="00087728">
              <w:rPr>
                <w:rFonts w:ascii="Browallia New" w:eastAsia="Times New Roman" w:hAnsi="Browallia New" w:cs="Browallia New"/>
                <w:kern w:val="0"/>
                <w:sz w:val="28"/>
                <w:szCs w:val="28"/>
                <w14:ligatures w14:val="none"/>
              </w:rPr>
              <w:t>0</w:t>
            </w:r>
            <w:r w:rsidRPr="00E96C8D">
              <w:rPr>
                <w:rFonts w:ascii="Browallia New" w:eastAsia="Times New Roman" w:hAnsi="Browallia New" w:cs="Browallia New"/>
                <w:kern w:val="0"/>
                <w:sz w:val="28"/>
                <w:szCs w:val="28"/>
                <w14:ligatures w14:val="none"/>
              </w:rPr>
              <w:t xml:space="preserve">% </w:t>
            </w:r>
          </w:p>
          <w:p w14:paraId="441692F1" w14:textId="2A09571F" w:rsidR="00FB2054" w:rsidRPr="00E96C8D" w:rsidRDefault="00FB2054" w:rsidP="00FB2054">
            <w:pPr>
              <w:jc w:val="cente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(2022)</w:t>
            </w:r>
          </w:p>
        </w:tc>
        <w:tc>
          <w:tcPr>
            <w:tcW w:w="0" w:type="auto"/>
            <w:hideMark/>
          </w:tcPr>
          <w:p w14:paraId="310FFC85" w14:textId="77777777" w:rsidR="00FB2054" w:rsidRPr="00E96C8D" w:rsidRDefault="00FB2054" w:rsidP="00FB2054">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Increasing</w:t>
            </w:r>
          </w:p>
        </w:tc>
        <w:tc>
          <w:tcPr>
            <w:tcW w:w="0" w:type="auto"/>
            <w:hideMark/>
          </w:tcPr>
          <w:p w14:paraId="4D575368" w14:textId="09D2C40A" w:rsidR="00FB2054" w:rsidRPr="00E96C8D" w:rsidRDefault="00FB2054" w:rsidP="00FB2054">
            <w:pPr>
              <w:jc w:val="thaiDistribute"/>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Severe gender inequality. Girls are often excluded from secondary education. Low-quality instruction and teacher shortages. Weak upskilling/reskilling systems.</w:t>
            </w:r>
          </w:p>
        </w:tc>
      </w:tr>
      <w:tr w:rsidR="00FB2054" w:rsidRPr="00E96C8D" w14:paraId="77B33E9B" w14:textId="77777777" w:rsidTr="009D2934">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hideMark/>
          </w:tcPr>
          <w:p w14:paraId="4B9F0560" w14:textId="77777777" w:rsidR="00FB2054" w:rsidRPr="00E96C8D" w:rsidRDefault="00FB2054" w:rsidP="00FB2054">
            <w:pPr>
              <w:jc w:val="left"/>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Syrian Arab Republic</w:t>
            </w:r>
          </w:p>
        </w:tc>
        <w:tc>
          <w:tcPr>
            <w:tcW w:w="1985" w:type="dxa"/>
            <w:tcBorders>
              <w:left w:val="single" w:sz="4" w:space="0" w:color="auto"/>
            </w:tcBorders>
            <w:hideMark/>
          </w:tcPr>
          <w:p w14:paraId="73E096E5" w14:textId="77777777" w:rsidR="00FB2054" w:rsidRDefault="00FB2054" w:rsidP="00FB2054">
            <w:pPr>
              <w:jc w:val="cente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12.32% </w:t>
            </w:r>
          </w:p>
          <w:p w14:paraId="2E9DFE5B" w14:textId="58774D62" w:rsidR="00FB2054" w:rsidRPr="00E96C8D" w:rsidRDefault="00FB2054" w:rsidP="00FB2054">
            <w:pPr>
              <w:jc w:val="cente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(2021)</w:t>
            </w:r>
          </w:p>
        </w:tc>
        <w:tc>
          <w:tcPr>
            <w:tcW w:w="0" w:type="auto"/>
            <w:hideMark/>
          </w:tcPr>
          <w:p w14:paraId="7E33B1A9" w14:textId="77777777" w:rsidR="00FB2054" w:rsidRPr="00E96C8D" w:rsidRDefault="00FB2054" w:rsidP="00FB2054">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Increasing</w:t>
            </w:r>
          </w:p>
        </w:tc>
        <w:tc>
          <w:tcPr>
            <w:tcW w:w="0" w:type="auto"/>
            <w:hideMark/>
          </w:tcPr>
          <w:p w14:paraId="2033A0F9" w14:textId="77777777" w:rsidR="00FB2054" w:rsidRPr="00E96C8D" w:rsidRDefault="00FB2054" w:rsidP="00FB2054">
            <w:pPr>
              <w:jc w:val="thaiDistribute"/>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Ongoing civil conflict has devastated educational infrastructure. Displacement, safety concerns, and gender-based educational barriers persist.</w:t>
            </w:r>
          </w:p>
        </w:tc>
      </w:tr>
    </w:tbl>
    <w:p w14:paraId="31CE50D3" w14:textId="77777777" w:rsidR="00E96C8D" w:rsidRDefault="00E96C8D" w:rsidP="00E96C8D">
      <w:pPr>
        <w:spacing w:before="100" w:beforeAutospacing="1" w:after="100" w:afterAutospacing="1" w:line="240" w:lineRule="auto"/>
        <w:rPr>
          <w:rFonts w:ascii="Browallia New" w:eastAsia="Times New Roman" w:hAnsi="Browallia New" w:cs="Browallia New"/>
          <w:b/>
          <w:bCs/>
          <w:kern w:val="0"/>
          <w:sz w:val="28"/>
          <w:szCs w:val="28"/>
          <w14:ligatures w14:val="none"/>
        </w:rPr>
      </w:pPr>
    </w:p>
    <w:p w14:paraId="3275AB75" w14:textId="0A09B76C" w:rsidR="00E96C8D" w:rsidRPr="00E96C8D" w:rsidRDefault="00E96C8D" w:rsidP="00E96C8D">
      <w:pPr>
        <w:spacing w:before="100" w:beforeAutospacing="1" w:after="100" w:afterAutospacing="1" w:line="240" w:lineRule="auto"/>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lastRenderedPageBreak/>
        <w:t>Emerging Challenges Identified</w:t>
      </w:r>
    </w:p>
    <w:p w14:paraId="673F77C0" w14:textId="77777777" w:rsidR="00E96C8D" w:rsidRPr="00E96C8D" w:rsidRDefault="00E96C8D" w:rsidP="00E96C8D">
      <w:pPr>
        <w:spacing w:before="100" w:beforeAutospacing="1" w:after="100" w:afterAutospacing="1" w:line="240" w:lineRule="auto"/>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From these comparative insights, several overarching challenges can be identified:</w:t>
      </w:r>
    </w:p>
    <w:p w14:paraId="4487C3C7" w14:textId="77777777" w:rsidR="001A14A0" w:rsidRDefault="00E96C8D" w:rsidP="001A14A0">
      <w:pPr>
        <w:numPr>
          <w:ilvl w:val="0"/>
          <w:numId w:val="3"/>
        </w:numPr>
        <w:spacing w:before="100" w:beforeAutospacing="1" w:after="0"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Loss of Human Capital Development Opportunities</w:t>
      </w:r>
    </w:p>
    <w:p w14:paraId="08E1EF33" w14:textId="5DA033DE" w:rsidR="00E96C8D" w:rsidRPr="001A14A0" w:rsidRDefault="00E96C8D" w:rsidP="00ED5266">
      <w:pPr>
        <w:spacing w:after="0"/>
        <w:ind w:left="720"/>
        <w:jc w:val="thaiDistribute"/>
        <w:rPr>
          <w:rFonts w:ascii="Browallia New" w:eastAsia="Times New Roman" w:hAnsi="Browallia New" w:cs="Browallia New"/>
          <w:kern w:val="0"/>
          <w:sz w:val="28"/>
          <w:szCs w:val="28"/>
          <w14:ligatures w14:val="none"/>
        </w:rPr>
      </w:pPr>
      <w:r w:rsidRPr="001A14A0">
        <w:rPr>
          <w:rFonts w:ascii="Browallia New" w:eastAsia="Times New Roman" w:hAnsi="Browallia New" w:cs="Browallia New"/>
          <w:kern w:val="0"/>
          <w:sz w:val="28"/>
          <w:szCs w:val="28"/>
          <w14:ligatures w14:val="none"/>
        </w:rPr>
        <w:t xml:space="preserve">Exceptionally high exclusion rates in countries such as Iraq (82.14%), </w:t>
      </w:r>
      <w:r w:rsidR="00A73383" w:rsidRPr="00A73383">
        <w:rPr>
          <w:rFonts w:ascii="Browallia New" w:eastAsia="Times New Roman" w:hAnsi="Browallia New" w:cs="Browallia New"/>
          <w:kern w:val="0"/>
          <w:sz w:val="28"/>
          <w:szCs w:val="28"/>
          <w14:ligatures w14:val="none"/>
        </w:rPr>
        <w:t>Bangladesh</w:t>
      </w:r>
      <w:r w:rsidRPr="001A14A0">
        <w:rPr>
          <w:rFonts w:ascii="Browallia New" w:eastAsia="Times New Roman" w:hAnsi="Browallia New" w:cs="Browallia New"/>
          <w:kern w:val="0"/>
          <w:sz w:val="28"/>
          <w:szCs w:val="28"/>
          <w14:ligatures w14:val="none"/>
        </w:rPr>
        <w:t xml:space="preserve"> (</w:t>
      </w:r>
      <w:r w:rsidR="00A73383" w:rsidRPr="00E96C8D">
        <w:rPr>
          <w:rFonts w:ascii="Browallia New" w:eastAsia="Times New Roman" w:hAnsi="Browallia New" w:cs="Browallia New"/>
          <w:kern w:val="0"/>
          <w:sz w:val="28"/>
          <w:szCs w:val="28"/>
          <w14:ligatures w14:val="none"/>
        </w:rPr>
        <w:t>18.80</w:t>
      </w:r>
      <w:r w:rsidR="00A73383">
        <w:rPr>
          <w:rFonts w:ascii="Browallia New" w:eastAsia="Times New Roman" w:hAnsi="Browallia New" w:cs="Browallia New"/>
          <w:kern w:val="0"/>
          <w:sz w:val="28"/>
          <w:szCs w:val="28"/>
          <w14:ligatures w14:val="none"/>
        </w:rPr>
        <w:t>-</w:t>
      </w:r>
      <w:r w:rsidR="00A73383" w:rsidRPr="00E96C8D">
        <w:rPr>
          <w:rFonts w:ascii="Browallia New" w:eastAsia="Times New Roman" w:hAnsi="Browallia New" w:cs="Browallia New"/>
          <w:kern w:val="0"/>
          <w:sz w:val="28"/>
          <w:szCs w:val="28"/>
          <w14:ligatures w14:val="none"/>
        </w:rPr>
        <w:t>31.71</w:t>
      </w:r>
      <w:r w:rsidRPr="001A14A0">
        <w:rPr>
          <w:rFonts w:ascii="Browallia New" w:eastAsia="Times New Roman" w:hAnsi="Browallia New" w:cs="Browallia New"/>
          <w:kern w:val="0"/>
          <w:sz w:val="28"/>
          <w:szCs w:val="28"/>
          <w14:ligatures w14:val="none"/>
        </w:rPr>
        <w:t>%), and Thailand (31.18%) reflect substantial missed opportunities for human capital formation. Youth disengagement from both formal education and lifelong learning trajectories leads to diminished national workforce potential.</w:t>
      </w:r>
    </w:p>
    <w:p w14:paraId="7A552939" w14:textId="77777777" w:rsidR="001A14A0" w:rsidRDefault="00E96C8D" w:rsidP="001A14A0">
      <w:pPr>
        <w:numPr>
          <w:ilvl w:val="0"/>
          <w:numId w:val="3"/>
        </w:numPr>
        <w:spacing w:after="0"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Structural Inequality and Marginalization</w:t>
      </w:r>
    </w:p>
    <w:p w14:paraId="5EA220F6" w14:textId="1FCCD8F9" w:rsidR="00E96C8D" w:rsidRPr="001A14A0" w:rsidRDefault="00E96C8D" w:rsidP="001A14A0">
      <w:pPr>
        <w:spacing w:after="0" w:line="240" w:lineRule="auto"/>
        <w:ind w:left="720"/>
        <w:jc w:val="thaiDistribute"/>
        <w:rPr>
          <w:rFonts w:ascii="Browallia New" w:eastAsia="Times New Roman" w:hAnsi="Browallia New" w:cs="Browallia New"/>
          <w:kern w:val="0"/>
          <w:sz w:val="28"/>
          <w:szCs w:val="28"/>
          <w14:ligatures w14:val="none"/>
        </w:rPr>
      </w:pPr>
      <w:r w:rsidRPr="001A14A0">
        <w:rPr>
          <w:rFonts w:ascii="Browallia New" w:eastAsia="Times New Roman" w:hAnsi="Browallia New" w:cs="Browallia New"/>
          <w:kern w:val="0"/>
          <w:sz w:val="28"/>
          <w:szCs w:val="28"/>
          <w14:ligatures w14:val="none"/>
        </w:rPr>
        <w:t xml:space="preserve">Gender disparities, insecurity, and geographic isolation particularly affect countries such as Pakistan, Nepal, Bangladesh, and Syria. Vulnerable </w:t>
      </w:r>
      <w:r w:rsidR="00ED415F" w:rsidRPr="001A14A0">
        <w:rPr>
          <w:rFonts w:ascii="Browallia New" w:eastAsia="Times New Roman" w:hAnsi="Browallia New" w:cs="Browallia New"/>
          <w:kern w:val="0"/>
          <w:sz w:val="28"/>
          <w:szCs w:val="28"/>
          <w14:ligatures w14:val="none"/>
        </w:rPr>
        <w:t xml:space="preserve">populations, </w:t>
      </w:r>
      <w:r w:rsidRPr="001A14A0">
        <w:rPr>
          <w:rFonts w:ascii="Browallia New" w:eastAsia="Times New Roman" w:hAnsi="Browallia New" w:cs="Browallia New"/>
          <w:kern w:val="0"/>
          <w:sz w:val="28"/>
          <w:szCs w:val="28"/>
          <w14:ligatures w14:val="none"/>
        </w:rPr>
        <w:t>including girls, rural communities, and informal workers—are systematically excluded from educational and training systems, perpetuating cycles of poverty.</w:t>
      </w:r>
    </w:p>
    <w:p w14:paraId="6BC1DBBD" w14:textId="77777777" w:rsidR="001A14A0" w:rsidRDefault="00E96C8D" w:rsidP="001A14A0">
      <w:pPr>
        <w:numPr>
          <w:ilvl w:val="0"/>
          <w:numId w:val="3"/>
        </w:numPr>
        <w:spacing w:after="0"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Structural Strain on Labor Markets</w:t>
      </w:r>
    </w:p>
    <w:p w14:paraId="0CD7685E" w14:textId="5A4B2728" w:rsidR="00E96C8D" w:rsidRPr="001A14A0" w:rsidRDefault="00E96C8D" w:rsidP="001A14A0">
      <w:pPr>
        <w:spacing w:after="0" w:line="240" w:lineRule="auto"/>
        <w:ind w:left="720"/>
        <w:jc w:val="thaiDistribute"/>
        <w:rPr>
          <w:rFonts w:ascii="Browallia New" w:eastAsia="Times New Roman" w:hAnsi="Browallia New" w:cs="Browallia New"/>
          <w:kern w:val="0"/>
          <w:sz w:val="28"/>
          <w:szCs w:val="28"/>
          <w14:ligatures w14:val="none"/>
        </w:rPr>
      </w:pPr>
      <w:r w:rsidRPr="001A14A0">
        <w:rPr>
          <w:rFonts w:ascii="Browallia New" w:eastAsia="Times New Roman" w:hAnsi="Browallia New" w:cs="Browallia New"/>
          <w:kern w:val="0"/>
          <w:sz w:val="28"/>
          <w:szCs w:val="28"/>
          <w14:ligatures w14:val="none"/>
        </w:rPr>
        <w:t>A growing mismatch between educational outcomes and labor market demands, especially in Thailand and China, results in a rising proportion of unskilled labor. National education systems often lack effective upskilling/reskilling mechanisms aligned with the requirements of the digital and knowledge-based economy.</w:t>
      </w:r>
    </w:p>
    <w:p w14:paraId="51B23C56" w14:textId="77777777" w:rsidR="001A14A0" w:rsidRDefault="00E96C8D" w:rsidP="001A14A0">
      <w:pPr>
        <w:numPr>
          <w:ilvl w:val="0"/>
          <w:numId w:val="3"/>
        </w:numPr>
        <w:spacing w:after="0"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External Crises and Educational Disruption</w:t>
      </w:r>
    </w:p>
    <w:p w14:paraId="3ECBA04F" w14:textId="3EF147C2" w:rsidR="00E96C8D" w:rsidRPr="001A14A0" w:rsidRDefault="00E96C8D" w:rsidP="001A14A0">
      <w:pPr>
        <w:spacing w:after="0" w:line="240" w:lineRule="auto"/>
        <w:ind w:left="720"/>
        <w:jc w:val="thaiDistribute"/>
        <w:rPr>
          <w:rFonts w:ascii="Browallia New" w:eastAsia="Times New Roman" w:hAnsi="Browallia New" w:cs="Browallia New"/>
          <w:kern w:val="0"/>
          <w:sz w:val="28"/>
          <w:szCs w:val="28"/>
          <w14:ligatures w14:val="none"/>
        </w:rPr>
      </w:pPr>
      <w:r w:rsidRPr="001A14A0">
        <w:rPr>
          <w:rFonts w:ascii="Browallia New" w:eastAsia="Times New Roman" w:hAnsi="Browallia New" w:cs="Browallia New"/>
          <w:kern w:val="0"/>
          <w:sz w:val="28"/>
          <w:szCs w:val="28"/>
          <w14:ligatures w14:val="none"/>
        </w:rPr>
        <w:t>The COVID-19 pandemic (e.g., in Thailand and Bangladesh), armed conflict (e.g., Syria and Iraq), and economic crises (e.g., Lebanon) have directly undermined access to education, disrupted learning ecosystems, and limited household capacity to invest in human development.</w:t>
      </w:r>
    </w:p>
    <w:p w14:paraId="3BD4867A" w14:textId="77777777" w:rsidR="001A14A0" w:rsidRDefault="00E96C8D" w:rsidP="001A14A0">
      <w:pPr>
        <w:numPr>
          <w:ilvl w:val="0"/>
          <w:numId w:val="3"/>
        </w:numPr>
        <w:spacing w:before="100" w:beforeAutospacing="1" w:after="0"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Need for Systemic Reform</w:t>
      </w:r>
    </w:p>
    <w:p w14:paraId="24D1DF73" w14:textId="110FC8E9" w:rsidR="00E96C8D" w:rsidRPr="00E96C8D" w:rsidRDefault="00E96C8D" w:rsidP="001A14A0">
      <w:pPr>
        <w:spacing w:after="100" w:afterAutospacing="1" w:line="240" w:lineRule="auto"/>
        <w:ind w:left="720"/>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The observed data </w:t>
      </w:r>
      <w:r w:rsidR="001A14A0" w:rsidRPr="00E96C8D">
        <w:rPr>
          <w:rFonts w:ascii="Browallia New" w:eastAsia="Times New Roman" w:hAnsi="Browallia New" w:cs="Browallia New"/>
          <w:kern w:val="0"/>
          <w:sz w:val="28"/>
          <w:szCs w:val="28"/>
          <w14:ligatures w14:val="none"/>
        </w:rPr>
        <w:t>underscores</w:t>
      </w:r>
      <w:r w:rsidRPr="00E96C8D">
        <w:rPr>
          <w:rFonts w:ascii="Browallia New" w:eastAsia="Times New Roman" w:hAnsi="Browallia New" w:cs="Browallia New"/>
          <w:kern w:val="0"/>
          <w:sz w:val="28"/>
          <w:szCs w:val="28"/>
          <w14:ligatures w14:val="none"/>
        </w:rPr>
        <w:t xml:space="preserve"> the urgent need to reform education and training systems to align with the demands of 21st-century economies and inclusive development agendas. Stronger collaboration among governments, private sectors, and civil society is critical to designing policies that are flexible, inclusive, and sustainable.</w:t>
      </w:r>
    </w:p>
    <w:p w14:paraId="22761612" w14:textId="77777777" w:rsidR="00E96C8D" w:rsidRPr="00E96C8D" w:rsidRDefault="00E96C8D" w:rsidP="00E96C8D">
      <w:pPr>
        <w:spacing w:before="100" w:beforeAutospacing="1" w:after="100" w:afterAutospacing="1" w:line="240" w:lineRule="auto"/>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Summary Observation</w:t>
      </w:r>
    </w:p>
    <w:p w14:paraId="27397B78" w14:textId="33D05D54" w:rsidR="00E96C8D" w:rsidRPr="00E96C8D" w:rsidRDefault="001A14A0" w:rsidP="001A14A0">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Most</w:t>
      </w:r>
      <w:r w:rsidR="00E96C8D" w:rsidRPr="00E96C8D">
        <w:rPr>
          <w:rFonts w:ascii="Browallia New" w:eastAsia="Times New Roman" w:hAnsi="Browallia New" w:cs="Browallia New"/>
          <w:kern w:val="0"/>
          <w:sz w:val="28"/>
          <w:szCs w:val="28"/>
          <w14:ligatures w14:val="none"/>
        </w:rPr>
        <w:t xml:space="preserve"> countries studied are experiencing an upward trend in educational exclusion, driven by structural factors such as poverty, insecurity, geographic inequality, and the lack of comprehensive lifelong learning infrastructure. These challenges not only hinder individual development but also obstruct national progress toward the Sustainable Development Goals, particularly in education, equity, and decent employment.</w:t>
      </w:r>
    </w:p>
    <w:p w14:paraId="7A64D5E6" w14:textId="77777777" w:rsidR="000E4205" w:rsidRDefault="000E4205" w:rsidP="000C04A5">
      <w:pPr>
        <w:jc w:val="thaiDistribute"/>
        <w:rPr>
          <w:rFonts w:ascii="Browallia New" w:hAnsi="Browallia New" w:cs="Browallia New"/>
          <w:sz w:val="32"/>
          <w:szCs w:val="32"/>
        </w:rPr>
      </w:pPr>
    </w:p>
    <w:p w14:paraId="0DABFEB8"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Chapter 3: Theoretical Interpretations of Educational Inequality—The Interrelationship Between National Income Levels, Human Capital, and Labor Market Structures</w:t>
      </w:r>
    </w:p>
    <w:p w14:paraId="1A57A247" w14:textId="2776B762"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While knowledge and skills are widely acknowledged as critical levers for improving individual well-being and enhancing economic productivity, educational inequality continues to be a persistent and deeply embedded challenge in many parts of the world. This inequality not only reflects unequal access to educational opportunities at the individual </w:t>
      </w:r>
      <w:r w:rsidR="00EE1DED" w:rsidRPr="00E96C8D">
        <w:rPr>
          <w:rFonts w:ascii="Browallia New" w:eastAsia="Times New Roman" w:hAnsi="Browallia New" w:cs="Browallia New"/>
          <w:kern w:val="0"/>
          <w:sz w:val="28"/>
          <w:szCs w:val="28"/>
          <w14:ligatures w14:val="none"/>
        </w:rPr>
        <w:t>level but</w:t>
      </w:r>
      <w:r w:rsidRPr="00E96C8D">
        <w:rPr>
          <w:rFonts w:ascii="Browallia New" w:eastAsia="Times New Roman" w:hAnsi="Browallia New" w:cs="Browallia New"/>
          <w:kern w:val="0"/>
          <w:sz w:val="28"/>
          <w:szCs w:val="28"/>
          <w14:ligatures w14:val="none"/>
        </w:rPr>
        <w:t xml:space="preserve"> also reveals broader structural impediments to national human capital development. The phenomenon of educational exclusion, or "Lack of Education," is thus not simply a reflection of individual absence from formal schooling, but a complex outcome of intersecting forces—household constraints, societal conditions, economic systems, and policy failures.</w:t>
      </w:r>
    </w:p>
    <w:p w14:paraId="2EF93192"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To unpack these multi-layered dynamics, this chapter employs a set of theoretical lenses, including Human Capital Theory, Opportunity Cost, Educational Mismatch, Structural Barriers, and Intergenerational Poverty. These frameworks help interpret how education systems are shaped by, and in turn reinforce, the broader socio-economic architecture of different countries. For analytical clarity, countries are grouped according to income classifications as defined by the World Bank:</w:t>
      </w:r>
    </w:p>
    <w:p w14:paraId="28EF7539" w14:textId="77777777" w:rsidR="00E96C8D" w:rsidRPr="00E96C8D" w:rsidRDefault="00E96C8D" w:rsidP="00E96C8D">
      <w:pPr>
        <w:numPr>
          <w:ilvl w:val="0"/>
          <w:numId w:val="4"/>
        </w:num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Low-Income Countries</w:t>
      </w:r>
      <w:r w:rsidRPr="00E96C8D">
        <w:rPr>
          <w:rFonts w:ascii="Browallia New" w:eastAsia="Times New Roman" w:hAnsi="Browallia New" w:cs="Browallia New"/>
          <w:kern w:val="0"/>
          <w:sz w:val="28"/>
          <w:szCs w:val="28"/>
          <w14:ligatures w14:val="none"/>
        </w:rPr>
        <w:t>: e.g., Nepal, Bangladesh</w:t>
      </w:r>
    </w:p>
    <w:p w14:paraId="0570D49E" w14:textId="77777777" w:rsidR="00E96C8D" w:rsidRPr="00E96C8D" w:rsidRDefault="00E96C8D" w:rsidP="00E96C8D">
      <w:pPr>
        <w:numPr>
          <w:ilvl w:val="0"/>
          <w:numId w:val="4"/>
        </w:num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Middle-Income Countries</w:t>
      </w:r>
      <w:r w:rsidRPr="00E96C8D">
        <w:rPr>
          <w:rFonts w:ascii="Browallia New" w:eastAsia="Times New Roman" w:hAnsi="Browallia New" w:cs="Browallia New"/>
          <w:kern w:val="0"/>
          <w:sz w:val="28"/>
          <w:szCs w:val="28"/>
          <w14:ligatures w14:val="none"/>
        </w:rPr>
        <w:t>: e.g., Thailand, Pakistan, Syrian Arab Republic, Iraq</w:t>
      </w:r>
    </w:p>
    <w:p w14:paraId="54995AC2" w14:textId="77777777" w:rsidR="00E96C8D" w:rsidRPr="00E96C8D" w:rsidRDefault="00E96C8D" w:rsidP="00E96C8D">
      <w:pPr>
        <w:numPr>
          <w:ilvl w:val="0"/>
          <w:numId w:val="4"/>
        </w:num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High-Income or Upper-Middle-Income Countries with Complex Labor Markets</w:t>
      </w:r>
      <w:r w:rsidRPr="00E96C8D">
        <w:rPr>
          <w:rFonts w:ascii="Browallia New" w:eastAsia="Times New Roman" w:hAnsi="Browallia New" w:cs="Browallia New"/>
          <w:kern w:val="0"/>
          <w:sz w:val="28"/>
          <w:szCs w:val="28"/>
          <w14:ligatures w14:val="none"/>
        </w:rPr>
        <w:t>: e.g., China, Lebanon</w:t>
      </w:r>
    </w:p>
    <w:p w14:paraId="1A3BA882"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This classification facilitates a deeper understanding of the structural configurations and long-term consequences associated with educational inequality across various contexts.</w:t>
      </w:r>
    </w:p>
    <w:p w14:paraId="48C0C8A1" w14:textId="77777777" w:rsidR="00E96C8D" w:rsidRDefault="00E96C8D" w:rsidP="00E96C8D">
      <w:pPr>
        <w:spacing w:before="100" w:beforeAutospacing="1" w:after="100" w:afterAutospacing="1" w:line="240" w:lineRule="auto"/>
        <w:jc w:val="both"/>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t>1. Low-Income Countries (Nepal, Bangladesh)</w:t>
      </w:r>
    </w:p>
    <w:p w14:paraId="7DBC4982" w14:textId="009AABE3" w:rsidR="00E96C8D" w:rsidRPr="00E96C8D" w:rsidRDefault="00E96C8D" w:rsidP="00E96C8D">
      <w:pPr>
        <w:spacing w:before="100" w:beforeAutospacing="1" w:after="100" w:afterAutospacing="1" w:line="240" w:lineRule="auto"/>
        <w:jc w:val="both"/>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kern w:val="0"/>
          <w:sz w:val="28"/>
          <w:szCs w:val="28"/>
          <w14:ligatures w14:val="none"/>
        </w:rPr>
        <w:t>In low-income countries, persistent structural constraints—ranging from economic hardship to educational infrastructure deficits—limit human capital accumulation from an early age. These contexts are characterized by high opportunity costs of education, especially for children from poor or rural households, who are often required to contribute to family income. The result is early school dropout, particularly among girls, and limited access to quality education, vocational training, or digital learning resources.</w:t>
      </w:r>
    </w:p>
    <w:p w14:paraId="3B5CE89A"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Theoretical frameworks such as </w:t>
      </w:r>
      <w:r w:rsidRPr="00E96C8D">
        <w:rPr>
          <w:rFonts w:ascii="Browallia New" w:eastAsia="Times New Roman" w:hAnsi="Browallia New" w:cs="Browallia New"/>
          <w:b/>
          <w:bCs/>
          <w:kern w:val="0"/>
          <w:sz w:val="28"/>
          <w:szCs w:val="28"/>
          <w14:ligatures w14:val="none"/>
        </w:rPr>
        <w:t>Intergenerational Poverty</w:t>
      </w:r>
      <w:r w:rsidRPr="00E96C8D">
        <w:rPr>
          <w:rFonts w:ascii="Browallia New" w:eastAsia="Times New Roman" w:hAnsi="Browallia New" w:cs="Browallia New"/>
          <w:kern w:val="0"/>
          <w:sz w:val="28"/>
          <w:szCs w:val="28"/>
          <w14:ligatures w14:val="none"/>
        </w:rPr>
        <w:t xml:space="preserve"> and </w:t>
      </w:r>
      <w:r w:rsidRPr="00E96C8D">
        <w:rPr>
          <w:rFonts w:ascii="Browallia New" w:eastAsia="Times New Roman" w:hAnsi="Browallia New" w:cs="Browallia New"/>
          <w:b/>
          <w:bCs/>
          <w:kern w:val="0"/>
          <w:sz w:val="28"/>
          <w:szCs w:val="28"/>
          <w14:ligatures w14:val="none"/>
        </w:rPr>
        <w:t>Opportunity Cost</w:t>
      </w:r>
      <w:r w:rsidRPr="00E96C8D">
        <w:rPr>
          <w:rFonts w:ascii="Browallia New" w:eastAsia="Times New Roman" w:hAnsi="Browallia New" w:cs="Browallia New"/>
          <w:kern w:val="0"/>
          <w:sz w:val="28"/>
          <w:szCs w:val="28"/>
          <w14:ligatures w14:val="none"/>
        </w:rPr>
        <w:t xml:space="preserve"> are particularly useful here: families in these settings perceive schooling as a foregone economic opportunity, rather than a long-term investment. During crises such as the COVID-19 pandemic, countries like Bangladesh were unable to implement </w:t>
      </w:r>
      <w:r w:rsidRPr="00E96C8D">
        <w:rPr>
          <w:rFonts w:ascii="Browallia New" w:eastAsia="Times New Roman" w:hAnsi="Browallia New" w:cs="Browallia New"/>
          <w:kern w:val="0"/>
          <w:sz w:val="28"/>
          <w:szCs w:val="28"/>
          <w14:ligatures w14:val="none"/>
        </w:rPr>
        <w:lastRenderedPageBreak/>
        <w:t>widespread online learning, resulting in significant learning disruptions. The long-term outcome is a labor market saturated with low-skilled workers, hindering national competitiveness and deepening socio-economic divides.</w:t>
      </w:r>
    </w:p>
    <w:p w14:paraId="20334772" w14:textId="77777777" w:rsidR="00E96C8D" w:rsidRDefault="00E96C8D" w:rsidP="00E96C8D">
      <w:pPr>
        <w:spacing w:before="100" w:beforeAutospacing="1" w:after="100" w:afterAutospacing="1" w:line="240" w:lineRule="auto"/>
        <w:jc w:val="thaiDistribute"/>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t>2. Middle-Income Countries (Thailand, Pakistan, Iraq, Syrian Arab Republic)</w:t>
      </w:r>
    </w:p>
    <w:p w14:paraId="765436D5" w14:textId="31EDF571"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Middle-income countries face a paradox: while access to basic education has improved, the quality and relevance of that education remain insufficient. The phenomenon of </w:t>
      </w:r>
      <w:r w:rsidRPr="00E96C8D">
        <w:rPr>
          <w:rFonts w:ascii="Browallia New" w:eastAsia="Times New Roman" w:hAnsi="Browallia New" w:cs="Browallia New"/>
          <w:b/>
          <w:bCs/>
          <w:kern w:val="0"/>
          <w:sz w:val="28"/>
          <w:szCs w:val="28"/>
          <w14:ligatures w14:val="none"/>
        </w:rPr>
        <w:t>Educational Mismatch</w:t>
      </w:r>
      <w:r w:rsidR="00EE1DED">
        <w:rPr>
          <w:rFonts w:ascii="Browallia New" w:eastAsia="Times New Roman" w:hAnsi="Browallia New" w:cs="Browallia New" w:hint="cs"/>
          <w:kern w:val="0"/>
          <w:sz w:val="28"/>
          <w:szCs w:val="28"/>
          <w:cs/>
          <w:lang w:bidi="th-TH"/>
          <w14:ligatures w14:val="none"/>
        </w:rPr>
        <w:t xml:space="preserve"> </w:t>
      </w:r>
      <w:r w:rsidRPr="00E96C8D">
        <w:rPr>
          <w:rFonts w:ascii="Browallia New" w:eastAsia="Times New Roman" w:hAnsi="Browallia New" w:cs="Browallia New"/>
          <w:kern w:val="0"/>
          <w:sz w:val="28"/>
          <w:szCs w:val="28"/>
          <w14:ligatures w14:val="none"/>
        </w:rPr>
        <w:t>where academic qualifications do not align with labor market requirements—is acute in countries like Thailand and Pakistan. Despite rising graduation rates, many young people lack the skills demanded in high-value sectors of the economy.</w:t>
      </w:r>
    </w:p>
    <w:p w14:paraId="17C86FE2"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At the same time, these countries remain vulnerable to external shocks such as armed conflict, pandemics, and economic downturns. In Iraq and Syria, for instance, decades of instability have destroyed educational infrastructure and hindered long-term human capital formation.</w:t>
      </w:r>
    </w:p>
    <w:p w14:paraId="7F78F728"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Furthermore, the cost of lifelong learning—whether in terms of time, money, or motivation—is particularly burdensome for middle-aged workers. Many are trapped in low-productivity jobs and lack incentives or support systems for upskilling. Structural gender and geographic inequalities also persist, excluding girls in rural areas or workers in remote regions from accessing education and training services.</w:t>
      </w:r>
    </w:p>
    <w:p w14:paraId="5EAEB35D"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The long-term implications include a growing cohort of unskilled labor, limited economic mobility, and a heightened risk of falling into the </w:t>
      </w:r>
      <w:r w:rsidRPr="00E96C8D">
        <w:rPr>
          <w:rFonts w:ascii="Browallia New" w:eastAsia="Times New Roman" w:hAnsi="Browallia New" w:cs="Browallia New"/>
          <w:b/>
          <w:bCs/>
          <w:kern w:val="0"/>
          <w:sz w:val="28"/>
          <w:szCs w:val="28"/>
          <w14:ligatures w14:val="none"/>
        </w:rPr>
        <w:t>middle-income trap</w:t>
      </w:r>
      <w:r w:rsidRPr="00E96C8D">
        <w:rPr>
          <w:rFonts w:ascii="Browallia New" w:eastAsia="Times New Roman" w:hAnsi="Browallia New" w:cs="Browallia New"/>
          <w:kern w:val="0"/>
          <w:sz w:val="28"/>
          <w:szCs w:val="28"/>
          <w14:ligatures w14:val="none"/>
        </w:rPr>
        <w:t>, where countries fail to transition into high-income status due to stagnant productivity growth.</w:t>
      </w:r>
    </w:p>
    <w:p w14:paraId="12D9F204" w14:textId="77777777" w:rsidR="00E96C8D" w:rsidRDefault="00E96C8D" w:rsidP="00E96C8D">
      <w:pPr>
        <w:spacing w:before="100" w:beforeAutospacing="1" w:after="100" w:afterAutospacing="1" w:line="240" w:lineRule="auto"/>
        <w:jc w:val="thaiDistribute"/>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t>3. High-Income or Upper-Middle-Income Countries with Complex Labor Markets (China, Lebanon)</w:t>
      </w:r>
    </w:p>
    <w:p w14:paraId="6F23DE1C" w14:textId="2C2E34D0"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Even countries with relatively advanced education systems and economic infrastructure face challenges of educational inequality</w:t>
      </w:r>
      <w:r w:rsidR="00F7401F">
        <w:rPr>
          <w:rFonts w:ascii="Browallia New" w:eastAsia="Times New Roman" w:hAnsi="Browallia New" w:cs="Browallia New" w:hint="cs"/>
          <w:kern w:val="0"/>
          <w:sz w:val="28"/>
          <w:szCs w:val="28"/>
          <w:cs/>
          <w:lang w:bidi="th-TH"/>
          <w14:ligatures w14:val="none"/>
        </w:rPr>
        <w:t xml:space="preserve"> </w:t>
      </w:r>
      <w:r w:rsidRPr="00E96C8D">
        <w:rPr>
          <w:rFonts w:ascii="Browallia New" w:eastAsia="Times New Roman" w:hAnsi="Browallia New" w:cs="Browallia New"/>
          <w:kern w:val="0"/>
          <w:sz w:val="28"/>
          <w:szCs w:val="28"/>
          <w14:ligatures w14:val="none"/>
        </w:rPr>
        <w:t xml:space="preserve">though in different forms. In China, the competitive and rigid nature of the education system leads to significant dropout rates, especially among children of migrant workers who are restricted by the </w:t>
      </w:r>
      <w:r w:rsidRPr="00E96C8D">
        <w:rPr>
          <w:rFonts w:ascii="Browallia New" w:eastAsia="Times New Roman" w:hAnsi="Browallia New" w:cs="Browallia New"/>
          <w:b/>
          <w:bCs/>
          <w:kern w:val="0"/>
          <w:sz w:val="28"/>
          <w:szCs w:val="28"/>
          <w14:ligatures w14:val="none"/>
        </w:rPr>
        <w:t>Hukou</w:t>
      </w:r>
      <w:r w:rsidRPr="00E96C8D">
        <w:rPr>
          <w:rFonts w:ascii="Browallia New" w:eastAsia="Times New Roman" w:hAnsi="Browallia New" w:cs="Browallia New"/>
          <w:kern w:val="0"/>
          <w:sz w:val="28"/>
          <w:szCs w:val="28"/>
          <w14:ligatures w14:val="none"/>
        </w:rPr>
        <w:t xml:space="preserve"> household registration system. While urban areas benefit from advanced learning technologies and institutional support, rural and migrant populations continue to face structural barriers to educational advancement.</w:t>
      </w:r>
    </w:p>
    <w:p w14:paraId="4E0CC485"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Lebanon presents a unique case. Despite having historically strong education systems, the country’s ongoing political and economic crises have caused widespread disruption. Teachers are leaving the profession, schools are underfunded, and the hidden costs of education—such as transportation and materials—have become unbearable for many families. These developments result in "wasted potential," wherein capable individuals are unable to participate in or benefit from the education system.</w:t>
      </w:r>
    </w:p>
    <w:p w14:paraId="41B92AF9" w14:textId="2F265EA4" w:rsidR="00E96C8D" w:rsidRPr="00FB22A9" w:rsidRDefault="00E96C8D" w:rsidP="00FB22A9">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lastRenderedPageBreak/>
        <w:t>Without flexible and inclusive lifelong learning frameworks, even well-educated countries risk underutilizing their human capital, delaying their economic transformation and exacerbating inequality.</w:t>
      </w:r>
    </w:p>
    <w:p w14:paraId="5E34E8C7"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Chapter 4: Causes and Consequences of Educational Inequality Across Income Groups: Interpretations through Human Capital and Structural Theories</w:t>
      </w:r>
    </w:p>
    <w:p w14:paraId="2ED2FEEC" w14:textId="199D1BF3"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Educational inequality poses a significant barrier to human capital development and undermines national competitiveness in the global economy. While often perceived </w:t>
      </w:r>
      <w:r w:rsidR="00F7401F" w:rsidRPr="00E96C8D">
        <w:rPr>
          <w:rFonts w:ascii="Browallia New" w:eastAsia="Times New Roman" w:hAnsi="Browallia New" w:cs="Browallia New"/>
          <w:kern w:val="0"/>
          <w:sz w:val="28"/>
          <w:szCs w:val="28"/>
          <w14:ligatures w14:val="none"/>
        </w:rPr>
        <w:t>because of</w:t>
      </w:r>
      <w:r w:rsidRPr="00E96C8D">
        <w:rPr>
          <w:rFonts w:ascii="Browallia New" w:eastAsia="Times New Roman" w:hAnsi="Browallia New" w:cs="Browallia New"/>
          <w:kern w:val="0"/>
          <w:sz w:val="28"/>
          <w:szCs w:val="28"/>
          <w14:ligatures w14:val="none"/>
        </w:rPr>
        <w:t xml:space="preserve"> financial hardship, its origins are multifaceted—intertwining opportunity costs, mismatches between educational content and labor market demands, structural barriers, and intergenerational poverty. These dynamics vary across countries depending on their income levels and developmental contexts.</w:t>
      </w:r>
    </w:p>
    <w:p w14:paraId="6F8A7B66" w14:textId="77777777" w:rsidR="00E96C8D" w:rsidRPr="00E96C8D" w:rsidRDefault="00E96C8D" w:rsidP="00E96C8D">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To analyze these dimensions, this study applies a </w:t>
      </w:r>
      <w:r w:rsidRPr="00E96C8D">
        <w:rPr>
          <w:rFonts w:ascii="Browallia New" w:eastAsia="Times New Roman" w:hAnsi="Browallia New" w:cs="Browallia New"/>
          <w:b/>
          <w:bCs/>
          <w:kern w:val="0"/>
          <w:sz w:val="28"/>
          <w:szCs w:val="28"/>
          <w14:ligatures w14:val="none"/>
        </w:rPr>
        <w:t>SWOT analysis framework</w:t>
      </w:r>
      <w:r w:rsidRPr="00E96C8D">
        <w:rPr>
          <w:rFonts w:ascii="Browallia New" w:eastAsia="Times New Roman" w:hAnsi="Browallia New" w:cs="Browallia New"/>
          <w:kern w:val="0"/>
          <w:sz w:val="28"/>
          <w:szCs w:val="28"/>
          <w14:ligatures w14:val="none"/>
        </w:rPr>
        <w:t xml:space="preserve"> (based on TOWS Matrix principles), categorizing countries by income level and contextual variables. It integrates three primary theoretical perspectives: </w:t>
      </w:r>
      <w:r w:rsidRPr="00E96C8D">
        <w:rPr>
          <w:rFonts w:ascii="Browallia New" w:eastAsia="Times New Roman" w:hAnsi="Browallia New" w:cs="Browallia New"/>
          <w:b/>
          <w:bCs/>
          <w:kern w:val="0"/>
          <w:sz w:val="28"/>
          <w:szCs w:val="28"/>
          <w14:ligatures w14:val="none"/>
        </w:rPr>
        <w:t>Human Capital Theory</w:t>
      </w:r>
      <w:r w:rsidRPr="00E96C8D">
        <w:rPr>
          <w:rFonts w:ascii="Browallia New" w:eastAsia="Times New Roman" w:hAnsi="Browallia New" w:cs="Browallia New"/>
          <w:kern w:val="0"/>
          <w:sz w:val="28"/>
          <w:szCs w:val="28"/>
          <w14:ligatures w14:val="none"/>
        </w:rPr>
        <w:t xml:space="preserve">, </w:t>
      </w:r>
      <w:r w:rsidRPr="00E96C8D">
        <w:rPr>
          <w:rFonts w:ascii="Browallia New" w:eastAsia="Times New Roman" w:hAnsi="Browallia New" w:cs="Browallia New"/>
          <w:b/>
          <w:bCs/>
          <w:kern w:val="0"/>
          <w:sz w:val="28"/>
          <w:szCs w:val="28"/>
          <w14:ligatures w14:val="none"/>
        </w:rPr>
        <w:t>Educational Mismatch</w:t>
      </w:r>
      <w:r w:rsidRPr="00E96C8D">
        <w:rPr>
          <w:rFonts w:ascii="Browallia New" w:eastAsia="Times New Roman" w:hAnsi="Browallia New" w:cs="Browallia New"/>
          <w:kern w:val="0"/>
          <w:sz w:val="28"/>
          <w:szCs w:val="28"/>
          <w14:ligatures w14:val="none"/>
        </w:rPr>
        <w:t xml:space="preserve">, and </w:t>
      </w:r>
      <w:r w:rsidRPr="00E96C8D">
        <w:rPr>
          <w:rFonts w:ascii="Browallia New" w:eastAsia="Times New Roman" w:hAnsi="Browallia New" w:cs="Browallia New"/>
          <w:b/>
          <w:bCs/>
          <w:kern w:val="0"/>
          <w:sz w:val="28"/>
          <w:szCs w:val="28"/>
          <w14:ligatures w14:val="none"/>
        </w:rPr>
        <w:t>Intergenerational Poverty</w:t>
      </w:r>
      <w:r w:rsidRPr="00E96C8D">
        <w:rPr>
          <w:rFonts w:ascii="Browallia New" w:eastAsia="Times New Roman" w:hAnsi="Browallia New" w:cs="Browallia New"/>
          <w:kern w:val="0"/>
          <w:sz w:val="28"/>
          <w:szCs w:val="28"/>
          <w14:ligatures w14:val="none"/>
        </w:rPr>
        <w:t>, enabling a comprehensive evaluation of the opportunities and constraints each nation faces in building a resilient and inclusive skill development ecosystem.</w:t>
      </w:r>
    </w:p>
    <w:p w14:paraId="2EACE5D3" w14:textId="77777777" w:rsidR="00E96C8D" w:rsidRPr="00E96C8D" w:rsidRDefault="00E96C8D" w:rsidP="00E96C8D">
      <w:pPr>
        <w:spacing w:before="100" w:beforeAutospacing="1" w:after="100" w:afterAutospacing="1" w:line="240" w:lineRule="auto"/>
        <w:jc w:val="thaiDistribute"/>
        <w:outlineLvl w:val="2"/>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t>SWOT Analysis by Income Group</w:t>
      </w:r>
    </w:p>
    <w:tbl>
      <w:tblPr>
        <w:tblStyle w:val="GridTable3"/>
        <w:tblW w:w="0" w:type="auto"/>
        <w:tblLook w:val="04A0" w:firstRow="1" w:lastRow="0" w:firstColumn="1" w:lastColumn="0" w:noHBand="0" w:noVBand="1"/>
      </w:tblPr>
      <w:tblGrid>
        <w:gridCol w:w="1531"/>
        <w:gridCol w:w="2171"/>
        <w:gridCol w:w="1871"/>
        <w:gridCol w:w="1955"/>
        <w:gridCol w:w="1832"/>
      </w:tblGrid>
      <w:tr w:rsidR="00E96C8D" w:rsidRPr="00B0473B" w14:paraId="592C839A" w14:textId="77777777" w:rsidTr="00FB22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single" w:sz="4" w:space="0" w:color="auto"/>
            </w:tcBorders>
            <w:hideMark/>
          </w:tcPr>
          <w:p w14:paraId="39F9AD8A" w14:textId="77777777" w:rsidR="00E96C8D" w:rsidRPr="00B0473B" w:rsidRDefault="00E96C8D" w:rsidP="00E96C8D">
            <w:pPr>
              <w:jc w:val="thaiDistribute"/>
              <w:rPr>
                <w:rFonts w:ascii="Browallia New" w:eastAsia="Times New Roman" w:hAnsi="Browallia New" w:cs="Browallia New"/>
                <w:i w:val="0"/>
                <w:iCs w:val="0"/>
                <w:kern w:val="0"/>
                <w:sz w:val="28"/>
                <w:szCs w:val="28"/>
                <w14:ligatures w14:val="none"/>
              </w:rPr>
            </w:pPr>
            <w:r w:rsidRPr="00B0473B">
              <w:rPr>
                <w:rFonts w:ascii="Browallia New" w:eastAsia="Times New Roman" w:hAnsi="Browallia New" w:cs="Browallia New"/>
                <w:i w:val="0"/>
                <w:iCs w:val="0"/>
                <w:kern w:val="0"/>
                <w:sz w:val="28"/>
                <w:szCs w:val="28"/>
                <w14:ligatures w14:val="none"/>
              </w:rPr>
              <w:t>Country Group</w:t>
            </w:r>
          </w:p>
        </w:tc>
        <w:tc>
          <w:tcPr>
            <w:tcW w:w="2171" w:type="dxa"/>
            <w:hideMark/>
          </w:tcPr>
          <w:p w14:paraId="3A835176" w14:textId="77777777" w:rsidR="00E96C8D" w:rsidRPr="00B0473B" w:rsidRDefault="00E96C8D" w:rsidP="00E96C8D">
            <w:pPr>
              <w:jc w:val="thaiDistribute"/>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B0473B">
              <w:rPr>
                <w:rFonts w:ascii="Browallia New" w:eastAsia="Times New Roman" w:hAnsi="Browallia New" w:cs="Browallia New"/>
                <w:kern w:val="0"/>
                <w:sz w:val="28"/>
                <w:szCs w:val="28"/>
                <w14:ligatures w14:val="none"/>
              </w:rPr>
              <w:t>Strengths</w:t>
            </w:r>
          </w:p>
        </w:tc>
        <w:tc>
          <w:tcPr>
            <w:tcW w:w="0" w:type="auto"/>
            <w:hideMark/>
          </w:tcPr>
          <w:p w14:paraId="5AD8FCE6" w14:textId="77777777" w:rsidR="00E96C8D" w:rsidRPr="00B0473B" w:rsidRDefault="00E96C8D" w:rsidP="00E96C8D">
            <w:pPr>
              <w:jc w:val="thaiDistribute"/>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B0473B">
              <w:rPr>
                <w:rFonts w:ascii="Browallia New" w:eastAsia="Times New Roman" w:hAnsi="Browallia New" w:cs="Browallia New"/>
                <w:kern w:val="0"/>
                <w:sz w:val="28"/>
                <w:szCs w:val="28"/>
                <w14:ligatures w14:val="none"/>
              </w:rPr>
              <w:t>Weaknesses</w:t>
            </w:r>
          </w:p>
        </w:tc>
        <w:tc>
          <w:tcPr>
            <w:tcW w:w="0" w:type="auto"/>
            <w:hideMark/>
          </w:tcPr>
          <w:p w14:paraId="516AE602" w14:textId="77777777" w:rsidR="00E96C8D" w:rsidRPr="00B0473B" w:rsidRDefault="00E96C8D" w:rsidP="00E96C8D">
            <w:pPr>
              <w:jc w:val="thaiDistribute"/>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B0473B">
              <w:rPr>
                <w:rFonts w:ascii="Browallia New" w:eastAsia="Times New Roman" w:hAnsi="Browallia New" w:cs="Browallia New"/>
                <w:kern w:val="0"/>
                <w:sz w:val="28"/>
                <w:szCs w:val="28"/>
                <w14:ligatures w14:val="none"/>
              </w:rPr>
              <w:t>Opportunities</w:t>
            </w:r>
          </w:p>
        </w:tc>
        <w:tc>
          <w:tcPr>
            <w:tcW w:w="0" w:type="auto"/>
            <w:hideMark/>
          </w:tcPr>
          <w:p w14:paraId="0D06CE7F" w14:textId="77777777" w:rsidR="00E96C8D" w:rsidRPr="00B0473B" w:rsidRDefault="00E96C8D" w:rsidP="00E96C8D">
            <w:pPr>
              <w:jc w:val="thaiDistribute"/>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B0473B">
              <w:rPr>
                <w:rFonts w:ascii="Browallia New" w:eastAsia="Times New Roman" w:hAnsi="Browallia New" w:cs="Browallia New"/>
                <w:kern w:val="0"/>
                <w:sz w:val="28"/>
                <w:szCs w:val="28"/>
                <w14:ligatures w14:val="none"/>
              </w:rPr>
              <w:t>Threats</w:t>
            </w:r>
          </w:p>
        </w:tc>
      </w:tr>
      <w:tr w:rsidR="00E96C8D" w:rsidRPr="00E96C8D" w14:paraId="71E573B1" w14:textId="77777777" w:rsidTr="00FB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hideMark/>
          </w:tcPr>
          <w:p w14:paraId="1BC17DE5" w14:textId="596F20DD" w:rsidR="00E96C8D" w:rsidRPr="00E96C8D" w:rsidRDefault="00E96C8D" w:rsidP="00E96C8D">
            <w:pPr>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Low-Income (e.g.,Nepal, Bangladesh)</w:t>
            </w:r>
          </w:p>
        </w:tc>
        <w:tc>
          <w:tcPr>
            <w:tcW w:w="2171" w:type="dxa"/>
            <w:tcBorders>
              <w:left w:val="single" w:sz="4" w:space="0" w:color="auto"/>
            </w:tcBorders>
            <w:hideMark/>
          </w:tcPr>
          <w:p w14:paraId="69077096"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Localized support programs (e.g., rural training initiatives)</w:t>
            </w:r>
          </w:p>
        </w:tc>
        <w:tc>
          <w:tcPr>
            <w:tcW w:w="0" w:type="auto"/>
            <w:hideMark/>
          </w:tcPr>
          <w:p w14:paraId="5D7725BF"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Chronic poverty, teacher shortages, infrastructure deficits</w:t>
            </w:r>
          </w:p>
        </w:tc>
        <w:tc>
          <w:tcPr>
            <w:tcW w:w="0" w:type="auto"/>
            <w:hideMark/>
          </w:tcPr>
          <w:p w14:paraId="3EF008DF"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External support from international organizations for skills training</w:t>
            </w:r>
          </w:p>
        </w:tc>
        <w:tc>
          <w:tcPr>
            <w:tcW w:w="0" w:type="auto"/>
            <w:hideMark/>
          </w:tcPr>
          <w:p w14:paraId="19912FDA"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Weak infrastructure in remote areas; limited access to digital education</w:t>
            </w:r>
          </w:p>
        </w:tc>
      </w:tr>
      <w:tr w:rsidR="00E96C8D" w:rsidRPr="00E96C8D" w14:paraId="57C3FD95" w14:textId="77777777" w:rsidTr="00FB22A9">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hideMark/>
          </w:tcPr>
          <w:p w14:paraId="0A9441AB" w14:textId="705536B8" w:rsidR="00E96C8D" w:rsidRPr="00E96C8D" w:rsidRDefault="00E96C8D" w:rsidP="00E96C8D">
            <w:pPr>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Middle-Income (e.g.,Thailand, Pakistan,Syria, Iraq)</w:t>
            </w:r>
          </w:p>
        </w:tc>
        <w:tc>
          <w:tcPr>
            <w:tcW w:w="2171" w:type="dxa"/>
            <w:tcBorders>
              <w:left w:val="single" w:sz="4" w:space="0" w:color="auto"/>
            </w:tcBorders>
            <w:hideMark/>
          </w:tcPr>
          <w:p w14:paraId="74A7F40A" w14:textId="77777777" w:rsidR="00E96C8D" w:rsidRPr="00E96C8D" w:rsidRDefault="00E96C8D" w:rsidP="00E96C8D">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Expanding access to basic education and emerging digital platforms</w:t>
            </w:r>
          </w:p>
        </w:tc>
        <w:tc>
          <w:tcPr>
            <w:tcW w:w="0" w:type="auto"/>
            <w:hideMark/>
          </w:tcPr>
          <w:p w14:paraId="6A4A294D" w14:textId="77777777" w:rsidR="00E96C8D" w:rsidRPr="00E96C8D" w:rsidRDefault="00E96C8D" w:rsidP="00E96C8D">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Curriculum irrelevance, post-conflict infrastructure destruction, pandemic disruptions</w:t>
            </w:r>
          </w:p>
        </w:tc>
        <w:tc>
          <w:tcPr>
            <w:tcW w:w="0" w:type="auto"/>
            <w:hideMark/>
          </w:tcPr>
          <w:p w14:paraId="3A1F70F9" w14:textId="77777777" w:rsidR="00E96C8D" w:rsidRPr="00E96C8D" w:rsidRDefault="00E96C8D" w:rsidP="00E96C8D">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Potential for lifelong learning integration; industry-aligned vocational pathways</w:t>
            </w:r>
          </w:p>
        </w:tc>
        <w:tc>
          <w:tcPr>
            <w:tcW w:w="0" w:type="auto"/>
            <w:hideMark/>
          </w:tcPr>
          <w:p w14:paraId="633DDFEA" w14:textId="77777777" w:rsidR="00E96C8D" w:rsidRPr="00E96C8D" w:rsidRDefault="00E96C8D" w:rsidP="00E96C8D">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Gender and geographic inequalities; limited access to sustained training programs</w:t>
            </w:r>
          </w:p>
        </w:tc>
      </w:tr>
      <w:tr w:rsidR="00E96C8D" w:rsidRPr="00E96C8D" w14:paraId="63F832DF" w14:textId="77777777" w:rsidTr="00FB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hideMark/>
          </w:tcPr>
          <w:p w14:paraId="14E41459" w14:textId="10211134" w:rsidR="00E96C8D" w:rsidRPr="00E96C8D" w:rsidRDefault="00E96C8D" w:rsidP="00E96C8D">
            <w:pPr>
              <w:jc w:val="thaiDistribute"/>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b/>
                <w:bCs/>
                <w:kern w:val="0"/>
                <w:sz w:val="28"/>
                <w:szCs w:val="28"/>
                <w14:ligatures w14:val="none"/>
              </w:rPr>
              <w:t>High/Upper-Middle-Income (e.g.,China, Lebanon)</w:t>
            </w:r>
          </w:p>
        </w:tc>
        <w:tc>
          <w:tcPr>
            <w:tcW w:w="2171" w:type="dxa"/>
            <w:tcBorders>
              <w:left w:val="single" w:sz="4" w:space="0" w:color="auto"/>
            </w:tcBorders>
            <w:hideMark/>
          </w:tcPr>
          <w:p w14:paraId="0CED5E4C"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Advanced infrastructure in developed regions; capacity to scale lifelong learning systems</w:t>
            </w:r>
          </w:p>
        </w:tc>
        <w:tc>
          <w:tcPr>
            <w:tcW w:w="0" w:type="auto"/>
            <w:hideMark/>
          </w:tcPr>
          <w:p w14:paraId="0947336C"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Rigid and highly competitive systems; structural exclusion (e.g., Hukou)</w:t>
            </w:r>
          </w:p>
        </w:tc>
        <w:tc>
          <w:tcPr>
            <w:tcW w:w="0" w:type="auto"/>
            <w:hideMark/>
          </w:tcPr>
          <w:p w14:paraId="0B8C775A"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Digital transformation of lifelong learning; expanded recognition of non-formal skills</w:t>
            </w:r>
          </w:p>
        </w:tc>
        <w:tc>
          <w:tcPr>
            <w:tcW w:w="0" w:type="auto"/>
            <w:hideMark/>
          </w:tcPr>
          <w:p w14:paraId="26CB6541" w14:textId="77777777" w:rsidR="00E96C8D" w:rsidRPr="00E96C8D" w:rsidRDefault="00E96C8D" w:rsidP="00E96C8D">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Legal and institutional constraints; dropout driven by systemic inflexibility</w:t>
            </w:r>
          </w:p>
        </w:tc>
      </w:tr>
    </w:tbl>
    <w:p w14:paraId="43C4810F" w14:textId="5F9DC225" w:rsidR="00E96C8D" w:rsidRPr="00E96C8D" w:rsidRDefault="00E96C8D" w:rsidP="00E96C8D">
      <w:pPr>
        <w:spacing w:before="100" w:beforeAutospacing="1" w:after="100" w:afterAutospacing="1" w:line="240" w:lineRule="auto"/>
        <w:jc w:val="thaiDistribute"/>
        <w:outlineLvl w:val="2"/>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lastRenderedPageBreak/>
        <w:t>Country-Level Implications</w:t>
      </w:r>
    </w:p>
    <w:p w14:paraId="6497F370" w14:textId="77777777" w:rsidR="00E96C8D" w:rsidRPr="00E96C8D" w:rsidRDefault="00E96C8D" w:rsidP="00E96C8D">
      <w:pPr>
        <w:spacing w:before="100" w:beforeAutospacing="1" w:after="100" w:afterAutospacing="1" w:line="240" w:lineRule="auto"/>
        <w:jc w:val="thaiDistribute"/>
        <w:outlineLvl w:val="3"/>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t>1. Low-Income Countries: Nepal and Bangladesh</w:t>
      </w:r>
    </w:p>
    <w:p w14:paraId="34630B78" w14:textId="056A5059"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In these contexts, deep-rooted structural challenges—limited school access, teacher shortages, and digital divides</w:t>
      </w:r>
      <w:r w:rsidR="00F7401F">
        <w:rPr>
          <w:rFonts w:ascii="Browallia New" w:eastAsia="Times New Roman" w:hAnsi="Browallia New" w:cs="Browallia New" w:hint="cs"/>
          <w:kern w:val="0"/>
          <w:sz w:val="28"/>
          <w:szCs w:val="28"/>
          <w:cs/>
          <w:lang w:bidi="th-TH"/>
          <w14:ligatures w14:val="none"/>
        </w:rPr>
        <w:t xml:space="preserve"> </w:t>
      </w:r>
      <w:r w:rsidRPr="00E96C8D">
        <w:rPr>
          <w:rFonts w:ascii="Browallia New" w:eastAsia="Times New Roman" w:hAnsi="Browallia New" w:cs="Browallia New"/>
          <w:kern w:val="0"/>
          <w:sz w:val="28"/>
          <w:szCs w:val="28"/>
          <w14:ligatures w14:val="none"/>
        </w:rPr>
        <w:t xml:space="preserve">severely restrict human capital development. Families often weigh the </w:t>
      </w:r>
      <w:r w:rsidRPr="00E96C8D">
        <w:rPr>
          <w:rFonts w:ascii="Browallia New" w:eastAsia="Times New Roman" w:hAnsi="Browallia New" w:cs="Browallia New"/>
          <w:b/>
          <w:bCs/>
          <w:kern w:val="0"/>
          <w:sz w:val="28"/>
          <w:szCs w:val="28"/>
          <w14:ligatures w14:val="none"/>
        </w:rPr>
        <w:t>opportunity cost</w:t>
      </w:r>
      <w:r w:rsidRPr="00E96C8D">
        <w:rPr>
          <w:rFonts w:ascii="Browallia New" w:eastAsia="Times New Roman" w:hAnsi="Browallia New" w:cs="Browallia New"/>
          <w:kern w:val="0"/>
          <w:sz w:val="28"/>
          <w:szCs w:val="28"/>
          <w14:ligatures w14:val="none"/>
        </w:rPr>
        <w:t xml:space="preserve"> of education against immediate economic needs, leading to early school dropout, especially among rural children and girls. Public investment in infrastructure is insufficient, and reliance on international aid remains high.</w:t>
      </w:r>
    </w:p>
    <w:p w14:paraId="56BBD721" w14:textId="77777777"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The long-term outcome is a surplus of low-skilled labor, stifling productivity and worsening economic inequality. This confirms the significance of </w:t>
      </w:r>
      <w:r w:rsidRPr="00E96C8D">
        <w:rPr>
          <w:rFonts w:ascii="Browallia New" w:eastAsia="Times New Roman" w:hAnsi="Browallia New" w:cs="Browallia New"/>
          <w:b/>
          <w:bCs/>
          <w:kern w:val="0"/>
          <w:sz w:val="28"/>
          <w:szCs w:val="28"/>
          <w14:ligatures w14:val="none"/>
        </w:rPr>
        <w:t>Human Capital Theory</w:t>
      </w:r>
      <w:r w:rsidRPr="00E96C8D">
        <w:rPr>
          <w:rFonts w:ascii="Browallia New" w:eastAsia="Times New Roman" w:hAnsi="Browallia New" w:cs="Browallia New"/>
          <w:kern w:val="0"/>
          <w:sz w:val="28"/>
          <w:szCs w:val="28"/>
          <w14:ligatures w14:val="none"/>
        </w:rPr>
        <w:t xml:space="preserve"> and </w:t>
      </w:r>
      <w:r w:rsidRPr="00E96C8D">
        <w:rPr>
          <w:rFonts w:ascii="Browallia New" w:eastAsia="Times New Roman" w:hAnsi="Browallia New" w:cs="Browallia New"/>
          <w:b/>
          <w:bCs/>
          <w:kern w:val="0"/>
          <w:sz w:val="28"/>
          <w:szCs w:val="28"/>
          <w14:ligatures w14:val="none"/>
        </w:rPr>
        <w:t>Intergenerational Poverty</w:t>
      </w:r>
      <w:r w:rsidRPr="00E96C8D">
        <w:rPr>
          <w:rFonts w:ascii="Browallia New" w:eastAsia="Times New Roman" w:hAnsi="Browallia New" w:cs="Browallia New"/>
          <w:kern w:val="0"/>
          <w:sz w:val="28"/>
          <w:szCs w:val="28"/>
          <w14:ligatures w14:val="none"/>
        </w:rPr>
        <w:t>, wherein children of poor families are systematically excluded from educational progress, reinforcing poverty across generations.</w:t>
      </w:r>
    </w:p>
    <w:p w14:paraId="7F38F356" w14:textId="77777777" w:rsidR="00E96C8D" w:rsidRPr="00E96C8D" w:rsidRDefault="00E96C8D" w:rsidP="00E96C8D">
      <w:pPr>
        <w:spacing w:before="100" w:beforeAutospacing="1" w:after="100" w:afterAutospacing="1" w:line="240" w:lineRule="auto"/>
        <w:jc w:val="both"/>
        <w:outlineLvl w:val="3"/>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t>2. Middle-Income Countries: Thailand, Pakistan, Syria, Iraq</w:t>
      </w:r>
    </w:p>
    <w:p w14:paraId="46DC2F17" w14:textId="77777777"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While these countries have made progress in expanding access to education, they face severe </w:t>
      </w:r>
      <w:r w:rsidRPr="00E96C8D">
        <w:rPr>
          <w:rFonts w:ascii="Browallia New" w:eastAsia="Times New Roman" w:hAnsi="Browallia New" w:cs="Browallia New"/>
          <w:b/>
          <w:bCs/>
          <w:kern w:val="0"/>
          <w:sz w:val="28"/>
          <w:szCs w:val="28"/>
          <w14:ligatures w14:val="none"/>
        </w:rPr>
        <w:t>educational mismatch</w:t>
      </w:r>
      <w:r w:rsidRPr="00E96C8D">
        <w:rPr>
          <w:rFonts w:ascii="Browallia New" w:eastAsia="Times New Roman" w:hAnsi="Browallia New" w:cs="Browallia New"/>
          <w:kern w:val="0"/>
          <w:sz w:val="28"/>
          <w:szCs w:val="28"/>
          <w14:ligatures w14:val="none"/>
        </w:rPr>
        <w:t xml:space="preserve"> challenges. The curricula often fail to equip students with market-relevant skills, particularly in digital or high-value sectors. For example, Thailand’s vocational education remains undervalued, and Iraq and Syria suffer from weakened infrastructure due to conflict.</w:t>
      </w:r>
    </w:p>
    <w:p w14:paraId="08076125" w14:textId="77777777"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Another critical issue is the </w:t>
      </w:r>
      <w:r w:rsidRPr="00E96C8D">
        <w:rPr>
          <w:rFonts w:ascii="Browallia New" w:eastAsia="Times New Roman" w:hAnsi="Browallia New" w:cs="Browallia New"/>
          <w:b/>
          <w:bCs/>
          <w:kern w:val="0"/>
          <w:sz w:val="28"/>
          <w:szCs w:val="28"/>
          <w14:ligatures w14:val="none"/>
        </w:rPr>
        <w:t>lack of lifelong learning mechanisms</w:t>
      </w:r>
      <w:r w:rsidRPr="00E96C8D">
        <w:rPr>
          <w:rFonts w:ascii="Browallia New" w:eastAsia="Times New Roman" w:hAnsi="Browallia New" w:cs="Browallia New"/>
          <w:kern w:val="0"/>
          <w:sz w:val="28"/>
          <w:szCs w:val="28"/>
          <w14:ligatures w14:val="none"/>
        </w:rPr>
        <w:t>. Mid-career workers often lack time, motivation, or institutional support for upskilling, resulting in an aging workforce trapped in low-productivity sectors. Social inequities, particularly those based on gender or geographic location, further exacerbate exclusion from education and skill development.</w:t>
      </w:r>
    </w:p>
    <w:p w14:paraId="1E268F7A" w14:textId="77777777"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The long-term impact includes an expanding cohort of unskilled laborers, constrained upward mobility, and increased risk of economic stagnation—what development economists describe as the </w:t>
      </w:r>
      <w:r w:rsidRPr="00E96C8D">
        <w:rPr>
          <w:rFonts w:ascii="Browallia New" w:eastAsia="Times New Roman" w:hAnsi="Browallia New" w:cs="Browallia New"/>
          <w:b/>
          <w:bCs/>
          <w:kern w:val="0"/>
          <w:sz w:val="28"/>
          <w:szCs w:val="28"/>
          <w14:ligatures w14:val="none"/>
        </w:rPr>
        <w:t>middle-income trap</w:t>
      </w:r>
      <w:r w:rsidRPr="00E96C8D">
        <w:rPr>
          <w:rFonts w:ascii="Browallia New" w:eastAsia="Times New Roman" w:hAnsi="Browallia New" w:cs="Browallia New"/>
          <w:kern w:val="0"/>
          <w:sz w:val="28"/>
          <w:szCs w:val="28"/>
          <w14:ligatures w14:val="none"/>
        </w:rPr>
        <w:t>.</w:t>
      </w:r>
    </w:p>
    <w:p w14:paraId="485AF64A" w14:textId="77777777" w:rsidR="00E96C8D" w:rsidRPr="00E96C8D" w:rsidRDefault="00E96C8D" w:rsidP="00E96C8D">
      <w:pPr>
        <w:spacing w:before="100" w:beforeAutospacing="1" w:after="100" w:afterAutospacing="1" w:line="240" w:lineRule="auto"/>
        <w:jc w:val="both"/>
        <w:outlineLvl w:val="3"/>
        <w:rPr>
          <w:rFonts w:ascii="Browallia New" w:eastAsia="Times New Roman" w:hAnsi="Browallia New" w:cs="Browallia New"/>
          <w:b/>
          <w:bCs/>
          <w:kern w:val="0"/>
          <w:sz w:val="28"/>
          <w:szCs w:val="28"/>
          <w14:ligatures w14:val="none"/>
        </w:rPr>
      </w:pPr>
      <w:r w:rsidRPr="00E96C8D">
        <w:rPr>
          <w:rFonts w:ascii="Browallia New" w:eastAsia="Times New Roman" w:hAnsi="Browallia New" w:cs="Browallia New"/>
          <w:b/>
          <w:bCs/>
          <w:kern w:val="0"/>
          <w:sz w:val="28"/>
          <w:szCs w:val="28"/>
          <w14:ligatures w14:val="none"/>
        </w:rPr>
        <w:t>3. High/Upper-Middle-Income Countries: China and Lebanon</w:t>
      </w:r>
    </w:p>
    <w:p w14:paraId="64A74CD9" w14:textId="77777777"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These countries present a paradox: advanced infrastructure and investments in education coexist with systemic inflexibility and inequality. In China, the </w:t>
      </w:r>
      <w:r w:rsidRPr="00E96C8D">
        <w:rPr>
          <w:rFonts w:ascii="Browallia New" w:eastAsia="Times New Roman" w:hAnsi="Browallia New" w:cs="Browallia New"/>
          <w:b/>
          <w:bCs/>
          <w:kern w:val="0"/>
          <w:sz w:val="28"/>
          <w:szCs w:val="28"/>
          <w14:ligatures w14:val="none"/>
        </w:rPr>
        <w:t>Hukou</w:t>
      </w:r>
      <w:r w:rsidRPr="00E96C8D">
        <w:rPr>
          <w:rFonts w:ascii="Browallia New" w:eastAsia="Times New Roman" w:hAnsi="Browallia New" w:cs="Browallia New"/>
          <w:kern w:val="0"/>
          <w:sz w:val="28"/>
          <w:szCs w:val="28"/>
          <w14:ligatures w14:val="none"/>
        </w:rPr>
        <w:t xml:space="preserve"> system inhibits migrant access to education, while intense academic competition fosters early dropout. Despite possessing the means to expand learning opportunities, the system lacks flexibility to accommodate diverse learner needs.</w:t>
      </w:r>
    </w:p>
    <w:p w14:paraId="013C041E" w14:textId="0E4AB813"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 xml:space="preserve">In Lebanon, the collapse of public finances and political instability have eroded prior educational achievements. Teachers are leaving the workforce, and families face prohibitive indirect costs associated with education (e.g., </w:t>
      </w:r>
      <w:r w:rsidRPr="00E96C8D">
        <w:rPr>
          <w:rFonts w:ascii="Browallia New" w:eastAsia="Times New Roman" w:hAnsi="Browallia New" w:cs="Browallia New"/>
          <w:kern w:val="0"/>
          <w:sz w:val="28"/>
          <w:szCs w:val="28"/>
          <w14:ligatures w14:val="none"/>
        </w:rPr>
        <w:lastRenderedPageBreak/>
        <w:t xml:space="preserve">transportation, supplies). This leads to </w:t>
      </w:r>
      <w:r w:rsidRPr="00E96C8D">
        <w:rPr>
          <w:rFonts w:ascii="Browallia New" w:eastAsia="Times New Roman" w:hAnsi="Browallia New" w:cs="Browallia New"/>
          <w:b/>
          <w:bCs/>
          <w:kern w:val="0"/>
          <w:sz w:val="28"/>
          <w:szCs w:val="28"/>
          <w14:ligatures w14:val="none"/>
        </w:rPr>
        <w:t xml:space="preserve">wasted </w:t>
      </w:r>
      <w:r w:rsidR="00AE62E9" w:rsidRPr="00E96C8D">
        <w:rPr>
          <w:rFonts w:ascii="Browallia New" w:eastAsia="Times New Roman" w:hAnsi="Browallia New" w:cs="Browallia New"/>
          <w:b/>
          <w:bCs/>
          <w:kern w:val="0"/>
          <w:sz w:val="28"/>
          <w:szCs w:val="28"/>
          <w14:ligatures w14:val="none"/>
        </w:rPr>
        <w:t>potential</w:t>
      </w:r>
      <w:r w:rsidRPr="00E96C8D">
        <w:rPr>
          <w:rFonts w:ascii="Browallia New" w:eastAsia="Times New Roman" w:hAnsi="Browallia New" w:cs="Browallia New"/>
          <w:kern w:val="0"/>
          <w:sz w:val="28"/>
          <w:szCs w:val="28"/>
          <w14:ligatures w14:val="none"/>
        </w:rPr>
        <w:t xml:space="preserve"> term used to describe the systemic underutilization of capable individuals due to institutional failure.</w:t>
      </w:r>
    </w:p>
    <w:p w14:paraId="767699DC" w14:textId="77777777" w:rsidR="00E96C8D" w:rsidRPr="00E96C8D" w:rsidRDefault="00E96C8D" w:rsidP="00E96C8D">
      <w:pPr>
        <w:spacing w:before="100" w:beforeAutospacing="1" w:after="100" w:afterAutospacing="1" w:line="240" w:lineRule="auto"/>
        <w:jc w:val="both"/>
        <w:rPr>
          <w:rFonts w:ascii="Browallia New" w:eastAsia="Times New Roman" w:hAnsi="Browallia New" w:cs="Browallia New"/>
          <w:kern w:val="0"/>
          <w:sz w:val="28"/>
          <w:szCs w:val="28"/>
          <w14:ligatures w14:val="none"/>
        </w:rPr>
      </w:pPr>
      <w:r w:rsidRPr="00E96C8D">
        <w:rPr>
          <w:rFonts w:ascii="Browallia New" w:eastAsia="Times New Roman" w:hAnsi="Browallia New" w:cs="Browallia New"/>
          <w:kern w:val="0"/>
          <w:sz w:val="28"/>
          <w:szCs w:val="28"/>
          <w14:ligatures w14:val="none"/>
        </w:rPr>
        <w:t>The result is high dropout rates, limited opportunities for continuous learning, and barriers to economic transition. Without structural reform and inclusive policies, even high-capacity systems risk falling short in leveraging their human capital.</w:t>
      </w:r>
    </w:p>
    <w:p w14:paraId="3D3BF074" w14:textId="77777777" w:rsidR="003A757B" w:rsidRPr="003A757B" w:rsidRDefault="003A757B" w:rsidP="003A757B">
      <w:pPr>
        <w:jc w:val="both"/>
        <w:rPr>
          <w:rFonts w:ascii="Browallia New" w:hAnsi="Browallia New" w:cs="Browallia New"/>
          <w:sz w:val="28"/>
          <w:szCs w:val="28"/>
        </w:rPr>
      </w:pPr>
      <w:r w:rsidRPr="003A757B">
        <w:rPr>
          <w:rFonts w:ascii="Browallia New" w:hAnsi="Browallia New" w:cs="Browallia New"/>
          <w:b/>
          <w:bCs/>
          <w:sz w:val="28"/>
          <w:szCs w:val="28"/>
        </w:rPr>
        <w:t>Chapter 5: Theoretical Applications for Diagnosing and Addressing the Causes and Impacts of Educational Exclusion</w:t>
      </w:r>
    </w:p>
    <w:p w14:paraId="3F8461CA" w14:textId="77777777" w:rsidR="003A757B" w:rsidRPr="003A757B" w:rsidRDefault="003A757B" w:rsidP="003A757B">
      <w:pPr>
        <w:jc w:val="both"/>
        <w:rPr>
          <w:rFonts w:ascii="Browallia New" w:hAnsi="Browallia New" w:cs="Browallia New"/>
          <w:sz w:val="28"/>
          <w:szCs w:val="28"/>
        </w:rPr>
      </w:pPr>
      <w:r w:rsidRPr="003A757B">
        <w:rPr>
          <w:rFonts w:ascii="Browallia New" w:hAnsi="Browallia New" w:cs="Browallia New"/>
          <w:sz w:val="28"/>
          <w:szCs w:val="28"/>
        </w:rPr>
        <w:t>This chapter integrates theoretical models with empirical findings to clarify the structural causes and long-term consequences of educational exclusion, or “Lack of Education,” across countries at different income levels. Using a comparative framework, it illustrates how specific theories—such as Human Capital Theory, Educational Mismatch, Structural Barriers, Opportunity Cost, and Intergenerational Poverty—can be operationalized to guide context-sensitive policy responses.</w:t>
      </w:r>
    </w:p>
    <w:p w14:paraId="54A85F71" w14:textId="77777777" w:rsidR="003A757B" w:rsidRPr="003A757B" w:rsidRDefault="003A757B" w:rsidP="003A757B">
      <w:pPr>
        <w:jc w:val="both"/>
        <w:rPr>
          <w:rFonts w:ascii="Browallia New" w:hAnsi="Browallia New" w:cs="Browallia New"/>
          <w:b/>
          <w:bCs/>
          <w:sz w:val="28"/>
          <w:szCs w:val="28"/>
        </w:rPr>
      </w:pPr>
      <w:r w:rsidRPr="003A757B">
        <w:rPr>
          <w:rFonts w:ascii="Browallia New" w:hAnsi="Browallia New" w:cs="Browallia New"/>
          <w:b/>
          <w:bCs/>
          <w:sz w:val="28"/>
          <w:szCs w:val="28"/>
        </w:rPr>
        <w:t>Table: Theoretical Linkages Between Country Contexts, Structural Causes, and Long-Term Effects of Educational Exclusion</w:t>
      </w:r>
    </w:p>
    <w:tbl>
      <w:tblPr>
        <w:tblStyle w:val="GridTable3"/>
        <w:tblW w:w="0" w:type="auto"/>
        <w:tblLook w:val="04A0" w:firstRow="1" w:lastRow="0" w:firstColumn="1" w:lastColumn="0" w:noHBand="0" w:noVBand="1"/>
      </w:tblPr>
      <w:tblGrid>
        <w:gridCol w:w="1996"/>
        <w:gridCol w:w="2948"/>
        <w:gridCol w:w="2278"/>
        <w:gridCol w:w="2138"/>
      </w:tblGrid>
      <w:tr w:rsidR="003A757B" w:rsidRPr="003A757B" w14:paraId="31DE6EC1" w14:textId="77777777" w:rsidTr="009D29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hideMark/>
          </w:tcPr>
          <w:p w14:paraId="5A6262D1" w14:textId="77777777" w:rsidR="003A757B" w:rsidRPr="009D2934" w:rsidRDefault="003A757B" w:rsidP="009D2934">
            <w:pPr>
              <w:spacing w:after="160" w:line="278" w:lineRule="auto"/>
              <w:jc w:val="left"/>
              <w:rPr>
                <w:rFonts w:ascii="Browallia New" w:hAnsi="Browallia New" w:cs="Browallia New"/>
                <w:i w:val="0"/>
                <w:iCs w:val="0"/>
                <w:sz w:val="28"/>
                <w:szCs w:val="28"/>
              </w:rPr>
            </w:pPr>
            <w:r w:rsidRPr="009D2934">
              <w:rPr>
                <w:rFonts w:ascii="Browallia New" w:hAnsi="Browallia New" w:cs="Browallia New"/>
                <w:i w:val="0"/>
                <w:iCs w:val="0"/>
                <w:sz w:val="28"/>
                <w:szCs w:val="28"/>
              </w:rPr>
              <w:t>Income Group</w:t>
            </w:r>
          </w:p>
        </w:tc>
        <w:tc>
          <w:tcPr>
            <w:tcW w:w="0" w:type="auto"/>
            <w:hideMark/>
          </w:tcPr>
          <w:p w14:paraId="0B75D3EE" w14:textId="77777777" w:rsidR="003A757B" w:rsidRPr="003A757B" w:rsidRDefault="003A757B" w:rsidP="009D2934">
            <w:pPr>
              <w:spacing w:after="160" w:line="278" w:lineRule="auto"/>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Primary Theoretical Frameworks</w:t>
            </w:r>
          </w:p>
        </w:tc>
        <w:tc>
          <w:tcPr>
            <w:tcW w:w="0" w:type="auto"/>
            <w:hideMark/>
          </w:tcPr>
          <w:p w14:paraId="4250096F" w14:textId="77777777" w:rsidR="003A757B" w:rsidRPr="003A757B" w:rsidRDefault="003A757B" w:rsidP="009D2934">
            <w:pPr>
              <w:spacing w:after="160" w:line="278" w:lineRule="auto"/>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Structural and Social Causes</w:t>
            </w:r>
          </w:p>
        </w:tc>
        <w:tc>
          <w:tcPr>
            <w:tcW w:w="0" w:type="auto"/>
            <w:hideMark/>
          </w:tcPr>
          <w:p w14:paraId="1386B51A" w14:textId="77777777" w:rsidR="003A757B" w:rsidRPr="003A757B" w:rsidRDefault="003A757B" w:rsidP="009D2934">
            <w:pPr>
              <w:spacing w:after="160" w:line="278" w:lineRule="auto"/>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Long-Term Impacts</w:t>
            </w:r>
          </w:p>
        </w:tc>
      </w:tr>
      <w:tr w:rsidR="003A757B" w:rsidRPr="003A757B" w14:paraId="7BB32C7A"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D4BA074" w14:textId="77777777" w:rsidR="003A757B" w:rsidRPr="003A757B" w:rsidRDefault="003A757B" w:rsidP="003A757B">
            <w:pPr>
              <w:spacing w:after="160" w:line="278" w:lineRule="auto"/>
              <w:jc w:val="left"/>
              <w:rPr>
                <w:rFonts w:ascii="Browallia New" w:hAnsi="Browallia New" w:cs="Browallia New"/>
                <w:sz w:val="28"/>
                <w:szCs w:val="28"/>
              </w:rPr>
            </w:pPr>
            <w:r w:rsidRPr="003A757B">
              <w:rPr>
                <w:rFonts w:ascii="Browallia New" w:hAnsi="Browallia New" w:cs="Browallia New"/>
                <w:b/>
                <w:bCs/>
                <w:sz w:val="28"/>
                <w:szCs w:val="28"/>
              </w:rPr>
              <w:t>Low-Income Countries</w:t>
            </w:r>
            <w:r w:rsidRPr="003A757B">
              <w:rPr>
                <w:rFonts w:ascii="Browallia New" w:hAnsi="Browallia New" w:cs="Browallia New"/>
                <w:sz w:val="28"/>
                <w:szCs w:val="28"/>
              </w:rPr>
              <w:t xml:space="preserve"> (e.g., Nepal, Bangladesh)</w:t>
            </w:r>
          </w:p>
        </w:tc>
        <w:tc>
          <w:tcPr>
            <w:tcW w:w="0" w:type="auto"/>
            <w:tcBorders>
              <w:left w:val="single" w:sz="4" w:space="0" w:color="auto"/>
            </w:tcBorders>
            <w:hideMark/>
          </w:tcPr>
          <w:p w14:paraId="195760C7" w14:textId="77777777" w:rsidR="003A757B" w:rsidRPr="003A757B" w:rsidRDefault="003A757B" w:rsidP="00B0473B">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Human Capital Theory, Intergenerational Poverty, Opportunity Cost, Structural Barriers</w:t>
            </w:r>
          </w:p>
        </w:tc>
        <w:tc>
          <w:tcPr>
            <w:tcW w:w="0" w:type="auto"/>
            <w:hideMark/>
          </w:tcPr>
          <w:p w14:paraId="48287594" w14:textId="77777777" w:rsidR="003A757B" w:rsidRPr="003A757B" w:rsidRDefault="003A757B" w:rsidP="00B0473B">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 Children drop out due to family poverty</w:t>
            </w:r>
            <w:r w:rsidRPr="003A757B">
              <w:rPr>
                <w:rFonts w:ascii="Browallia New" w:hAnsi="Browallia New" w:cs="Browallia New"/>
                <w:sz w:val="28"/>
                <w:szCs w:val="28"/>
              </w:rPr>
              <w:br/>
              <w:t>- High opportunity cost of education, particularly for rural girls</w:t>
            </w:r>
            <w:r w:rsidRPr="003A757B">
              <w:rPr>
                <w:rFonts w:ascii="Browallia New" w:hAnsi="Browallia New" w:cs="Browallia New"/>
                <w:sz w:val="28"/>
                <w:szCs w:val="28"/>
              </w:rPr>
              <w:br/>
              <w:t>- Lack of schools, qualified teachers, and technology</w:t>
            </w:r>
            <w:r w:rsidRPr="003A757B">
              <w:rPr>
                <w:rFonts w:ascii="Browallia New" w:hAnsi="Browallia New" w:cs="Browallia New"/>
                <w:sz w:val="28"/>
                <w:szCs w:val="28"/>
              </w:rPr>
              <w:br/>
              <w:t>- State incapacity to deliver equitable education</w:t>
            </w:r>
          </w:p>
        </w:tc>
        <w:tc>
          <w:tcPr>
            <w:tcW w:w="0" w:type="auto"/>
            <w:hideMark/>
          </w:tcPr>
          <w:p w14:paraId="53338CF3" w14:textId="77777777" w:rsidR="003A757B" w:rsidRPr="003A757B" w:rsidRDefault="003A757B" w:rsidP="00D1171B">
            <w:pPr>
              <w:spacing w:after="160" w:line="278" w:lineRule="auto"/>
              <w:ind w:right="-14"/>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 Large pool of unskilled labor</w:t>
            </w:r>
            <w:r w:rsidRPr="003A757B">
              <w:rPr>
                <w:rFonts w:ascii="Browallia New" w:hAnsi="Browallia New" w:cs="Browallia New"/>
                <w:sz w:val="28"/>
                <w:szCs w:val="28"/>
              </w:rPr>
              <w:br/>
              <w:t>- Low national competitiveness</w:t>
            </w:r>
            <w:r w:rsidRPr="003A757B">
              <w:rPr>
                <w:rFonts w:ascii="Browallia New" w:hAnsi="Browallia New" w:cs="Browallia New"/>
                <w:sz w:val="28"/>
                <w:szCs w:val="28"/>
              </w:rPr>
              <w:br/>
              <w:t>- Widening socio-economic inequality</w:t>
            </w:r>
          </w:p>
        </w:tc>
      </w:tr>
      <w:tr w:rsidR="003A757B" w:rsidRPr="003A757B" w14:paraId="0D60288C" w14:textId="77777777" w:rsidTr="009D293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3BE3B3C" w14:textId="77777777" w:rsidR="003A757B" w:rsidRPr="003A757B" w:rsidRDefault="003A757B" w:rsidP="003A757B">
            <w:pPr>
              <w:spacing w:after="160" w:line="278" w:lineRule="auto"/>
              <w:jc w:val="left"/>
              <w:rPr>
                <w:rFonts w:ascii="Browallia New" w:hAnsi="Browallia New" w:cs="Browallia New"/>
                <w:sz w:val="28"/>
                <w:szCs w:val="28"/>
              </w:rPr>
            </w:pPr>
            <w:r w:rsidRPr="003A757B">
              <w:rPr>
                <w:rFonts w:ascii="Browallia New" w:hAnsi="Browallia New" w:cs="Browallia New"/>
                <w:b/>
                <w:bCs/>
                <w:sz w:val="28"/>
                <w:szCs w:val="28"/>
              </w:rPr>
              <w:lastRenderedPageBreak/>
              <w:t>Middle-Income Countries</w:t>
            </w:r>
            <w:r w:rsidRPr="003A757B">
              <w:rPr>
                <w:rFonts w:ascii="Browallia New" w:hAnsi="Browallia New" w:cs="Browallia New"/>
                <w:sz w:val="28"/>
                <w:szCs w:val="28"/>
              </w:rPr>
              <w:t xml:space="preserve"> (e.g., Thailand, Pakistan, Iraq, Syria)</w:t>
            </w:r>
          </w:p>
        </w:tc>
        <w:tc>
          <w:tcPr>
            <w:tcW w:w="0" w:type="auto"/>
            <w:tcBorders>
              <w:left w:val="single" w:sz="4" w:space="0" w:color="auto"/>
            </w:tcBorders>
            <w:hideMark/>
          </w:tcPr>
          <w:p w14:paraId="53F32A76" w14:textId="77777777" w:rsidR="003A757B" w:rsidRPr="003A757B" w:rsidRDefault="003A757B" w:rsidP="003A757B">
            <w:pPr>
              <w:spacing w:after="160" w:line="278" w:lineRule="auto"/>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Educational Mismatch, Human Capital Theory, Lifelong Learning &amp; Opportunity Cost, Intergenerational Poverty</w:t>
            </w:r>
          </w:p>
        </w:tc>
        <w:tc>
          <w:tcPr>
            <w:tcW w:w="0" w:type="auto"/>
            <w:hideMark/>
          </w:tcPr>
          <w:p w14:paraId="32B0DD84" w14:textId="77777777" w:rsidR="003A757B" w:rsidRPr="003A757B" w:rsidRDefault="003A757B" w:rsidP="003A757B">
            <w:pPr>
              <w:spacing w:after="160" w:line="278" w:lineRule="auto"/>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 Curricula fail to match labor market needs</w:t>
            </w:r>
            <w:r w:rsidRPr="003A757B">
              <w:rPr>
                <w:rFonts w:ascii="Browallia New" w:hAnsi="Browallia New" w:cs="Browallia New"/>
                <w:sz w:val="28"/>
                <w:szCs w:val="28"/>
              </w:rPr>
              <w:br/>
              <w:t>- Educational infrastructure damaged by conflict/pandemic</w:t>
            </w:r>
            <w:r w:rsidRPr="003A757B">
              <w:rPr>
                <w:rFonts w:ascii="Browallia New" w:hAnsi="Browallia New" w:cs="Browallia New"/>
                <w:sz w:val="28"/>
                <w:szCs w:val="28"/>
              </w:rPr>
              <w:br/>
              <w:t>- Adult learners face time/resource constraints</w:t>
            </w:r>
            <w:r w:rsidRPr="003A757B">
              <w:rPr>
                <w:rFonts w:ascii="Browallia New" w:hAnsi="Browallia New" w:cs="Browallia New"/>
                <w:sz w:val="28"/>
                <w:szCs w:val="28"/>
              </w:rPr>
              <w:br/>
              <w:t>- Persistent gender and geographic inequalities</w:t>
            </w:r>
          </w:p>
        </w:tc>
        <w:tc>
          <w:tcPr>
            <w:tcW w:w="0" w:type="auto"/>
            <w:hideMark/>
          </w:tcPr>
          <w:p w14:paraId="462ED2F7" w14:textId="77777777" w:rsidR="003A757B" w:rsidRPr="003A757B" w:rsidRDefault="003A757B" w:rsidP="003A757B">
            <w:pPr>
              <w:spacing w:after="160" w:line="278" w:lineRule="auto"/>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 Entrapment in unskilled labor</w:t>
            </w:r>
            <w:r w:rsidRPr="003A757B">
              <w:rPr>
                <w:rFonts w:ascii="Browallia New" w:hAnsi="Browallia New" w:cs="Browallia New"/>
                <w:sz w:val="28"/>
                <w:szCs w:val="28"/>
              </w:rPr>
              <w:br/>
              <w:t>- Low participation in high-value sectors</w:t>
            </w:r>
            <w:r w:rsidRPr="003A757B">
              <w:rPr>
                <w:rFonts w:ascii="Browallia New" w:hAnsi="Browallia New" w:cs="Browallia New"/>
                <w:sz w:val="28"/>
                <w:szCs w:val="28"/>
              </w:rPr>
              <w:br/>
              <w:t>- Vulnerability to the middle-income trap</w:t>
            </w:r>
          </w:p>
        </w:tc>
      </w:tr>
      <w:tr w:rsidR="003A757B" w:rsidRPr="003A757B" w14:paraId="00DD34F5"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D003C08" w14:textId="77777777" w:rsidR="003A757B" w:rsidRPr="003A757B" w:rsidRDefault="003A757B" w:rsidP="003A757B">
            <w:pPr>
              <w:spacing w:after="160" w:line="278" w:lineRule="auto"/>
              <w:jc w:val="left"/>
              <w:rPr>
                <w:rFonts w:ascii="Browallia New" w:hAnsi="Browallia New" w:cs="Browallia New"/>
                <w:sz w:val="28"/>
                <w:szCs w:val="28"/>
              </w:rPr>
            </w:pPr>
            <w:r w:rsidRPr="003A757B">
              <w:rPr>
                <w:rFonts w:ascii="Browallia New" w:hAnsi="Browallia New" w:cs="Browallia New"/>
                <w:b/>
                <w:bCs/>
                <w:sz w:val="28"/>
                <w:szCs w:val="28"/>
              </w:rPr>
              <w:t>High/Upper-Middle-Income Countries</w:t>
            </w:r>
            <w:r w:rsidRPr="003A757B">
              <w:rPr>
                <w:rFonts w:ascii="Browallia New" w:hAnsi="Browallia New" w:cs="Browallia New"/>
                <w:sz w:val="28"/>
                <w:szCs w:val="28"/>
              </w:rPr>
              <w:t xml:space="preserve"> (e.g., China, Lebanon)</w:t>
            </w:r>
          </w:p>
        </w:tc>
        <w:tc>
          <w:tcPr>
            <w:tcW w:w="0" w:type="auto"/>
            <w:tcBorders>
              <w:left w:val="single" w:sz="4" w:space="0" w:color="auto"/>
            </w:tcBorders>
            <w:hideMark/>
          </w:tcPr>
          <w:p w14:paraId="4D0BC916" w14:textId="77777777" w:rsidR="003A757B" w:rsidRPr="003A757B" w:rsidRDefault="003A757B" w:rsidP="003A757B">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Educational Mismatch, Human Capital Theory, Wasted Potential, Structural Barriers, Opportunity Cost</w:t>
            </w:r>
          </w:p>
        </w:tc>
        <w:tc>
          <w:tcPr>
            <w:tcW w:w="0" w:type="auto"/>
            <w:hideMark/>
          </w:tcPr>
          <w:p w14:paraId="582E2416" w14:textId="77777777" w:rsidR="003A757B" w:rsidRPr="003A757B" w:rsidRDefault="003A757B" w:rsidP="003A757B">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 Rigid, high-stakes education systems lead to dropouts</w:t>
            </w:r>
            <w:r w:rsidRPr="003A757B">
              <w:rPr>
                <w:rFonts w:ascii="Browallia New" w:hAnsi="Browallia New" w:cs="Browallia New"/>
                <w:sz w:val="28"/>
                <w:szCs w:val="28"/>
              </w:rPr>
              <w:br/>
              <w:t>- Institutional systems like Hukou exclude migrant families</w:t>
            </w:r>
            <w:r w:rsidRPr="003A757B">
              <w:rPr>
                <w:rFonts w:ascii="Browallia New" w:hAnsi="Browallia New" w:cs="Browallia New"/>
                <w:sz w:val="28"/>
                <w:szCs w:val="28"/>
              </w:rPr>
              <w:br/>
              <w:t>- Economic collapse (e.g., Lebanon) disrupts school continuity</w:t>
            </w:r>
            <w:r w:rsidRPr="003A757B">
              <w:rPr>
                <w:rFonts w:ascii="Browallia New" w:hAnsi="Browallia New" w:cs="Browallia New"/>
                <w:sz w:val="28"/>
                <w:szCs w:val="28"/>
              </w:rPr>
              <w:br/>
              <w:t>- Limited recognition of non-formal and lifelong learning</w:t>
            </w:r>
          </w:p>
        </w:tc>
        <w:tc>
          <w:tcPr>
            <w:tcW w:w="0" w:type="auto"/>
            <w:hideMark/>
          </w:tcPr>
          <w:p w14:paraId="7D2B4AB0" w14:textId="77777777" w:rsidR="003A757B" w:rsidRPr="003A757B" w:rsidRDefault="003A757B" w:rsidP="003A757B">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3A757B">
              <w:rPr>
                <w:rFonts w:ascii="Browallia New" w:hAnsi="Browallia New" w:cs="Browallia New"/>
                <w:sz w:val="28"/>
                <w:szCs w:val="28"/>
              </w:rPr>
              <w:t>- Underutilized labor potential (“wasted potential”)</w:t>
            </w:r>
            <w:r w:rsidRPr="003A757B">
              <w:rPr>
                <w:rFonts w:ascii="Browallia New" w:hAnsi="Browallia New" w:cs="Browallia New"/>
                <w:sz w:val="28"/>
                <w:szCs w:val="28"/>
              </w:rPr>
              <w:br/>
              <w:t>- High dropout and disengagement rates</w:t>
            </w:r>
            <w:r w:rsidRPr="003A757B">
              <w:rPr>
                <w:rFonts w:ascii="Browallia New" w:hAnsi="Browallia New" w:cs="Browallia New"/>
                <w:sz w:val="28"/>
                <w:szCs w:val="28"/>
              </w:rPr>
              <w:br/>
              <w:t>- Sluggish economic transformation due to skills mismatch</w:t>
            </w:r>
          </w:p>
        </w:tc>
      </w:tr>
    </w:tbl>
    <w:p w14:paraId="41454796" w14:textId="77777777" w:rsidR="003A757B" w:rsidRPr="003A757B" w:rsidRDefault="003A757B" w:rsidP="003A757B">
      <w:pPr>
        <w:jc w:val="both"/>
        <w:rPr>
          <w:rFonts w:ascii="Browallia New" w:hAnsi="Browallia New" w:cs="Browallia New"/>
          <w:b/>
          <w:bCs/>
          <w:sz w:val="28"/>
          <w:szCs w:val="28"/>
        </w:rPr>
      </w:pPr>
      <w:r w:rsidRPr="003A757B">
        <w:rPr>
          <w:rFonts w:ascii="Browallia New" w:hAnsi="Browallia New" w:cs="Browallia New"/>
          <w:b/>
          <w:bCs/>
          <w:sz w:val="28"/>
          <w:szCs w:val="28"/>
        </w:rPr>
        <w:t>Synthesis of Theoretical Contributions</w:t>
      </w:r>
    </w:p>
    <w:p w14:paraId="19D82242" w14:textId="77777777" w:rsidR="003A757B" w:rsidRPr="003A757B" w:rsidRDefault="003A757B" w:rsidP="003A757B">
      <w:pPr>
        <w:jc w:val="both"/>
        <w:rPr>
          <w:rFonts w:ascii="Browallia New" w:hAnsi="Browallia New" w:cs="Browallia New"/>
          <w:sz w:val="28"/>
          <w:szCs w:val="28"/>
        </w:rPr>
      </w:pPr>
      <w:r w:rsidRPr="003A757B">
        <w:rPr>
          <w:rFonts w:ascii="Browallia New" w:hAnsi="Browallia New" w:cs="Browallia New"/>
          <w:sz w:val="28"/>
          <w:szCs w:val="28"/>
        </w:rPr>
        <w:t>The selected theories serve as analytical tools to explain the interaction between structural constraints and the human capital development process across diverse economic contexts:</w:t>
      </w:r>
    </w:p>
    <w:p w14:paraId="13A6F7F9" w14:textId="7F85F423" w:rsidR="003A757B" w:rsidRPr="003A757B" w:rsidRDefault="003A757B" w:rsidP="003A757B">
      <w:pPr>
        <w:numPr>
          <w:ilvl w:val="0"/>
          <w:numId w:val="5"/>
        </w:numPr>
        <w:jc w:val="both"/>
        <w:rPr>
          <w:rFonts w:ascii="Browallia New" w:hAnsi="Browallia New" w:cs="Browallia New"/>
          <w:sz w:val="28"/>
          <w:szCs w:val="28"/>
        </w:rPr>
      </w:pPr>
      <w:r w:rsidRPr="003A757B">
        <w:rPr>
          <w:rFonts w:ascii="Browallia New" w:hAnsi="Browallia New" w:cs="Browallia New"/>
          <w:b/>
          <w:bCs/>
          <w:sz w:val="28"/>
          <w:szCs w:val="28"/>
        </w:rPr>
        <w:t>Human Capital Theory</w:t>
      </w:r>
      <w:r w:rsidRPr="003A757B">
        <w:rPr>
          <w:rFonts w:ascii="Browallia New" w:hAnsi="Browallia New" w:cs="Browallia New"/>
          <w:sz w:val="28"/>
          <w:szCs w:val="28"/>
        </w:rPr>
        <w:t xml:space="preserve"> posits </w:t>
      </w:r>
      <w:r w:rsidR="002929EA" w:rsidRPr="003A757B">
        <w:rPr>
          <w:rFonts w:ascii="Browallia New" w:hAnsi="Browallia New" w:cs="Browallia New"/>
          <w:sz w:val="28"/>
          <w:szCs w:val="28"/>
        </w:rPr>
        <w:t>those investments</w:t>
      </w:r>
      <w:r w:rsidRPr="003A757B">
        <w:rPr>
          <w:rFonts w:ascii="Browallia New" w:hAnsi="Browallia New" w:cs="Browallia New"/>
          <w:sz w:val="28"/>
          <w:szCs w:val="28"/>
        </w:rPr>
        <w:t xml:space="preserve"> in education yield long-term economic returns. In low- and middle-income countries, the inability to access or complete formal education interrupts human capital accumulation and reduces labor productivity.</w:t>
      </w:r>
    </w:p>
    <w:p w14:paraId="0783D591" w14:textId="77777777" w:rsidR="003A757B" w:rsidRPr="003A757B" w:rsidRDefault="003A757B" w:rsidP="003A757B">
      <w:pPr>
        <w:numPr>
          <w:ilvl w:val="0"/>
          <w:numId w:val="5"/>
        </w:numPr>
        <w:jc w:val="both"/>
        <w:rPr>
          <w:rFonts w:ascii="Browallia New" w:hAnsi="Browallia New" w:cs="Browallia New"/>
          <w:sz w:val="28"/>
          <w:szCs w:val="28"/>
        </w:rPr>
      </w:pPr>
      <w:r w:rsidRPr="003A757B">
        <w:rPr>
          <w:rFonts w:ascii="Browallia New" w:hAnsi="Browallia New" w:cs="Browallia New"/>
          <w:b/>
          <w:bCs/>
          <w:sz w:val="28"/>
          <w:szCs w:val="28"/>
        </w:rPr>
        <w:lastRenderedPageBreak/>
        <w:t>Educational Mismatch Theory</w:t>
      </w:r>
      <w:r w:rsidRPr="003A757B">
        <w:rPr>
          <w:rFonts w:ascii="Browallia New" w:hAnsi="Browallia New" w:cs="Browallia New"/>
          <w:sz w:val="28"/>
          <w:szCs w:val="28"/>
        </w:rPr>
        <w:t xml:space="preserve"> explains how educational systems that are misaligned with labor market needs generate inefficiencies in workforce development. This is particularly evident in middle- and upper-middle-income countries where educational attainment does not translate into employability.</w:t>
      </w:r>
    </w:p>
    <w:p w14:paraId="67A4C170" w14:textId="77777777" w:rsidR="003A757B" w:rsidRPr="003A757B" w:rsidRDefault="003A757B" w:rsidP="003A757B">
      <w:pPr>
        <w:numPr>
          <w:ilvl w:val="0"/>
          <w:numId w:val="5"/>
        </w:numPr>
        <w:jc w:val="both"/>
        <w:rPr>
          <w:rFonts w:ascii="Browallia New" w:hAnsi="Browallia New" w:cs="Browallia New"/>
          <w:sz w:val="28"/>
          <w:szCs w:val="28"/>
        </w:rPr>
      </w:pPr>
      <w:r w:rsidRPr="003A757B">
        <w:rPr>
          <w:rFonts w:ascii="Browallia New" w:hAnsi="Browallia New" w:cs="Browallia New"/>
          <w:b/>
          <w:bCs/>
          <w:sz w:val="28"/>
          <w:szCs w:val="28"/>
        </w:rPr>
        <w:t>Structural Barriers Theory</w:t>
      </w:r>
      <w:r w:rsidRPr="003A757B">
        <w:rPr>
          <w:rFonts w:ascii="Browallia New" w:hAnsi="Browallia New" w:cs="Browallia New"/>
          <w:sz w:val="28"/>
          <w:szCs w:val="28"/>
        </w:rPr>
        <w:t xml:space="preserve"> highlights institutional obstacles—such as the Hukou system in China or post-conflict collapse in Iraq and Lebanon—that systematically prevent marginalized populations from accessing educational services and opportunities.</w:t>
      </w:r>
    </w:p>
    <w:p w14:paraId="369DD482" w14:textId="77777777" w:rsidR="003A757B" w:rsidRPr="003A757B" w:rsidRDefault="003A757B" w:rsidP="003A757B">
      <w:pPr>
        <w:numPr>
          <w:ilvl w:val="0"/>
          <w:numId w:val="5"/>
        </w:numPr>
        <w:jc w:val="both"/>
        <w:rPr>
          <w:rFonts w:ascii="Browallia New" w:hAnsi="Browallia New" w:cs="Browallia New"/>
          <w:sz w:val="28"/>
          <w:szCs w:val="28"/>
        </w:rPr>
      </w:pPr>
      <w:r w:rsidRPr="003A757B">
        <w:rPr>
          <w:rFonts w:ascii="Browallia New" w:hAnsi="Browallia New" w:cs="Browallia New"/>
          <w:b/>
          <w:bCs/>
          <w:sz w:val="28"/>
          <w:szCs w:val="28"/>
        </w:rPr>
        <w:t>Opportunity Cost Theory</w:t>
      </w:r>
      <w:r w:rsidRPr="003A757B">
        <w:rPr>
          <w:rFonts w:ascii="Browallia New" w:hAnsi="Browallia New" w:cs="Browallia New"/>
          <w:sz w:val="28"/>
          <w:szCs w:val="28"/>
        </w:rPr>
        <w:t xml:space="preserve"> clarifies the household-level economic calculations that disincentivize educational participation, especially in poor or rural contexts where children's labor is essential to family survival.</w:t>
      </w:r>
    </w:p>
    <w:p w14:paraId="5FEE4B80" w14:textId="77777777" w:rsidR="003A757B" w:rsidRPr="003A757B" w:rsidRDefault="003A757B" w:rsidP="003A757B">
      <w:pPr>
        <w:numPr>
          <w:ilvl w:val="0"/>
          <w:numId w:val="5"/>
        </w:numPr>
        <w:jc w:val="both"/>
        <w:rPr>
          <w:rFonts w:ascii="Browallia New" w:hAnsi="Browallia New" w:cs="Browallia New"/>
          <w:sz w:val="28"/>
          <w:szCs w:val="28"/>
        </w:rPr>
      </w:pPr>
      <w:r w:rsidRPr="003A757B">
        <w:rPr>
          <w:rFonts w:ascii="Browallia New" w:hAnsi="Browallia New" w:cs="Browallia New"/>
          <w:b/>
          <w:bCs/>
          <w:sz w:val="28"/>
          <w:szCs w:val="28"/>
        </w:rPr>
        <w:t>Intergenerational Poverty Theory</w:t>
      </w:r>
      <w:r w:rsidRPr="003A757B">
        <w:rPr>
          <w:rFonts w:ascii="Browallia New" w:hAnsi="Browallia New" w:cs="Browallia New"/>
          <w:sz w:val="28"/>
          <w:szCs w:val="28"/>
        </w:rPr>
        <w:t xml:space="preserve"> shows how the educational exclusion of one generation leads to the marginalization of the next, perpetuating a poverty trap that is difficult to escape without targeted interventions.</w:t>
      </w:r>
    </w:p>
    <w:p w14:paraId="53D36A41" w14:textId="77777777" w:rsidR="003A757B" w:rsidRPr="003A757B" w:rsidRDefault="003A757B" w:rsidP="003A757B">
      <w:pPr>
        <w:jc w:val="both"/>
        <w:rPr>
          <w:rFonts w:ascii="Browallia New" w:hAnsi="Browallia New" w:cs="Browallia New"/>
          <w:sz w:val="28"/>
          <w:szCs w:val="28"/>
        </w:rPr>
      </w:pPr>
      <w:r w:rsidRPr="003A757B">
        <w:rPr>
          <w:rFonts w:ascii="Browallia New" w:hAnsi="Browallia New" w:cs="Browallia New"/>
          <w:sz w:val="28"/>
          <w:szCs w:val="28"/>
        </w:rPr>
        <w:t>Collectively, these theories provide a comprehensive framework to interpret how structural inequalities, socio-economic constraints, and institutional failures converge to restrict educational access and impede long-term national development. They underscore the urgent need for targeted, context-specific policy measures that go beyond access to encompass quality, equity, and lifelong adaptability within education systems.</w:t>
      </w:r>
    </w:p>
    <w:p w14:paraId="0087E729"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Chapter 6: Bridging the Educational Divide—Strategies for Reducing Inequality and Rebuilding Educational Systems</w:t>
      </w:r>
    </w:p>
    <w:p w14:paraId="78BBB0DC" w14:textId="77777777" w:rsidR="001F6588" w:rsidRPr="001F6588" w:rsidRDefault="001F6588" w:rsidP="00B0473B">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Addressing the structural gap in educational access and outcomes across countries with varying income levels requires a systemic and integrated approach. This includes not only investments in physical infrastructure and budgetary allocation but also behavioral change and institutional reform. A long-term strategy for inclusive human capital development must consider localized needs, labor market transitions, and the promotion of lifelong learning ecosystems.</w:t>
      </w:r>
    </w:p>
    <w:p w14:paraId="537CE521" w14:textId="443344C3" w:rsidR="001F6588" w:rsidRDefault="001F6588" w:rsidP="00B0473B">
      <w:pPr>
        <w:spacing w:before="100" w:beforeAutospacing="1" w:after="100" w:afterAutospacing="1" w:line="240" w:lineRule="auto"/>
        <w:jc w:val="thaiDistribute"/>
        <w:rPr>
          <w:rFonts w:ascii="Browallia New" w:eastAsia="Times New Roman" w:hAnsi="Browallia New" w:cs="Browallia New"/>
          <w:kern w:val="0"/>
          <w:sz w:val="28"/>
          <w:szCs w:val="28"/>
          <w:lang w:bidi="th-TH"/>
          <w14:ligatures w14:val="none"/>
        </w:rPr>
      </w:pPr>
      <w:r w:rsidRPr="001F6588">
        <w:rPr>
          <w:rFonts w:ascii="Browallia New" w:eastAsia="Times New Roman" w:hAnsi="Browallia New" w:cs="Browallia New"/>
          <w:kern w:val="0"/>
          <w:sz w:val="28"/>
          <w:szCs w:val="28"/>
          <w14:ligatures w14:val="none"/>
        </w:rPr>
        <w:t>This chapter presents strategic frameworks tailored to three country groups—low-income, middle-income, and high/upper-middle-</w:t>
      </w:r>
      <w:r w:rsidR="002929EA" w:rsidRPr="001F6588">
        <w:rPr>
          <w:rFonts w:ascii="Browallia New" w:eastAsia="Times New Roman" w:hAnsi="Browallia New" w:cs="Browallia New"/>
          <w:kern w:val="0"/>
          <w:sz w:val="28"/>
          <w:szCs w:val="28"/>
          <w14:ligatures w14:val="none"/>
        </w:rPr>
        <w:t>income,</w:t>
      </w:r>
      <w:r w:rsidRPr="001F6588">
        <w:rPr>
          <w:rFonts w:ascii="Browallia New" w:eastAsia="Times New Roman" w:hAnsi="Browallia New" w:cs="Browallia New"/>
          <w:kern w:val="0"/>
          <w:sz w:val="28"/>
          <w:szCs w:val="28"/>
          <w14:ligatures w14:val="none"/>
        </w:rPr>
        <w:t xml:space="preserve"> with complex labor markets—drawing from comparative policy research and international development experiences.</w:t>
      </w:r>
    </w:p>
    <w:p w14:paraId="5A7008CB" w14:textId="77777777" w:rsidR="002929EA" w:rsidRDefault="002929EA" w:rsidP="001F6588">
      <w:pPr>
        <w:spacing w:before="100" w:beforeAutospacing="1" w:after="100" w:afterAutospacing="1" w:line="240" w:lineRule="auto"/>
        <w:rPr>
          <w:rFonts w:ascii="Browallia New" w:eastAsia="Times New Roman" w:hAnsi="Browallia New" w:cs="Browallia New"/>
          <w:kern w:val="0"/>
          <w:sz w:val="28"/>
          <w:szCs w:val="28"/>
          <w:lang w:bidi="th-TH"/>
          <w14:ligatures w14:val="none"/>
        </w:rPr>
      </w:pPr>
    </w:p>
    <w:p w14:paraId="19787CD1" w14:textId="77777777" w:rsidR="002929EA" w:rsidRPr="001F6588" w:rsidRDefault="002929EA" w:rsidP="001F6588">
      <w:pPr>
        <w:spacing w:before="100" w:beforeAutospacing="1" w:after="100" w:afterAutospacing="1" w:line="240" w:lineRule="auto"/>
        <w:rPr>
          <w:rFonts w:ascii="Browallia New" w:eastAsia="Times New Roman" w:hAnsi="Browallia New" w:cs="Browallia New"/>
          <w:kern w:val="0"/>
          <w:sz w:val="28"/>
          <w:szCs w:val="28"/>
          <w:lang w:bidi="th-TH"/>
          <w14:ligatures w14:val="none"/>
        </w:rPr>
      </w:pPr>
    </w:p>
    <w:p w14:paraId="796EF615" w14:textId="77777777" w:rsidR="001F6588" w:rsidRPr="001F6588" w:rsidRDefault="001F6588" w:rsidP="001F6588">
      <w:pPr>
        <w:spacing w:before="100" w:beforeAutospacing="1" w:after="100" w:afterAutospacing="1" w:line="240" w:lineRule="auto"/>
        <w:outlineLvl w:val="2"/>
        <w:rPr>
          <w:rFonts w:ascii="Browallia New" w:eastAsia="Times New Roman" w:hAnsi="Browallia New" w:cs="Browallia New"/>
          <w:b/>
          <w:bCs/>
          <w:kern w:val="0"/>
          <w:sz w:val="28"/>
          <w:szCs w:val="28"/>
          <w14:ligatures w14:val="none"/>
        </w:rPr>
      </w:pPr>
      <w:r w:rsidRPr="001F6588">
        <w:rPr>
          <w:rFonts w:ascii="Browallia New" w:eastAsia="Times New Roman" w:hAnsi="Browallia New" w:cs="Browallia New"/>
          <w:b/>
          <w:bCs/>
          <w:kern w:val="0"/>
          <w:sz w:val="28"/>
          <w:szCs w:val="28"/>
          <w14:ligatures w14:val="none"/>
        </w:rPr>
        <w:lastRenderedPageBreak/>
        <w:t>6.1 Strategies for Low-Income Countries</w:t>
      </w:r>
    </w:p>
    <w:p w14:paraId="30E36E54"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Structural Interventions</w:t>
      </w:r>
    </w:p>
    <w:p w14:paraId="200C592B" w14:textId="77777777" w:rsidR="001F6588" w:rsidRPr="001F6588" w:rsidRDefault="001F6588" w:rsidP="001F6588">
      <w:pPr>
        <w:numPr>
          <w:ilvl w:val="0"/>
          <w:numId w:val="6"/>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Invest in educational infrastructure by constructing schools in rural and underserved regions.</w:t>
      </w:r>
    </w:p>
    <w:p w14:paraId="14C5997F" w14:textId="77777777" w:rsidR="001F6588" w:rsidRPr="001F6588" w:rsidRDefault="001F6588" w:rsidP="001F6588">
      <w:pPr>
        <w:numPr>
          <w:ilvl w:val="0"/>
          <w:numId w:val="6"/>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Deploy mobile teaching units to reach remote or vulnerable populations.</w:t>
      </w:r>
    </w:p>
    <w:p w14:paraId="7B9E4C90"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Budgetary Measures</w:t>
      </w:r>
    </w:p>
    <w:p w14:paraId="02EC2FB2" w14:textId="77777777" w:rsidR="001F6588" w:rsidRPr="001F6588" w:rsidRDefault="001F6588" w:rsidP="001F6588">
      <w:pPr>
        <w:numPr>
          <w:ilvl w:val="0"/>
          <w:numId w:val="7"/>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Implement conditional cash transfer (CCT) programs and educational vouchers to incentivize school attendance among disadvantaged groups.</w:t>
      </w:r>
    </w:p>
    <w:p w14:paraId="39EE6B0C" w14:textId="77777777" w:rsidR="001F6588" w:rsidRPr="001F6588" w:rsidRDefault="001F6588" w:rsidP="001F6588">
      <w:pPr>
        <w:numPr>
          <w:ilvl w:val="0"/>
          <w:numId w:val="7"/>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Prioritize funding for basic education and early childhood learning.</w:t>
      </w:r>
    </w:p>
    <w:p w14:paraId="0A8D8BB9"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Behavioral Change</w:t>
      </w:r>
    </w:p>
    <w:p w14:paraId="7335F2F3" w14:textId="77777777" w:rsidR="001F6588" w:rsidRPr="001F6588" w:rsidRDefault="001F6588" w:rsidP="001F6588">
      <w:pPr>
        <w:numPr>
          <w:ilvl w:val="0"/>
          <w:numId w:val="8"/>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Promote awareness of the long-term benefits of education among poor and ethnic minority communities.</w:t>
      </w:r>
    </w:p>
    <w:p w14:paraId="77B63DB3" w14:textId="77777777" w:rsidR="001F6588" w:rsidRPr="001F6588" w:rsidRDefault="001F6588" w:rsidP="001F6588">
      <w:pPr>
        <w:numPr>
          <w:ilvl w:val="0"/>
          <w:numId w:val="8"/>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Utilize local media and community-based campaigns to reshape perceptions around gender roles and schooling.</w:t>
      </w:r>
    </w:p>
    <w:p w14:paraId="2569EBBF"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Systemic Reforms</w:t>
      </w:r>
    </w:p>
    <w:p w14:paraId="6B85D1A1" w14:textId="77777777" w:rsidR="001F6588" w:rsidRPr="001F6588" w:rsidRDefault="001F6588" w:rsidP="001F6588">
      <w:pPr>
        <w:numPr>
          <w:ilvl w:val="0"/>
          <w:numId w:val="9"/>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Develop alternative learning pathways through microlearning modules and offline digital content suitable for areas with limited or no internet connectivity.</w:t>
      </w:r>
    </w:p>
    <w:p w14:paraId="07C80620" w14:textId="77777777" w:rsidR="001F6588" w:rsidRPr="001F6588" w:rsidRDefault="001F6588" w:rsidP="001F6588">
      <w:pPr>
        <w:numPr>
          <w:ilvl w:val="0"/>
          <w:numId w:val="9"/>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Encourage inclusive design in digital education platforms.</w:t>
      </w:r>
    </w:p>
    <w:p w14:paraId="1F9FBE30" w14:textId="77777777" w:rsidR="001F6588" w:rsidRPr="001F6588" w:rsidRDefault="001F6588" w:rsidP="001F6588">
      <w:pPr>
        <w:spacing w:before="100" w:beforeAutospacing="1" w:after="100" w:afterAutospacing="1" w:line="240" w:lineRule="auto"/>
        <w:outlineLvl w:val="2"/>
        <w:rPr>
          <w:rFonts w:ascii="Browallia New" w:eastAsia="Times New Roman" w:hAnsi="Browallia New" w:cs="Browallia New"/>
          <w:b/>
          <w:bCs/>
          <w:kern w:val="0"/>
          <w:sz w:val="28"/>
          <w:szCs w:val="28"/>
          <w14:ligatures w14:val="none"/>
        </w:rPr>
      </w:pPr>
      <w:r w:rsidRPr="001F6588">
        <w:rPr>
          <w:rFonts w:ascii="Browallia New" w:eastAsia="Times New Roman" w:hAnsi="Browallia New" w:cs="Browallia New"/>
          <w:b/>
          <w:bCs/>
          <w:kern w:val="0"/>
          <w:sz w:val="28"/>
          <w:szCs w:val="28"/>
          <w14:ligatures w14:val="none"/>
        </w:rPr>
        <w:t>6.2 Strategies for Middle-Income Countries</w:t>
      </w:r>
    </w:p>
    <w:p w14:paraId="4E4FF2A1"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Structural Interventions</w:t>
      </w:r>
    </w:p>
    <w:p w14:paraId="6C1BF75B" w14:textId="77777777" w:rsidR="001F6588" w:rsidRPr="001F6588" w:rsidRDefault="001F6588" w:rsidP="001F6588">
      <w:pPr>
        <w:numPr>
          <w:ilvl w:val="0"/>
          <w:numId w:val="10"/>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Revise curricula to reflect 21st-century labor market demands, including integration of soft skills, digital literacy, and work-based learning models.</w:t>
      </w:r>
    </w:p>
    <w:p w14:paraId="07ED5B58" w14:textId="77777777" w:rsidR="001F6588" w:rsidRPr="001F6588" w:rsidRDefault="001F6588" w:rsidP="001F6588">
      <w:pPr>
        <w:numPr>
          <w:ilvl w:val="0"/>
          <w:numId w:val="10"/>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Expand vocational training and apprenticeship opportunities linked to industries.</w:t>
      </w:r>
    </w:p>
    <w:p w14:paraId="37D5E70E"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Budgetary Measures</w:t>
      </w:r>
    </w:p>
    <w:p w14:paraId="240DE4BF" w14:textId="77777777" w:rsidR="001F6588" w:rsidRPr="001F6588" w:rsidRDefault="001F6588" w:rsidP="001F6588">
      <w:pPr>
        <w:numPr>
          <w:ilvl w:val="0"/>
          <w:numId w:val="11"/>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Establish tax-based incentives and learning credits to support upskilling and reskilling.</w:t>
      </w:r>
    </w:p>
    <w:p w14:paraId="440D3300" w14:textId="77777777" w:rsidR="001F6588" w:rsidRDefault="001F6588" w:rsidP="001F6588">
      <w:pPr>
        <w:numPr>
          <w:ilvl w:val="0"/>
          <w:numId w:val="11"/>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Invest in national platforms for digital and modular learning.</w:t>
      </w:r>
    </w:p>
    <w:p w14:paraId="7CB50ECA" w14:textId="77777777" w:rsidR="002929EA" w:rsidRPr="001F6588" w:rsidRDefault="002929EA" w:rsidP="002929EA">
      <w:pPr>
        <w:spacing w:before="100" w:beforeAutospacing="1" w:after="100" w:afterAutospacing="1" w:line="240" w:lineRule="auto"/>
        <w:ind w:left="720"/>
        <w:rPr>
          <w:rFonts w:ascii="Browallia New" w:eastAsia="Times New Roman" w:hAnsi="Browallia New" w:cs="Browallia New"/>
          <w:kern w:val="0"/>
          <w:sz w:val="28"/>
          <w:szCs w:val="28"/>
          <w14:ligatures w14:val="none"/>
        </w:rPr>
      </w:pPr>
    </w:p>
    <w:p w14:paraId="496A6902"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lastRenderedPageBreak/>
        <w:t>Behavioral Change</w:t>
      </w:r>
    </w:p>
    <w:p w14:paraId="124B3BAF" w14:textId="77777777" w:rsidR="001F6588" w:rsidRPr="001F6588" w:rsidRDefault="001F6588" w:rsidP="001F6588">
      <w:pPr>
        <w:numPr>
          <w:ilvl w:val="0"/>
          <w:numId w:val="12"/>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Provide career guidance and short-term certifications that appeal to mid-career workers, particularly in the informal sector.</w:t>
      </w:r>
    </w:p>
    <w:p w14:paraId="6B3D66C3" w14:textId="77777777" w:rsidR="001F6588" w:rsidRPr="001F6588" w:rsidRDefault="001F6588" w:rsidP="001F6588">
      <w:pPr>
        <w:numPr>
          <w:ilvl w:val="0"/>
          <w:numId w:val="12"/>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Address stigma associated with vocational and technical education.</w:t>
      </w:r>
    </w:p>
    <w:p w14:paraId="2D9C3DE7"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Systemic Reforms</w:t>
      </w:r>
    </w:p>
    <w:p w14:paraId="5DFF9285" w14:textId="77777777" w:rsidR="001F6588" w:rsidRPr="001F6588" w:rsidRDefault="001F6588" w:rsidP="001F6588">
      <w:pPr>
        <w:numPr>
          <w:ilvl w:val="0"/>
          <w:numId w:val="13"/>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Develop a national infrastructure for lifelong learning, including community learning centers and flexible online education systems.</w:t>
      </w:r>
    </w:p>
    <w:p w14:paraId="30A4DCB9" w14:textId="77777777" w:rsidR="001F6588" w:rsidRPr="001F6588" w:rsidRDefault="001F6588" w:rsidP="001F6588">
      <w:pPr>
        <w:numPr>
          <w:ilvl w:val="0"/>
          <w:numId w:val="13"/>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Promote coordination across ministries and between public and private actors.</w:t>
      </w:r>
    </w:p>
    <w:p w14:paraId="3FB467F8" w14:textId="77777777" w:rsidR="001F6588" w:rsidRPr="001F6588" w:rsidRDefault="001F6588" w:rsidP="001F6588">
      <w:pPr>
        <w:spacing w:before="100" w:beforeAutospacing="1" w:after="100" w:afterAutospacing="1" w:line="240" w:lineRule="auto"/>
        <w:outlineLvl w:val="2"/>
        <w:rPr>
          <w:rFonts w:ascii="Browallia New" w:eastAsia="Times New Roman" w:hAnsi="Browallia New" w:cs="Browallia New"/>
          <w:b/>
          <w:bCs/>
          <w:kern w:val="0"/>
          <w:sz w:val="28"/>
          <w:szCs w:val="28"/>
          <w14:ligatures w14:val="none"/>
        </w:rPr>
      </w:pPr>
      <w:r w:rsidRPr="001F6588">
        <w:rPr>
          <w:rFonts w:ascii="Browallia New" w:eastAsia="Times New Roman" w:hAnsi="Browallia New" w:cs="Browallia New"/>
          <w:b/>
          <w:bCs/>
          <w:kern w:val="0"/>
          <w:sz w:val="28"/>
          <w:szCs w:val="28"/>
          <w14:ligatures w14:val="none"/>
        </w:rPr>
        <w:t>6.3 Strategies for High-Income and Upper-Middle-Income Countries with Complex Labor Markets</w:t>
      </w:r>
    </w:p>
    <w:p w14:paraId="070568DE"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Structural Interventions</w:t>
      </w:r>
    </w:p>
    <w:p w14:paraId="7594C2F8" w14:textId="77777777" w:rsidR="001F6588" w:rsidRPr="001F6588" w:rsidRDefault="001F6588" w:rsidP="001F6588">
      <w:pPr>
        <w:numPr>
          <w:ilvl w:val="0"/>
          <w:numId w:val="14"/>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Expand digital learning infrastructure to bridge urban–rural divides.</w:t>
      </w:r>
    </w:p>
    <w:p w14:paraId="67089861" w14:textId="77777777" w:rsidR="001F6588" w:rsidRPr="001F6588" w:rsidRDefault="001F6588" w:rsidP="001F6588">
      <w:pPr>
        <w:numPr>
          <w:ilvl w:val="0"/>
          <w:numId w:val="14"/>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Implement blended learning models that combine face-to-face and online delivery for greater accessibility.</w:t>
      </w:r>
    </w:p>
    <w:p w14:paraId="4FCABDD8"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Budgetary Measures</w:t>
      </w:r>
    </w:p>
    <w:p w14:paraId="2FE1E3EE" w14:textId="77777777" w:rsidR="001F6588" w:rsidRPr="001F6588" w:rsidRDefault="001F6588" w:rsidP="001F6588">
      <w:pPr>
        <w:numPr>
          <w:ilvl w:val="0"/>
          <w:numId w:val="15"/>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Allocate recovery funds to restore and improve education systems affected by crises (e.g., post-pandemic recovery or conflict zones).</w:t>
      </w:r>
    </w:p>
    <w:p w14:paraId="07F200D9" w14:textId="77777777" w:rsidR="001F6588" w:rsidRPr="001F6588" w:rsidRDefault="001F6588" w:rsidP="001F6588">
      <w:pPr>
        <w:numPr>
          <w:ilvl w:val="0"/>
          <w:numId w:val="15"/>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Provide direct financial support to educators and schools in high-need areas.</w:t>
      </w:r>
    </w:p>
    <w:p w14:paraId="6A174112"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Behavioral Change</w:t>
      </w:r>
    </w:p>
    <w:p w14:paraId="1928513E" w14:textId="77777777" w:rsidR="001F6588" w:rsidRPr="001F6588" w:rsidRDefault="001F6588" w:rsidP="001F6588">
      <w:pPr>
        <w:numPr>
          <w:ilvl w:val="0"/>
          <w:numId w:val="16"/>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Establish flexible learning pathways with personalized career counseling to reduce dropout rates.</w:t>
      </w:r>
    </w:p>
    <w:p w14:paraId="3AC17B1C" w14:textId="77777777" w:rsidR="001F6588" w:rsidRPr="001F6588" w:rsidRDefault="001F6588" w:rsidP="001F6588">
      <w:pPr>
        <w:numPr>
          <w:ilvl w:val="0"/>
          <w:numId w:val="16"/>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Enhance public recognition and validation of non-formal learning credentials.</w:t>
      </w:r>
    </w:p>
    <w:p w14:paraId="2B9CB4DE" w14:textId="77777777" w:rsidR="001F6588" w:rsidRPr="001F6588" w:rsidRDefault="001F6588" w:rsidP="001F6588">
      <w:p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Systemic Reforms</w:t>
      </w:r>
    </w:p>
    <w:p w14:paraId="35D37E5E" w14:textId="77777777" w:rsidR="001F6588" w:rsidRPr="001F6588" w:rsidRDefault="001F6588" w:rsidP="001F6588">
      <w:pPr>
        <w:numPr>
          <w:ilvl w:val="0"/>
          <w:numId w:val="17"/>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Reform national qualification frameworks to incorporate informal and non-formal learning.</w:t>
      </w:r>
    </w:p>
    <w:p w14:paraId="0DA3AE33" w14:textId="77777777" w:rsidR="001F6588" w:rsidRDefault="001F6588" w:rsidP="001F6588">
      <w:pPr>
        <w:numPr>
          <w:ilvl w:val="0"/>
          <w:numId w:val="17"/>
        </w:numPr>
        <w:spacing w:before="100" w:beforeAutospacing="1" w:after="100" w:afterAutospacing="1" w:line="240" w:lineRule="auto"/>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Promote the development of sector-specific upskilling initiatives in partnership with industries.</w:t>
      </w:r>
    </w:p>
    <w:p w14:paraId="6D8BDBC1" w14:textId="77777777" w:rsidR="002929EA" w:rsidRDefault="002929EA" w:rsidP="002929EA">
      <w:pPr>
        <w:spacing w:before="100" w:beforeAutospacing="1" w:after="100" w:afterAutospacing="1" w:line="240" w:lineRule="auto"/>
        <w:rPr>
          <w:rFonts w:ascii="Browallia New" w:eastAsia="Times New Roman" w:hAnsi="Browallia New" w:cs="Browallia New"/>
          <w:kern w:val="0"/>
          <w:sz w:val="28"/>
          <w:szCs w:val="28"/>
          <w:lang w:bidi="th-TH"/>
          <w14:ligatures w14:val="none"/>
        </w:rPr>
      </w:pPr>
    </w:p>
    <w:p w14:paraId="588C5EC2" w14:textId="77777777" w:rsidR="002929EA" w:rsidRPr="001F6588" w:rsidRDefault="002929EA" w:rsidP="002929EA">
      <w:pPr>
        <w:spacing w:before="100" w:beforeAutospacing="1" w:after="100" w:afterAutospacing="1" w:line="240" w:lineRule="auto"/>
        <w:rPr>
          <w:rFonts w:ascii="Browallia New" w:eastAsia="Times New Roman" w:hAnsi="Browallia New" w:cs="Browallia New"/>
          <w:kern w:val="0"/>
          <w:sz w:val="28"/>
          <w:szCs w:val="28"/>
          <w14:ligatures w14:val="none"/>
        </w:rPr>
      </w:pPr>
    </w:p>
    <w:p w14:paraId="5B5E8A08" w14:textId="77777777" w:rsidR="001F6588" w:rsidRPr="001F6588" w:rsidRDefault="001F6588" w:rsidP="001F6588">
      <w:pPr>
        <w:spacing w:before="100" w:beforeAutospacing="1" w:after="100" w:afterAutospacing="1" w:line="240" w:lineRule="auto"/>
        <w:outlineLvl w:val="2"/>
        <w:rPr>
          <w:rFonts w:ascii="Browallia New" w:eastAsia="Times New Roman" w:hAnsi="Browallia New" w:cs="Browallia New"/>
          <w:b/>
          <w:bCs/>
          <w:kern w:val="0"/>
          <w:sz w:val="28"/>
          <w:szCs w:val="28"/>
          <w14:ligatures w14:val="none"/>
        </w:rPr>
      </w:pPr>
      <w:r w:rsidRPr="001F6588">
        <w:rPr>
          <w:rFonts w:ascii="Browallia New" w:eastAsia="Times New Roman" w:hAnsi="Browallia New" w:cs="Browallia New"/>
          <w:b/>
          <w:bCs/>
          <w:kern w:val="0"/>
          <w:sz w:val="28"/>
          <w:szCs w:val="28"/>
          <w14:ligatures w14:val="none"/>
        </w:rPr>
        <w:lastRenderedPageBreak/>
        <w:t>Policy Matrix: Strategic Solutions by Income Level</w:t>
      </w:r>
    </w:p>
    <w:tbl>
      <w:tblPr>
        <w:tblStyle w:val="GridTable3"/>
        <w:tblW w:w="0" w:type="auto"/>
        <w:tblLook w:val="04A0" w:firstRow="1" w:lastRow="0" w:firstColumn="1" w:lastColumn="0" w:noHBand="0" w:noVBand="1"/>
      </w:tblPr>
      <w:tblGrid>
        <w:gridCol w:w="1780"/>
        <w:gridCol w:w="1692"/>
        <w:gridCol w:w="1903"/>
        <w:gridCol w:w="2062"/>
        <w:gridCol w:w="1923"/>
      </w:tblGrid>
      <w:tr w:rsidR="001F6588" w:rsidRPr="001F6588" w14:paraId="02A8EE29" w14:textId="77777777" w:rsidTr="009D29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hideMark/>
          </w:tcPr>
          <w:p w14:paraId="54E234E3" w14:textId="77777777" w:rsidR="001F6588" w:rsidRPr="009D2934" w:rsidRDefault="001F6588" w:rsidP="001F6588">
            <w:pPr>
              <w:jc w:val="center"/>
              <w:rPr>
                <w:rFonts w:ascii="Browallia New" w:eastAsia="Times New Roman" w:hAnsi="Browallia New" w:cs="Browallia New"/>
                <w:i w:val="0"/>
                <w:iCs w:val="0"/>
                <w:kern w:val="0"/>
                <w:sz w:val="28"/>
                <w:szCs w:val="28"/>
                <w14:ligatures w14:val="none"/>
              </w:rPr>
            </w:pPr>
            <w:r w:rsidRPr="009D2934">
              <w:rPr>
                <w:rFonts w:ascii="Browallia New" w:eastAsia="Times New Roman" w:hAnsi="Browallia New" w:cs="Browallia New"/>
                <w:i w:val="0"/>
                <w:iCs w:val="0"/>
                <w:kern w:val="0"/>
                <w:sz w:val="28"/>
                <w:szCs w:val="28"/>
                <w14:ligatures w14:val="none"/>
              </w:rPr>
              <w:t>Income Level</w:t>
            </w:r>
          </w:p>
        </w:tc>
        <w:tc>
          <w:tcPr>
            <w:tcW w:w="0" w:type="auto"/>
            <w:tcBorders>
              <w:bottom w:val="single" w:sz="4" w:space="0" w:color="auto"/>
            </w:tcBorders>
            <w:hideMark/>
          </w:tcPr>
          <w:p w14:paraId="0513DC75" w14:textId="77777777" w:rsidR="001F6588" w:rsidRPr="001F6588" w:rsidRDefault="001F6588" w:rsidP="001F6588">
            <w:pPr>
              <w:jc w:val="center"/>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Structural</w:t>
            </w:r>
          </w:p>
        </w:tc>
        <w:tc>
          <w:tcPr>
            <w:tcW w:w="0" w:type="auto"/>
            <w:tcBorders>
              <w:bottom w:val="single" w:sz="4" w:space="0" w:color="auto"/>
            </w:tcBorders>
            <w:hideMark/>
          </w:tcPr>
          <w:p w14:paraId="65FD2EDF" w14:textId="77777777" w:rsidR="001F6588" w:rsidRPr="001F6588" w:rsidRDefault="001F6588" w:rsidP="001F6588">
            <w:pPr>
              <w:jc w:val="center"/>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Budgetary</w:t>
            </w:r>
          </w:p>
        </w:tc>
        <w:tc>
          <w:tcPr>
            <w:tcW w:w="0" w:type="auto"/>
            <w:tcBorders>
              <w:bottom w:val="single" w:sz="4" w:space="0" w:color="auto"/>
            </w:tcBorders>
            <w:hideMark/>
          </w:tcPr>
          <w:p w14:paraId="3CFC0DF5" w14:textId="77777777" w:rsidR="001F6588" w:rsidRPr="001F6588" w:rsidRDefault="001F6588" w:rsidP="001F6588">
            <w:pPr>
              <w:jc w:val="center"/>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Behavioral</w:t>
            </w:r>
          </w:p>
        </w:tc>
        <w:tc>
          <w:tcPr>
            <w:tcW w:w="0" w:type="auto"/>
            <w:tcBorders>
              <w:bottom w:val="single" w:sz="4" w:space="0" w:color="auto"/>
            </w:tcBorders>
            <w:hideMark/>
          </w:tcPr>
          <w:p w14:paraId="2CB04DE4" w14:textId="77777777" w:rsidR="001F6588" w:rsidRPr="001F6588" w:rsidRDefault="001F6588" w:rsidP="001F6588">
            <w:pPr>
              <w:jc w:val="center"/>
              <w:cnfStyle w:val="100000000000" w:firstRow="1"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Systemic</w:t>
            </w:r>
          </w:p>
        </w:tc>
      </w:tr>
      <w:tr w:rsidR="001F6588" w:rsidRPr="001F6588" w14:paraId="39028C39"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5C55591" w14:textId="77777777" w:rsidR="001F6588" w:rsidRPr="001F6588" w:rsidRDefault="001F6588" w:rsidP="009D2934">
            <w:pPr>
              <w:jc w:val="left"/>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Low-Income</w:t>
            </w:r>
          </w:p>
        </w:tc>
        <w:tc>
          <w:tcPr>
            <w:tcW w:w="0" w:type="auto"/>
            <w:tcBorders>
              <w:top w:val="single" w:sz="4" w:space="0" w:color="auto"/>
              <w:left w:val="single" w:sz="4" w:space="0" w:color="auto"/>
              <w:bottom w:val="single" w:sz="4" w:space="0" w:color="auto"/>
              <w:right w:val="single" w:sz="4" w:space="0" w:color="auto"/>
            </w:tcBorders>
            <w:hideMark/>
          </w:tcPr>
          <w:p w14:paraId="1E7057C6"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Rural school construction</w:t>
            </w:r>
            <w:r w:rsidRPr="001F6588">
              <w:rPr>
                <w:rFonts w:ascii="Browallia New" w:eastAsia="Times New Roman" w:hAnsi="Browallia New" w:cs="Browallia New"/>
                <w:kern w:val="0"/>
                <w:sz w:val="28"/>
                <w:szCs w:val="28"/>
                <w14:ligatures w14:val="none"/>
              </w:rPr>
              <w:br/>
              <w:t>- Mobile teaching services</w:t>
            </w:r>
          </w:p>
        </w:tc>
        <w:tc>
          <w:tcPr>
            <w:tcW w:w="0" w:type="auto"/>
            <w:tcBorders>
              <w:top w:val="single" w:sz="4" w:space="0" w:color="auto"/>
              <w:left w:val="single" w:sz="4" w:space="0" w:color="auto"/>
              <w:bottom w:val="single" w:sz="4" w:space="0" w:color="auto"/>
              <w:right w:val="single" w:sz="4" w:space="0" w:color="auto"/>
            </w:tcBorders>
            <w:hideMark/>
          </w:tcPr>
          <w:p w14:paraId="56E404F8"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CCT programs</w:t>
            </w:r>
            <w:r w:rsidRPr="001F6588">
              <w:rPr>
                <w:rFonts w:ascii="Browallia New" w:eastAsia="Times New Roman" w:hAnsi="Browallia New" w:cs="Browallia New"/>
                <w:kern w:val="0"/>
                <w:sz w:val="28"/>
                <w:szCs w:val="28"/>
                <w14:ligatures w14:val="none"/>
              </w:rPr>
              <w:br/>
              <w:t>- Free education subsidies</w:t>
            </w:r>
          </w:p>
        </w:tc>
        <w:tc>
          <w:tcPr>
            <w:tcW w:w="0" w:type="auto"/>
            <w:tcBorders>
              <w:top w:val="single" w:sz="4" w:space="0" w:color="auto"/>
              <w:left w:val="single" w:sz="4" w:space="0" w:color="auto"/>
              <w:bottom w:val="single" w:sz="4" w:space="0" w:color="auto"/>
              <w:right w:val="single" w:sz="4" w:space="0" w:color="auto"/>
            </w:tcBorders>
            <w:hideMark/>
          </w:tcPr>
          <w:p w14:paraId="049F8739"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Awareness campaigns</w:t>
            </w:r>
            <w:r w:rsidRPr="001F6588">
              <w:rPr>
                <w:rFonts w:ascii="Browallia New" w:eastAsia="Times New Roman" w:hAnsi="Browallia New" w:cs="Browallia New"/>
                <w:kern w:val="0"/>
                <w:sz w:val="28"/>
                <w:szCs w:val="28"/>
                <w14:ligatures w14:val="none"/>
              </w:rPr>
              <w:br/>
              <w:t>- Gender inclusion via local media</w:t>
            </w:r>
          </w:p>
        </w:tc>
        <w:tc>
          <w:tcPr>
            <w:tcW w:w="0" w:type="auto"/>
            <w:tcBorders>
              <w:top w:val="single" w:sz="4" w:space="0" w:color="auto"/>
              <w:left w:val="single" w:sz="4" w:space="0" w:color="auto"/>
              <w:bottom w:val="single" w:sz="4" w:space="0" w:color="auto"/>
              <w:right w:val="single" w:sz="4" w:space="0" w:color="auto"/>
            </w:tcBorders>
            <w:hideMark/>
          </w:tcPr>
          <w:p w14:paraId="7713431C"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Microlearning</w:t>
            </w:r>
            <w:r w:rsidRPr="001F6588">
              <w:rPr>
                <w:rFonts w:ascii="Browallia New" w:eastAsia="Times New Roman" w:hAnsi="Browallia New" w:cs="Browallia New"/>
                <w:kern w:val="0"/>
                <w:sz w:val="28"/>
                <w:szCs w:val="28"/>
                <w14:ligatures w14:val="none"/>
              </w:rPr>
              <w:br/>
              <w:t>- Offline digital content</w:t>
            </w:r>
          </w:p>
        </w:tc>
      </w:tr>
      <w:tr w:rsidR="001F6588" w:rsidRPr="001F6588" w14:paraId="390B3B66" w14:textId="77777777" w:rsidTr="009D293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1CA34B5" w14:textId="77777777" w:rsidR="001F6588" w:rsidRPr="001F6588" w:rsidRDefault="001F6588" w:rsidP="009D2934">
            <w:pPr>
              <w:jc w:val="left"/>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Middle-Income</w:t>
            </w:r>
          </w:p>
        </w:tc>
        <w:tc>
          <w:tcPr>
            <w:tcW w:w="0" w:type="auto"/>
            <w:tcBorders>
              <w:top w:val="single" w:sz="4" w:space="0" w:color="auto"/>
              <w:left w:val="single" w:sz="4" w:space="0" w:color="auto"/>
              <w:bottom w:val="single" w:sz="4" w:space="0" w:color="auto"/>
              <w:right w:val="single" w:sz="4" w:space="0" w:color="auto"/>
            </w:tcBorders>
            <w:hideMark/>
          </w:tcPr>
          <w:p w14:paraId="3554E0F7" w14:textId="77777777" w:rsidR="001F6588" w:rsidRPr="001F6588" w:rsidRDefault="001F6588" w:rsidP="001F6588">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Curriculum reform</w:t>
            </w:r>
            <w:r w:rsidRPr="001F6588">
              <w:rPr>
                <w:rFonts w:ascii="Browallia New" w:eastAsia="Times New Roman" w:hAnsi="Browallia New" w:cs="Browallia New"/>
                <w:kern w:val="0"/>
                <w:sz w:val="28"/>
                <w:szCs w:val="28"/>
                <w14:ligatures w14:val="none"/>
              </w:rPr>
              <w:br/>
              <w:t>- Work-based learning</w:t>
            </w:r>
          </w:p>
        </w:tc>
        <w:tc>
          <w:tcPr>
            <w:tcW w:w="0" w:type="auto"/>
            <w:tcBorders>
              <w:top w:val="single" w:sz="4" w:space="0" w:color="auto"/>
              <w:left w:val="single" w:sz="4" w:space="0" w:color="auto"/>
              <w:bottom w:val="single" w:sz="4" w:space="0" w:color="auto"/>
              <w:right w:val="single" w:sz="4" w:space="0" w:color="auto"/>
            </w:tcBorders>
            <w:hideMark/>
          </w:tcPr>
          <w:p w14:paraId="14473C13" w14:textId="77777777" w:rsidR="001F6588" w:rsidRPr="001F6588" w:rsidRDefault="001F6588" w:rsidP="001F6588">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Learning credits</w:t>
            </w:r>
            <w:r w:rsidRPr="001F6588">
              <w:rPr>
                <w:rFonts w:ascii="Browallia New" w:eastAsia="Times New Roman" w:hAnsi="Browallia New" w:cs="Browallia New"/>
                <w:kern w:val="0"/>
                <w:sz w:val="28"/>
                <w:szCs w:val="28"/>
                <w14:ligatures w14:val="none"/>
              </w:rPr>
              <w:br/>
              <w:t>- Upskilling platforms</w:t>
            </w:r>
          </w:p>
        </w:tc>
        <w:tc>
          <w:tcPr>
            <w:tcW w:w="0" w:type="auto"/>
            <w:tcBorders>
              <w:top w:val="single" w:sz="4" w:space="0" w:color="auto"/>
              <w:left w:val="single" w:sz="4" w:space="0" w:color="auto"/>
              <w:bottom w:val="single" w:sz="4" w:space="0" w:color="auto"/>
              <w:right w:val="single" w:sz="4" w:space="0" w:color="auto"/>
            </w:tcBorders>
            <w:hideMark/>
          </w:tcPr>
          <w:p w14:paraId="0BD85E4D" w14:textId="77777777" w:rsidR="001F6588" w:rsidRPr="001F6588" w:rsidRDefault="001F6588" w:rsidP="001F6588">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Incentives for mid-career learners</w:t>
            </w:r>
            <w:r w:rsidRPr="001F6588">
              <w:rPr>
                <w:rFonts w:ascii="Browallia New" w:eastAsia="Times New Roman" w:hAnsi="Browallia New" w:cs="Browallia New"/>
                <w:kern w:val="0"/>
                <w:sz w:val="28"/>
                <w:szCs w:val="28"/>
                <w14:ligatures w14:val="none"/>
              </w:rPr>
              <w:br/>
              <w:t>- Recognition of short-term credentials</w:t>
            </w:r>
          </w:p>
        </w:tc>
        <w:tc>
          <w:tcPr>
            <w:tcW w:w="0" w:type="auto"/>
            <w:tcBorders>
              <w:top w:val="single" w:sz="4" w:space="0" w:color="auto"/>
              <w:left w:val="single" w:sz="4" w:space="0" w:color="auto"/>
              <w:bottom w:val="single" w:sz="4" w:space="0" w:color="auto"/>
              <w:right w:val="single" w:sz="4" w:space="0" w:color="auto"/>
            </w:tcBorders>
            <w:hideMark/>
          </w:tcPr>
          <w:p w14:paraId="06A668B2" w14:textId="77777777" w:rsidR="001F6588" w:rsidRPr="001F6588" w:rsidRDefault="001F6588" w:rsidP="001F6588">
            <w:pPr>
              <w:cnfStyle w:val="000000000000" w:firstRow="0" w:lastRow="0" w:firstColumn="0" w:lastColumn="0" w:oddVBand="0" w:evenVBand="0" w:oddHBand="0"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Lifelong learning infrastructure</w:t>
            </w:r>
            <w:r w:rsidRPr="001F6588">
              <w:rPr>
                <w:rFonts w:ascii="Browallia New" w:eastAsia="Times New Roman" w:hAnsi="Browallia New" w:cs="Browallia New"/>
                <w:kern w:val="0"/>
                <w:sz w:val="28"/>
                <w:szCs w:val="28"/>
                <w14:ligatures w14:val="none"/>
              </w:rPr>
              <w:br/>
              <w:t>- Modular online learning</w:t>
            </w:r>
          </w:p>
        </w:tc>
      </w:tr>
      <w:tr w:rsidR="001F6588" w:rsidRPr="001F6588" w14:paraId="6FA8BBDC" w14:textId="77777777" w:rsidTr="009D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EF27D82" w14:textId="77777777" w:rsidR="001F6588" w:rsidRPr="001F6588" w:rsidRDefault="001F6588" w:rsidP="009D2934">
            <w:pPr>
              <w:jc w:val="left"/>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b/>
                <w:bCs/>
                <w:kern w:val="0"/>
                <w:sz w:val="28"/>
                <w:szCs w:val="28"/>
                <w14:ligatures w14:val="none"/>
              </w:rPr>
              <w:t>High/Upper-Middle-Income</w:t>
            </w:r>
          </w:p>
        </w:tc>
        <w:tc>
          <w:tcPr>
            <w:tcW w:w="0" w:type="auto"/>
            <w:tcBorders>
              <w:top w:val="single" w:sz="4" w:space="0" w:color="auto"/>
              <w:left w:val="single" w:sz="4" w:space="0" w:color="auto"/>
              <w:bottom w:val="single" w:sz="4" w:space="0" w:color="auto"/>
              <w:right w:val="single" w:sz="4" w:space="0" w:color="auto"/>
            </w:tcBorders>
            <w:hideMark/>
          </w:tcPr>
          <w:p w14:paraId="37C5F30A"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Expand digital access</w:t>
            </w:r>
            <w:r w:rsidRPr="001F6588">
              <w:rPr>
                <w:rFonts w:ascii="Browallia New" w:eastAsia="Times New Roman" w:hAnsi="Browallia New" w:cs="Browallia New"/>
                <w:kern w:val="0"/>
                <w:sz w:val="28"/>
                <w:szCs w:val="28"/>
                <w14:ligatures w14:val="none"/>
              </w:rPr>
              <w:br/>
              <w:t>- Blended learning models</w:t>
            </w:r>
          </w:p>
        </w:tc>
        <w:tc>
          <w:tcPr>
            <w:tcW w:w="0" w:type="auto"/>
            <w:tcBorders>
              <w:top w:val="single" w:sz="4" w:space="0" w:color="auto"/>
              <w:left w:val="single" w:sz="4" w:space="0" w:color="auto"/>
              <w:bottom w:val="single" w:sz="4" w:space="0" w:color="auto"/>
              <w:right w:val="single" w:sz="4" w:space="0" w:color="auto"/>
            </w:tcBorders>
            <w:hideMark/>
          </w:tcPr>
          <w:p w14:paraId="4009A890"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Post-crisis education funds</w:t>
            </w:r>
            <w:r w:rsidRPr="001F6588">
              <w:rPr>
                <w:rFonts w:ascii="Browallia New" w:eastAsia="Times New Roman" w:hAnsi="Browallia New" w:cs="Browallia New"/>
                <w:kern w:val="0"/>
                <w:sz w:val="28"/>
                <w:szCs w:val="28"/>
                <w14:ligatures w14:val="none"/>
              </w:rPr>
              <w:br/>
              <w:t>- Teacher/school subsidies</w:t>
            </w:r>
          </w:p>
        </w:tc>
        <w:tc>
          <w:tcPr>
            <w:tcW w:w="0" w:type="auto"/>
            <w:tcBorders>
              <w:top w:val="single" w:sz="4" w:space="0" w:color="auto"/>
              <w:left w:val="single" w:sz="4" w:space="0" w:color="auto"/>
              <w:bottom w:val="single" w:sz="4" w:space="0" w:color="auto"/>
              <w:right w:val="single" w:sz="4" w:space="0" w:color="auto"/>
            </w:tcBorders>
            <w:hideMark/>
          </w:tcPr>
          <w:p w14:paraId="4D9485A9"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Career guidance</w:t>
            </w:r>
            <w:r w:rsidRPr="001F6588">
              <w:rPr>
                <w:rFonts w:ascii="Browallia New" w:eastAsia="Times New Roman" w:hAnsi="Browallia New" w:cs="Browallia New"/>
                <w:kern w:val="0"/>
                <w:sz w:val="28"/>
                <w:szCs w:val="28"/>
                <w14:ligatures w14:val="none"/>
              </w:rPr>
              <w:br/>
              <w:t>- Flexible learning pathways</w:t>
            </w:r>
          </w:p>
        </w:tc>
        <w:tc>
          <w:tcPr>
            <w:tcW w:w="0" w:type="auto"/>
            <w:tcBorders>
              <w:top w:val="single" w:sz="4" w:space="0" w:color="auto"/>
              <w:left w:val="single" w:sz="4" w:space="0" w:color="auto"/>
              <w:bottom w:val="single" w:sz="4" w:space="0" w:color="auto"/>
              <w:right w:val="single" w:sz="4" w:space="0" w:color="auto"/>
            </w:tcBorders>
            <w:hideMark/>
          </w:tcPr>
          <w:p w14:paraId="55D88D11" w14:textId="77777777" w:rsidR="001F6588" w:rsidRPr="001F6588" w:rsidRDefault="001F6588" w:rsidP="001F6588">
            <w:pPr>
              <w:cnfStyle w:val="000000100000" w:firstRow="0" w:lastRow="0" w:firstColumn="0" w:lastColumn="0" w:oddVBand="0" w:evenVBand="0" w:oddHBand="1" w:evenHBand="0" w:firstRowFirstColumn="0" w:firstRowLastColumn="0" w:lastRowFirstColumn="0" w:lastRowLastColumn="0"/>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 Qualification reform</w:t>
            </w:r>
            <w:r w:rsidRPr="001F6588">
              <w:rPr>
                <w:rFonts w:ascii="Browallia New" w:eastAsia="Times New Roman" w:hAnsi="Browallia New" w:cs="Browallia New"/>
                <w:kern w:val="0"/>
                <w:sz w:val="28"/>
                <w:szCs w:val="28"/>
                <w14:ligatures w14:val="none"/>
              </w:rPr>
              <w:br/>
              <w:t>- Recognition of informal skills</w:t>
            </w:r>
          </w:p>
        </w:tc>
      </w:tr>
    </w:tbl>
    <w:p w14:paraId="0E809AFF" w14:textId="77777777" w:rsidR="001F6588" w:rsidRPr="001F6588" w:rsidRDefault="001F6588" w:rsidP="00B0473B">
      <w:pPr>
        <w:spacing w:before="100" w:beforeAutospacing="1" w:after="100" w:afterAutospacing="1" w:line="240" w:lineRule="auto"/>
        <w:jc w:val="thaiDistribute"/>
        <w:rPr>
          <w:rFonts w:ascii="Browallia New" w:eastAsia="Times New Roman" w:hAnsi="Browallia New" w:cs="Browallia New"/>
          <w:kern w:val="0"/>
          <w:sz w:val="28"/>
          <w:szCs w:val="28"/>
          <w14:ligatures w14:val="none"/>
        </w:rPr>
      </w:pPr>
      <w:r w:rsidRPr="001F6588">
        <w:rPr>
          <w:rFonts w:ascii="Browallia New" w:eastAsia="Times New Roman" w:hAnsi="Browallia New" w:cs="Browallia New"/>
          <w:kern w:val="0"/>
          <w:sz w:val="28"/>
          <w:szCs w:val="28"/>
          <w14:ligatures w14:val="none"/>
        </w:rPr>
        <w:t>These strategic proposals reflect the urgent necessity of designing adaptive, inclusive, and forward-looking education systems that are resilient to economic, social, and environmental disruptions. They highlight the need for cooperation among public institutions, civil society, and private sectors to develop robust ecosystems for human capital formation that leave no one behind.</w:t>
      </w:r>
    </w:p>
    <w:p w14:paraId="740EC0E6" w14:textId="77777777" w:rsidR="001F6588" w:rsidRPr="001F6588" w:rsidRDefault="001F6588" w:rsidP="001F6588">
      <w:pPr>
        <w:jc w:val="both"/>
        <w:rPr>
          <w:rFonts w:ascii="Browallia New" w:hAnsi="Browallia New" w:cs="Browallia New"/>
          <w:sz w:val="28"/>
          <w:szCs w:val="28"/>
        </w:rPr>
      </w:pPr>
      <w:r w:rsidRPr="001F6588">
        <w:rPr>
          <w:rFonts w:ascii="Browallia New" w:hAnsi="Browallia New" w:cs="Browallia New"/>
          <w:b/>
          <w:bCs/>
          <w:sz w:val="28"/>
          <w:szCs w:val="28"/>
        </w:rPr>
        <w:t>Chapter 7: Policy Recommendations for Addressing Educational Exclusion Across Diverse Contexts</w:t>
      </w:r>
    </w:p>
    <w:p w14:paraId="750B380E" w14:textId="046FBFDF" w:rsidR="001F6588" w:rsidRPr="001F6588" w:rsidRDefault="001F6588" w:rsidP="00B0473B">
      <w:pPr>
        <w:jc w:val="thaiDistribute"/>
        <w:rPr>
          <w:rFonts w:ascii="Browallia New" w:hAnsi="Browallia New" w:cs="Browallia New"/>
          <w:sz w:val="28"/>
          <w:szCs w:val="28"/>
        </w:rPr>
      </w:pPr>
      <w:r w:rsidRPr="001F6588">
        <w:rPr>
          <w:rFonts w:ascii="Browallia New" w:hAnsi="Browallia New" w:cs="Browallia New"/>
          <w:sz w:val="28"/>
          <w:szCs w:val="28"/>
        </w:rPr>
        <w:t>The persistent challenge of educational exclusion</w:t>
      </w:r>
      <w:r>
        <w:rPr>
          <w:rFonts w:ascii="Browallia New" w:hAnsi="Browallia New" w:cs="Browallia New"/>
          <w:sz w:val="28"/>
          <w:szCs w:val="28"/>
        </w:rPr>
        <w:t xml:space="preserve"> </w:t>
      </w:r>
      <w:r w:rsidRPr="001F6588">
        <w:rPr>
          <w:rFonts w:ascii="Browallia New" w:hAnsi="Browallia New" w:cs="Browallia New"/>
          <w:sz w:val="28"/>
          <w:szCs w:val="28"/>
        </w:rPr>
        <w:t>referred to here as “Lack of Education”</w:t>
      </w:r>
      <w:r>
        <w:rPr>
          <w:rFonts w:ascii="Browallia New" w:hAnsi="Browallia New" w:cs="Browallia New"/>
          <w:sz w:val="28"/>
          <w:szCs w:val="28"/>
        </w:rPr>
        <w:t xml:space="preserve"> </w:t>
      </w:r>
      <w:r w:rsidRPr="001F6588">
        <w:rPr>
          <w:rFonts w:ascii="Browallia New" w:hAnsi="Browallia New" w:cs="Browallia New"/>
          <w:sz w:val="28"/>
          <w:szCs w:val="28"/>
        </w:rPr>
        <w:t>continues to pose significant development risks, particularly in Asia, where disparities in economic structures, governance capacity, and education systems are highly pronounced. The structural drivers of this issue extend beyond poverty and conflict, encompassing digital divides, outdated bureaucratic systems, and the absence of effective incentives for lifelong learning.</w:t>
      </w:r>
    </w:p>
    <w:p w14:paraId="20A815B4" w14:textId="7FC5222D" w:rsidR="001F6588" w:rsidRDefault="001F6588" w:rsidP="00B0473B">
      <w:pPr>
        <w:jc w:val="thaiDistribute"/>
        <w:rPr>
          <w:rFonts w:ascii="Browallia New" w:hAnsi="Browallia New" w:cs="Browallia New"/>
          <w:sz w:val="28"/>
          <w:szCs w:val="28"/>
          <w:lang w:bidi="th-TH"/>
        </w:rPr>
      </w:pPr>
      <w:r w:rsidRPr="001F6588">
        <w:rPr>
          <w:rFonts w:ascii="Browallia New" w:hAnsi="Browallia New" w:cs="Browallia New"/>
          <w:sz w:val="28"/>
          <w:szCs w:val="28"/>
        </w:rPr>
        <w:t>To support evidence-based policymaking, this chapter synthesizes core problems, recommended interventions, and key research gaps requiring further investigation, organized by national income classification.</w:t>
      </w:r>
    </w:p>
    <w:p w14:paraId="08CF7ED9" w14:textId="77777777" w:rsidR="008F0AE9" w:rsidRDefault="008F0AE9" w:rsidP="001F6588">
      <w:pPr>
        <w:jc w:val="both"/>
        <w:rPr>
          <w:rFonts w:ascii="Browallia New" w:hAnsi="Browallia New" w:cs="Browallia New"/>
          <w:sz w:val="28"/>
          <w:szCs w:val="28"/>
          <w:lang w:bidi="th-TH"/>
        </w:rPr>
      </w:pPr>
    </w:p>
    <w:p w14:paraId="506C4FD9" w14:textId="77777777" w:rsidR="008F0AE9" w:rsidRDefault="008F0AE9" w:rsidP="001F6588">
      <w:pPr>
        <w:jc w:val="both"/>
        <w:rPr>
          <w:rFonts w:ascii="Browallia New" w:hAnsi="Browallia New" w:cs="Browallia New"/>
          <w:sz w:val="28"/>
          <w:szCs w:val="28"/>
          <w:lang w:bidi="th-TH"/>
        </w:rPr>
      </w:pPr>
    </w:p>
    <w:p w14:paraId="469BDAFF" w14:textId="77777777" w:rsidR="008F0AE9" w:rsidRPr="001F6588" w:rsidRDefault="008F0AE9" w:rsidP="001F6588">
      <w:pPr>
        <w:jc w:val="both"/>
        <w:rPr>
          <w:rFonts w:ascii="Browallia New" w:hAnsi="Browallia New" w:cs="Browallia New"/>
          <w:sz w:val="28"/>
          <w:szCs w:val="28"/>
          <w:lang w:bidi="th-TH"/>
        </w:rPr>
      </w:pPr>
    </w:p>
    <w:p w14:paraId="6B556CF6" w14:textId="77777777" w:rsidR="001F6588" w:rsidRPr="001F6588" w:rsidRDefault="001F6588" w:rsidP="001F6588">
      <w:pPr>
        <w:jc w:val="both"/>
        <w:rPr>
          <w:rFonts w:ascii="Browallia New" w:hAnsi="Browallia New" w:cs="Browallia New"/>
          <w:b/>
          <w:bCs/>
          <w:sz w:val="28"/>
          <w:szCs w:val="28"/>
        </w:rPr>
      </w:pPr>
      <w:r w:rsidRPr="001F6588">
        <w:rPr>
          <w:rFonts w:ascii="Browallia New" w:hAnsi="Browallia New" w:cs="Browallia New"/>
          <w:b/>
          <w:bCs/>
          <w:sz w:val="28"/>
          <w:szCs w:val="28"/>
        </w:rPr>
        <w:lastRenderedPageBreak/>
        <w:t>Policy Matrix: Addressing Educational Exclusion by Income Level</w:t>
      </w:r>
    </w:p>
    <w:tbl>
      <w:tblPr>
        <w:tblStyle w:val="GridTable3"/>
        <w:tblW w:w="0" w:type="auto"/>
        <w:tblInd w:w="5" w:type="dxa"/>
        <w:tblLook w:val="04A0" w:firstRow="1" w:lastRow="0" w:firstColumn="1" w:lastColumn="0" w:noHBand="0" w:noVBand="1"/>
      </w:tblPr>
      <w:tblGrid>
        <w:gridCol w:w="1466"/>
        <w:gridCol w:w="1679"/>
        <w:gridCol w:w="1680"/>
        <w:gridCol w:w="2527"/>
        <w:gridCol w:w="2003"/>
      </w:tblGrid>
      <w:tr w:rsidR="001F6588" w:rsidRPr="00B0473B" w14:paraId="60067165" w14:textId="77777777" w:rsidTr="00C81F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hideMark/>
          </w:tcPr>
          <w:p w14:paraId="4741F9A6" w14:textId="77777777" w:rsidR="001F6588" w:rsidRPr="00B0473B" w:rsidRDefault="001F6588" w:rsidP="00B0473B">
            <w:pPr>
              <w:spacing w:after="160" w:line="278" w:lineRule="auto"/>
              <w:jc w:val="center"/>
              <w:rPr>
                <w:rFonts w:ascii="Browallia New" w:hAnsi="Browallia New" w:cs="Browallia New"/>
                <w:i w:val="0"/>
                <w:iCs w:val="0"/>
                <w:sz w:val="28"/>
                <w:szCs w:val="28"/>
              </w:rPr>
            </w:pPr>
            <w:r w:rsidRPr="00B0473B">
              <w:rPr>
                <w:rFonts w:ascii="Browallia New" w:hAnsi="Browallia New" w:cs="Browallia New"/>
                <w:i w:val="0"/>
                <w:iCs w:val="0"/>
                <w:sz w:val="28"/>
                <w:szCs w:val="28"/>
              </w:rPr>
              <w:t>Income Level</w:t>
            </w:r>
          </w:p>
        </w:tc>
        <w:tc>
          <w:tcPr>
            <w:tcW w:w="1679" w:type="dxa"/>
            <w:hideMark/>
          </w:tcPr>
          <w:p w14:paraId="49133EE1" w14:textId="77777777" w:rsidR="001F6588" w:rsidRPr="00B0473B" w:rsidRDefault="001F6588" w:rsidP="00B0473B">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B0473B">
              <w:rPr>
                <w:rFonts w:ascii="Browallia New" w:hAnsi="Browallia New" w:cs="Browallia New"/>
                <w:sz w:val="28"/>
                <w:szCs w:val="28"/>
              </w:rPr>
              <w:t>Country Examples</w:t>
            </w:r>
          </w:p>
        </w:tc>
        <w:tc>
          <w:tcPr>
            <w:tcW w:w="1680" w:type="dxa"/>
            <w:hideMark/>
          </w:tcPr>
          <w:p w14:paraId="026014F5" w14:textId="77777777" w:rsidR="001F6588" w:rsidRPr="00B0473B" w:rsidRDefault="001F6588" w:rsidP="00B0473B">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B0473B">
              <w:rPr>
                <w:rFonts w:ascii="Browallia New" w:hAnsi="Browallia New" w:cs="Browallia New"/>
                <w:sz w:val="28"/>
                <w:szCs w:val="28"/>
              </w:rPr>
              <w:t>Key Challenges</w:t>
            </w:r>
          </w:p>
        </w:tc>
        <w:tc>
          <w:tcPr>
            <w:tcW w:w="0" w:type="auto"/>
            <w:hideMark/>
          </w:tcPr>
          <w:p w14:paraId="3B10BEF7" w14:textId="77777777" w:rsidR="001F6588" w:rsidRPr="00B0473B" w:rsidRDefault="001F6588" w:rsidP="00B0473B">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B0473B">
              <w:rPr>
                <w:rFonts w:ascii="Browallia New" w:hAnsi="Browallia New" w:cs="Browallia New"/>
                <w:sz w:val="28"/>
                <w:szCs w:val="28"/>
              </w:rPr>
              <w:t>Policy Recommendations</w:t>
            </w:r>
          </w:p>
        </w:tc>
        <w:tc>
          <w:tcPr>
            <w:tcW w:w="0" w:type="auto"/>
            <w:hideMark/>
          </w:tcPr>
          <w:p w14:paraId="0C7AD9E9" w14:textId="77777777" w:rsidR="001F6588" w:rsidRPr="00B0473B" w:rsidRDefault="001F6588" w:rsidP="00B0473B">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B0473B">
              <w:rPr>
                <w:rFonts w:ascii="Browallia New" w:hAnsi="Browallia New" w:cs="Browallia New"/>
                <w:sz w:val="28"/>
                <w:szCs w:val="28"/>
              </w:rPr>
              <w:t>Research Gaps</w:t>
            </w:r>
          </w:p>
        </w:tc>
      </w:tr>
      <w:tr w:rsidR="001F6588" w:rsidRPr="001F6588" w14:paraId="44D3D320" w14:textId="77777777" w:rsidTr="00C81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23920E8" w14:textId="77777777" w:rsidR="001F6588" w:rsidRPr="001F6588" w:rsidRDefault="001F6588" w:rsidP="009D2934">
            <w:pPr>
              <w:spacing w:after="160" w:line="278" w:lineRule="auto"/>
              <w:jc w:val="left"/>
              <w:rPr>
                <w:rFonts w:ascii="Browallia New" w:hAnsi="Browallia New" w:cs="Browallia New"/>
                <w:sz w:val="28"/>
                <w:szCs w:val="28"/>
              </w:rPr>
            </w:pPr>
            <w:r w:rsidRPr="001F6588">
              <w:rPr>
                <w:rFonts w:ascii="Browallia New" w:hAnsi="Browallia New" w:cs="Browallia New"/>
                <w:b/>
                <w:bCs/>
                <w:sz w:val="28"/>
                <w:szCs w:val="28"/>
              </w:rPr>
              <w:t>Low-Income</w:t>
            </w:r>
          </w:p>
        </w:tc>
        <w:tc>
          <w:tcPr>
            <w:tcW w:w="1679" w:type="dxa"/>
            <w:tcBorders>
              <w:left w:val="single" w:sz="4" w:space="0" w:color="auto"/>
            </w:tcBorders>
            <w:hideMark/>
          </w:tcPr>
          <w:p w14:paraId="14B04FBB" w14:textId="77777777" w:rsidR="001F6588" w:rsidRPr="001F6588" w:rsidRDefault="001F6588" w:rsidP="001F6588">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Nepal, Pakistan, Syria, Bangladesh (rural areas)</w:t>
            </w:r>
          </w:p>
        </w:tc>
        <w:tc>
          <w:tcPr>
            <w:tcW w:w="1680" w:type="dxa"/>
            <w:hideMark/>
          </w:tcPr>
          <w:p w14:paraId="4AEF7EB1" w14:textId="77777777" w:rsidR="001F6588" w:rsidRPr="001F6588" w:rsidRDefault="001F6588" w:rsidP="00C81F96">
            <w:pPr>
              <w:spacing w:after="160" w:line="278" w:lineRule="auto"/>
              <w:ind w:right="-45"/>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 Extreme poverty</w:t>
            </w:r>
            <w:r w:rsidRPr="001F6588">
              <w:rPr>
                <w:rFonts w:ascii="Browallia New" w:hAnsi="Browallia New" w:cs="Browallia New"/>
                <w:sz w:val="28"/>
                <w:szCs w:val="28"/>
              </w:rPr>
              <w:br/>
              <w:t>- Infrastructure and teacher shortages</w:t>
            </w:r>
            <w:r w:rsidRPr="001F6588">
              <w:rPr>
                <w:rFonts w:ascii="Browallia New" w:hAnsi="Browallia New" w:cs="Browallia New"/>
                <w:sz w:val="28"/>
                <w:szCs w:val="28"/>
              </w:rPr>
              <w:br/>
              <w:t>- Gender disparities</w:t>
            </w:r>
            <w:r w:rsidRPr="001F6588">
              <w:rPr>
                <w:rFonts w:ascii="Browallia New" w:hAnsi="Browallia New" w:cs="Browallia New"/>
                <w:sz w:val="28"/>
                <w:szCs w:val="28"/>
              </w:rPr>
              <w:br/>
              <w:t>- Fragile or failed state systems</w:t>
            </w:r>
          </w:p>
        </w:tc>
        <w:tc>
          <w:tcPr>
            <w:tcW w:w="0" w:type="auto"/>
            <w:hideMark/>
          </w:tcPr>
          <w:p w14:paraId="60DC2A42" w14:textId="77777777" w:rsidR="001F6588" w:rsidRPr="001F6588" w:rsidRDefault="001F6588" w:rsidP="001F6588">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 Conditional cash transfers (CCTs) to incentivize schooling</w:t>
            </w:r>
            <w:r w:rsidRPr="001F6588">
              <w:rPr>
                <w:rFonts w:ascii="Browallia New" w:hAnsi="Browallia New" w:cs="Browallia New"/>
                <w:sz w:val="28"/>
                <w:szCs w:val="28"/>
              </w:rPr>
              <w:br/>
              <w:t>- Establish mobile and community-based schools</w:t>
            </w:r>
            <w:r w:rsidRPr="001F6588">
              <w:rPr>
                <w:rFonts w:ascii="Browallia New" w:hAnsi="Browallia New" w:cs="Browallia New"/>
                <w:sz w:val="28"/>
                <w:szCs w:val="28"/>
              </w:rPr>
              <w:br/>
              <w:t>- Expand microlearning and offline digital resources</w:t>
            </w:r>
            <w:r w:rsidRPr="001F6588">
              <w:rPr>
                <w:rFonts w:ascii="Browallia New" w:hAnsi="Browallia New" w:cs="Browallia New"/>
                <w:sz w:val="28"/>
                <w:szCs w:val="28"/>
              </w:rPr>
              <w:br/>
              <w:t>- Leverage international and NGO partnerships</w:t>
            </w:r>
          </w:p>
        </w:tc>
        <w:tc>
          <w:tcPr>
            <w:tcW w:w="0" w:type="auto"/>
            <w:hideMark/>
          </w:tcPr>
          <w:p w14:paraId="794E1DA2" w14:textId="7279F32E" w:rsidR="001F6588" w:rsidRPr="001F6588" w:rsidRDefault="001F6588" w:rsidP="001F6588">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 Long-term sustainability of community-based scholarship models</w:t>
            </w:r>
            <w:r w:rsidRPr="001F6588">
              <w:rPr>
                <w:rFonts w:ascii="Browallia New" w:hAnsi="Browallia New" w:cs="Browallia New"/>
                <w:sz w:val="28"/>
                <w:szCs w:val="28"/>
              </w:rPr>
              <w:br/>
              <w:t>- Metrics for evaluating microlearning outcomes</w:t>
            </w:r>
            <w:r w:rsidRPr="001F6588">
              <w:rPr>
                <w:rFonts w:ascii="Browallia New" w:hAnsi="Browallia New" w:cs="Browallia New"/>
                <w:sz w:val="28"/>
                <w:szCs w:val="28"/>
              </w:rPr>
              <w:br/>
              <w:t xml:space="preserve">- </w:t>
            </w:r>
            <w:r w:rsidR="00B0473B" w:rsidRPr="001F6588">
              <w:rPr>
                <w:rFonts w:ascii="Browallia New" w:hAnsi="Browallia New" w:cs="Browallia New"/>
                <w:sz w:val="28"/>
                <w:szCs w:val="28"/>
              </w:rPr>
              <w:t>post-conflict</w:t>
            </w:r>
            <w:r w:rsidRPr="001F6588">
              <w:rPr>
                <w:rFonts w:ascii="Browallia New" w:hAnsi="Browallia New" w:cs="Browallia New"/>
                <w:sz w:val="28"/>
                <w:szCs w:val="28"/>
              </w:rPr>
              <w:t xml:space="preserve"> education system recovery models</w:t>
            </w:r>
          </w:p>
        </w:tc>
      </w:tr>
      <w:tr w:rsidR="001F6588" w:rsidRPr="001F6588" w14:paraId="73268005" w14:textId="77777777" w:rsidTr="00C81F9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D575575" w14:textId="77777777" w:rsidR="001F6588" w:rsidRPr="001F6588" w:rsidRDefault="001F6588" w:rsidP="009D2934">
            <w:pPr>
              <w:spacing w:after="160" w:line="278" w:lineRule="auto"/>
              <w:jc w:val="left"/>
              <w:rPr>
                <w:rFonts w:ascii="Browallia New" w:hAnsi="Browallia New" w:cs="Browallia New"/>
                <w:sz w:val="28"/>
                <w:szCs w:val="28"/>
              </w:rPr>
            </w:pPr>
            <w:r w:rsidRPr="001F6588">
              <w:rPr>
                <w:rFonts w:ascii="Browallia New" w:hAnsi="Browallia New" w:cs="Browallia New"/>
                <w:b/>
                <w:bCs/>
                <w:sz w:val="28"/>
                <w:szCs w:val="28"/>
              </w:rPr>
              <w:t>Middle-Income</w:t>
            </w:r>
          </w:p>
        </w:tc>
        <w:tc>
          <w:tcPr>
            <w:tcW w:w="1679" w:type="dxa"/>
            <w:tcBorders>
              <w:left w:val="single" w:sz="4" w:space="0" w:color="auto"/>
            </w:tcBorders>
            <w:hideMark/>
          </w:tcPr>
          <w:p w14:paraId="6A763362" w14:textId="77777777" w:rsidR="001F6588" w:rsidRPr="001F6588" w:rsidRDefault="001F6588" w:rsidP="001F6588">
            <w:pPr>
              <w:spacing w:after="160" w:line="278" w:lineRule="auto"/>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Thailand, Bangladesh (urban), Lebanon</w:t>
            </w:r>
          </w:p>
        </w:tc>
        <w:tc>
          <w:tcPr>
            <w:tcW w:w="1680" w:type="dxa"/>
            <w:hideMark/>
          </w:tcPr>
          <w:p w14:paraId="539E1430" w14:textId="77777777" w:rsidR="001F6588" w:rsidRPr="001F6588" w:rsidRDefault="001F6588" w:rsidP="00C81F96">
            <w:pPr>
              <w:spacing w:after="160" w:line="278" w:lineRule="auto"/>
              <w:ind w:right="-45"/>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 Urban-rural divide</w:t>
            </w:r>
            <w:r w:rsidRPr="001F6588">
              <w:rPr>
                <w:rFonts w:ascii="Browallia New" w:hAnsi="Browallia New" w:cs="Browallia New"/>
                <w:sz w:val="28"/>
                <w:szCs w:val="28"/>
              </w:rPr>
              <w:br/>
              <w:t>- Low motivation for adult learners</w:t>
            </w:r>
            <w:r w:rsidRPr="001F6588">
              <w:rPr>
                <w:rFonts w:ascii="Browallia New" w:hAnsi="Browallia New" w:cs="Browallia New"/>
                <w:sz w:val="28"/>
                <w:szCs w:val="28"/>
              </w:rPr>
              <w:br/>
              <w:t>- Weak lifelong learning ecosystems</w:t>
            </w:r>
            <w:r w:rsidRPr="001F6588">
              <w:rPr>
                <w:rFonts w:ascii="Browallia New" w:hAnsi="Browallia New" w:cs="Browallia New"/>
                <w:sz w:val="28"/>
                <w:szCs w:val="28"/>
              </w:rPr>
              <w:br/>
              <w:t>- Fiscal pressures from economic crises</w:t>
            </w:r>
          </w:p>
        </w:tc>
        <w:tc>
          <w:tcPr>
            <w:tcW w:w="0" w:type="auto"/>
            <w:hideMark/>
          </w:tcPr>
          <w:p w14:paraId="72794A41" w14:textId="77777777" w:rsidR="001F6588" w:rsidRPr="001F6588" w:rsidRDefault="001F6588" w:rsidP="001F6588">
            <w:pPr>
              <w:spacing w:after="160" w:line="278" w:lineRule="auto"/>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 Curriculum reform to align with labor market demands</w:t>
            </w:r>
            <w:r w:rsidRPr="001F6588">
              <w:rPr>
                <w:rFonts w:ascii="Browallia New" w:hAnsi="Browallia New" w:cs="Browallia New"/>
                <w:sz w:val="28"/>
                <w:szCs w:val="28"/>
              </w:rPr>
              <w:br/>
              <w:t>- Establish blended learning community centers</w:t>
            </w:r>
            <w:r w:rsidRPr="001F6588">
              <w:rPr>
                <w:rFonts w:ascii="Browallia New" w:hAnsi="Browallia New" w:cs="Browallia New"/>
                <w:sz w:val="28"/>
                <w:szCs w:val="28"/>
              </w:rPr>
              <w:br/>
              <w:t>- Offer incentives for adult learners (e.g., tax credits, learning vouchers)</w:t>
            </w:r>
            <w:r w:rsidRPr="001F6588">
              <w:rPr>
                <w:rFonts w:ascii="Browallia New" w:hAnsi="Browallia New" w:cs="Browallia New"/>
                <w:sz w:val="28"/>
                <w:szCs w:val="28"/>
              </w:rPr>
              <w:br/>
              <w:t>- Expand proactive career guidance systems</w:t>
            </w:r>
          </w:p>
        </w:tc>
        <w:tc>
          <w:tcPr>
            <w:tcW w:w="0" w:type="auto"/>
            <w:hideMark/>
          </w:tcPr>
          <w:p w14:paraId="32229121" w14:textId="77777777" w:rsidR="001F6588" w:rsidRPr="001F6588" w:rsidRDefault="001F6588" w:rsidP="001F6588">
            <w:pPr>
              <w:spacing w:after="160" w:line="278" w:lineRule="auto"/>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 Effectiveness of behavioral incentives among informal workers</w:t>
            </w:r>
            <w:r w:rsidRPr="001F6588">
              <w:rPr>
                <w:rFonts w:ascii="Browallia New" w:hAnsi="Browallia New" w:cs="Browallia New"/>
                <w:sz w:val="28"/>
                <w:szCs w:val="28"/>
              </w:rPr>
              <w:br/>
              <w:t>- Rural digital infrastructure readiness</w:t>
            </w:r>
            <w:r w:rsidRPr="001F6588">
              <w:rPr>
                <w:rFonts w:ascii="Browallia New" w:hAnsi="Browallia New" w:cs="Browallia New"/>
                <w:sz w:val="28"/>
                <w:szCs w:val="28"/>
              </w:rPr>
              <w:br/>
              <w:t>- Long-term effects of COVID-19 on learning trajectories</w:t>
            </w:r>
          </w:p>
        </w:tc>
      </w:tr>
      <w:tr w:rsidR="001F6588" w:rsidRPr="001F6588" w14:paraId="17EED284" w14:textId="77777777" w:rsidTr="00C81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70A2246" w14:textId="77777777" w:rsidR="001F6588" w:rsidRPr="001F6588" w:rsidRDefault="001F6588" w:rsidP="009D2934">
            <w:pPr>
              <w:spacing w:after="160" w:line="278" w:lineRule="auto"/>
              <w:jc w:val="left"/>
              <w:rPr>
                <w:rFonts w:ascii="Browallia New" w:hAnsi="Browallia New" w:cs="Browallia New"/>
                <w:sz w:val="28"/>
                <w:szCs w:val="28"/>
              </w:rPr>
            </w:pPr>
            <w:r w:rsidRPr="001F6588">
              <w:rPr>
                <w:rFonts w:ascii="Browallia New" w:hAnsi="Browallia New" w:cs="Browallia New"/>
                <w:b/>
                <w:bCs/>
                <w:sz w:val="28"/>
                <w:szCs w:val="28"/>
              </w:rPr>
              <w:t>High/Upper-Middle-Income</w:t>
            </w:r>
          </w:p>
        </w:tc>
        <w:tc>
          <w:tcPr>
            <w:tcW w:w="1679" w:type="dxa"/>
            <w:tcBorders>
              <w:left w:val="single" w:sz="4" w:space="0" w:color="auto"/>
            </w:tcBorders>
            <w:hideMark/>
          </w:tcPr>
          <w:p w14:paraId="4AD1A4FB" w14:textId="77777777" w:rsidR="001F6588" w:rsidRPr="001F6588" w:rsidRDefault="001F6588" w:rsidP="001F6588">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China, pre-crisis Lebanon</w:t>
            </w:r>
          </w:p>
        </w:tc>
        <w:tc>
          <w:tcPr>
            <w:tcW w:w="1680" w:type="dxa"/>
            <w:hideMark/>
          </w:tcPr>
          <w:p w14:paraId="67B30AF2" w14:textId="77777777" w:rsidR="001F6588" w:rsidRPr="001F6588" w:rsidRDefault="001F6588" w:rsidP="00C81F96">
            <w:pPr>
              <w:spacing w:after="160" w:line="278" w:lineRule="auto"/>
              <w:ind w:right="-45"/>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t>- Centralized bureaucracy</w:t>
            </w:r>
            <w:r w:rsidRPr="001F6588">
              <w:rPr>
                <w:rFonts w:ascii="Browallia New" w:hAnsi="Browallia New" w:cs="Browallia New"/>
                <w:sz w:val="28"/>
                <w:szCs w:val="28"/>
              </w:rPr>
              <w:br/>
              <w:t>- Hyper-competitive systems driving dropout</w:t>
            </w:r>
            <w:r w:rsidRPr="001F6588">
              <w:rPr>
                <w:rFonts w:ascii="Browallia New" w:hAnsi="Browallia New" w:cs="Browallia New"/>
                <w:sz w:val="28"/>
                <w:szCs w:val="28"/>
              </w:rPr>
              <w:br/>
            </w:r>
            <w:r w:rsidRPr="001F6588">
              <w:rPr>
                <w:rFonts w:ascii="Browallia New" w:hAnsi="Browallia New" w:cs="Browallia New"/>
                <w:sz w:val="28"/>
                <w:szCs w:val="28"/>
              </w:rPr>
              <w:lastRenderedPageBreak/>
              <w:t>- Institutional exclusion (e.g., Hukou system)</w:t>
            </w:r>
          </w:p>
        </w:tc>
        <w:tc>
          <w:tcPr>
            <w:tcW w:w="0" w:type="auto"/>
            <w:hideMark/>
          </w:tcPr>
          <w:p w14:paraId="5AB7D6FB" w14:textId="77777777" w:rsidR="001F6588" w:rsidRPr="001F6588" w:rsidRDefault="001F6588" w:rsidP="001F6588">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lastRenderedPageBreak/>
              <w:t>- Reform qualification frameworks to include non-formal skills</w:t>
            </w:r>
            <w:r w:rsidRPr="001F6588">
              <w:rPr>
                <w:rFonts w:ascii="Browallia New" w:hAnsi="Browallia New" w:cs="Browallia New"/>
                <w:sz w:val="28"/>
                <w:szCs w:val="28"/>
              </w:rPr>
              <w:br/>
              <w:t>- Develop flexible education-to-career pathways</w:t>
            </w:r>
            <w:r w:rsidRPr="001F6588">
              <w:rPr>
                <w:rFonts w:ascii="Browallia New" w:hAnsi="Browallia New" w:cs="Browallia New"/>
                <w:sz w:val="28"/>
                <w:szCs w:val="28"/>
              </w:rPr>
              <w:br/>
            </w:r>
            <w:r w:rsidRPr="001F6588">
              <w:rPr>
                <w:rFonts w:ascii="Browallia New" w:hAnsi="Browallia New" w:cs="Browallia New"/>
                <w:sz w:val="28"/>
                <w:szCs w:val="28"/>
              </w:rPr>
              <w:lastRenderedPageBreak/>
              <w:t>- Build national digital learning infrastructures</w:t>
            </w:r>
            <w:r w:rsidRPr="001F6588">
              <w:rPr>
                <w:rFonts w:ascii="Browallia New" w:hAnsi="Browallia New" w:cs="Browallia New"/>
                <w:sz w:val="28"/>
                <w:szCs w:val="28"/>
              </w:rPr>
              <w:br/>
              <w:t>- Support industry-led reskilling through tax or public-private investment</w:t>
            </w:r>
          </w:p>
        </w:tc>
        <w:tc>
          <w:tcPr>
            <w:tcW w:w="0" w:type="auto"/>
            <w:hideMark/>
          </w:tcPr>
          <w:p w14:paraId="59BF38B1" w14:textId="77777777" w:rsidR="001F6588" w:rsidRPr="001F6588" w:rsidRDefault="001F6588" w:rsidP="001F6588">
            <w:pPr>
              <w:spacing w:after="160" w:line="278" w:lineRule="auto"/>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szCs w:val="28"/>
              </w:rPr>
            </w:pPr>
            <w:r w:rsidRPr="001F6588">
              <w:rPr>
                <w:rFonts w:ascii="Browallia New" w:hAnsi="Browallia New" w:cs="Browallia New"/>
                <w:sz w:val="28"/>
                <w:szCs w:val="28"/>
              </w:rPr>
              <w:lastRenderedPageBreak/>
              <w:t>- Impact assessment of blended learning on at-risk students</w:t>
            </w:r>
            <w:r w:rsidRPr="001F6588">
              <w:rPr>
                <w:rFonts w:ascii="Browallia New" w:hAnsi="Browallia New" w:cs="Browallia New"/>
                <w:sz w:val="28"/>
                <w:szCs w:val="28"/>
              </w:rPr>
              <w:br/>
              <w:t>- Feasibility of sustainable qualification reform</w:t>
            </w:r>
            <w:r w:rsidRPr="001F6588">
              <w:rPr>
                <w:rFonts w:ascii="Browallia New" w:hAnsi="Browallia New" w:cs="Browallia New"/>
                <w:sz w:val="28"/>
                <w:szCs w:val="28"/>
              </w:rPr>
              <w:br/>
            </w:r>
            <w:r w:rsidRPr="001F6588">
              <w:rPr>
                <w:rFonts w:ascii="Browallia New" w:hAnsi="Browallia New" w:cs="Browallia New"/>
                <w:sz w:val="28"/>
                <w:szCs w:val="28"/>
              </w:rPr>
              <w:lastRenderedPageBreak/>
              <w:t>- Digital inequality even within high-income contexts</w:t>
            </w:r>
          </w:p>
        </w:tc>
      </w:tr>
    </w:tbl>
    <w:p w14:paraId="2BEBF935" w14:textId="77777777" w:rsidR="001F6588" w:rsidRDefault="001F6588" w:rsidP="001F6588">
      <w:pPr>
        <w:jc w:val="both"/>
        <w:rPr>
          <w:rFonts w:ascii="Browallia New" w:hAnsi="Browallia New" w:cs="Browallia New"/>
          <w:sz w:val="28"/>
          <w:szCs w:val="28"/>
          <w:lang w:bidi="th-TH"/>
        </w:rPr>
      </w:pPr>
    </w:p>
    <w:p w14:paraId="15E34EA8" w14:textId="5BCB93A5" w:rsidR="001F6588" w:rsidRPr="001F6588" w:rsidRDefault="001F6588" w:rsidP="001F6588">
      <w:pPr>
        <w:jc w:val="both"/>
        <w:rPr>
          <w:rFonts w:ascii="Browallia New" w:hAnsi="Browallia New" w:cs="Browallia New"/>
          <w:b/>
          <w:bCs/>
          <w:sz w:val="28"/>
          <w:szCs w:val="28"/>
        </w:rPr>
      </w:pPr>
      <w:r w:rsidRPr="001F6588">
        <w:rPr>
          <w:rFonts w:ascii="Browallia New" w:hAnsi="Browallia New" w:cs="Browallia New"/>
          <w:b/>
          <w:bCs/>
          <w:sz w:val="28"/>
          <w:szCs w:val="28"/>
        </w:rPr>
        <w:t>Cross-Cutting Observations</w:t>
      </w:r>
    </w:p>
    <w:p w14:paraId="4C4D3BAD" w14:textId="77777777" w:rsidR="001F6588" w:rsidRPr="001F6588" w:rsidRDefault="001F6588" w:rsidP="001F6588">
      <w:pPr>
        <w:jc w:val="both"/>
        <w:rPr>
          <w:rFonts w:ascii="Browallia New" w:hAnsi="Browallia New" w:cs="Browallia New"/>
          <w:sz w:val="28"/>
          <w:szCs w:val="28"/>
        </w:rPr>
      </w:pPr>
      <w:r w:rsidRPr="001F6588">
        <w:rPr>
          <w:rFonts w:ascii="Browallia New" w:hAnsi="Browallia New" w:cs="Browallia New"/>
          <w:sz w:val="28"/>
          <w:szCs w:val="28"/>
        </w:rPr>
        <w:t xml:space="preserve">Despite contextual differences, a shared constraint across all income levels is the </w:t>
      </w:r>
      <w:r w:rsidRPr="001F6588">
        <w:rPr>
          <w:rFonts w:ascii="Browallia New" w:hAnsi="Browallia New" w:cs="Browallia New"/>
          <w:b/>
          <w:bCs/>
          <w:sz w:val="28"/>
          <w:szCs w:val="28"/>
        </w:rPr>
        <w:t>absence of a comprehensive and adaptive lifelong learning infrastructure</w:t>
      </w:r>
      <w:r w:rsidRPr="001F6588">
        <w:rPr>
          <w:rFonts w:ascii="Browallia New" w:hAnsi="Browallia New" w:cs="Browallia New"/>
          <w:sz w:val="28"/>
          <w:szCs w:val="28"/>
        </w:rPr>
        <w:t xml:space="preserve">. While low-income countries face acute shortages in foundational resources, middle-income nations often struggle to modernize legacy systems, and high-income countries face challenges of </w:t>
      </w:r>
      <w:r w:rsidRPr="001F6588">
        <w:rPr>
          <w:rFonts w:ascii="Browallia New" w:hAnsi="Browallia New" w:cs="Browallia New"/>
          <w:b/>
          <w:bCs/>
          <w:sz w:val="28"/>
          <w:szCs w:val="28"/>
        </w:rPr>
        <w:t>over-centralization, competition-driven exclusion,</w:t>
      </w:r>
      <w:r w:rsidRPr="001F6588">
        <w:rPr>
          <w:rFonts w:ascii="Browallia New" w:hAnsi="Browallia New" w:cs="Browallia New"/>
          <w:sz w:val="28"/>
          <w:szCs w:val="28"/>
        </w:rPr>
        <w:t xml:space="preserve"> and </w:t>
      </w:r>
      <w:r w:rsidRPr="001F6588">
        <w:rPr>
          <w:rFonts w:ascii="Browallia New" w:hAnsi="Browallia New" w:cs="Browallia New"/>
          <w:b/>
          <w:bCs/>
          <w:sz w:val="28"/>
          <w:szCs w:val="28"/>
        </w:rPr>
        <w:t>unequal access to flexible learning pathways.</w:t>
      </w:r>
    </w:p>
    <w:p w14:paraId="49F741FA" w14:textId="77777777" w:rsidR="001F6588" w:rsidRPr="001F6588" w:rsidRDefault="001F6588" w:rsidP="001F6588">
      <w:pPr>
        <w:jc w:val="both"/>
        <w:rPr>
          <w:rFonts w:ascii="Browallia New" w:hAnsi="Browallia New" w:cs="Browallia New"/>
          <w:sz w:val="28"/>
          <w:szCs w:val="28"/>
        </w:rPr>
      </w:pPr>
      <w:r w:rsidRPr="001F6588">
        <w:rPr>
          <w:rFonts w:ascii="Browallia New" w:hAnsi="Browallia New" w:cs="Browallia New"/>
          <w:sz w:val="28"/>
          <w:szCs w:val="28"/>
        </w:rPr>
        <w:t>Thus, policy frameworks must be:</w:t>
      </w:r>
    </w:p>
    <w:p w14:paraId="2DAADD67" w14:textId="77777777" w:rsidR="001F6588" w:rsidRPr="001F6588" w:rsidRDefault="001F6588" w:rsidP="001F6588">
      <w:pPr>
        <w:numPr>
          <w:ilvl w:val="0"/>
          <w:numId w:val="18"/>
        </w:numPr>
        <w:rPr>
          <w:rFonts w:ascii="Browallia New" w:hAnsi="Browallia New" w:cs="Browallia New"/>
          <w:sz w:val="28"/>
          <w:szCs w:val="28"/>
        </w:rPr>
      </w:pPr>
      <w:r w:rsidRPr="001F6588">
        <w:rPr>
          <w:rFonts w:ascii="Browallia New" w:hAnsi="Browallia New" w:cs="Browallia New"/>
          <w:b/>
          <w:bCs/>
          <w:sz w:val="28"/>
          <w:szCs w:val="28"/>
        </w:rPr>
        <w:t>Context-Sensitive</w:t>
      </w:r>
      <w:r w:rsidRPr="001F6588">
        <w:rPr>
          <w:rFonts w:ascii="Browallia New" w:hAnsi="Browallia New" w:cs="Browallia New"/>
          <w:sz w:val="28"/>
          <w:szCs w:val="28"/>
        </w:rPr>
        <w:t xml:space="preserve"> – Tailored to reflect local economic structures, population demographics, and governance capacities.</w:t>
      </w:r>
    </w:p>
    <w:p w14:paraId="0EFC7A22" w14:textId="77777777" w:rsidR="001F6588" w:rsidRPr="001F6588" w:rsidRDefault="001F6588" w:rsidP="001F6588">
      <w:pPr>
        <w:numPr>
          <w:ilvl w:val="0"/>
          <w:numId w:val="18"/>
        </w:numPr>
        <w:rPr>
          <w:rFonts w:ascii="Browallia New" w:hAnsi="Browallia New" w:cs="Browallia New"/>
          <w:sz w:val="28"/>
          <w:szCs w:val="28"/>
        </w:rPr>
      </w:pPr>
      <w:r w:rsidRPr="001F6588">
        <w:rPr>
          <w:rFonts w:ascii="Browallia New" w:hAnsi="Browallia New" w:cs="Browallia New"/>
          <w:b/>
          <w:bCs/>
          <w:sz w:val="28"/>
          <w:szCs w:val="28"/>
        </w:rPr>
        <w:t>Incentive-Compatible</w:t>
      </w:r>
      <w:r w:rsidRPr="001F6588">
        <w:rPr>
          <w:rFonts w:ascii="Browallia New" w:hAnsi="Browallia New" w:cs="Browallia New"/>
          <w:sz w:val="28"/>
          <w:szCs w:val="28"/>
        </w:rPr>
        <w:t xml:space="preserve"> – Designed to encourage both youth and adult learners to engage in continued education.</w:t>
      </w:r>
    </w:p>
    <w:p w14:paraId="06E6294C" w14:textId="77777777" w:rsidR="001F6588" w:rsidRPr="001F6588" w:rsidRDefault="001F6588" w:rsidP="001F6588">
      <w:pPr>
        <w:numPr>
          <w:ilvl w:val="0"/>
          <w:numId w:val="18"/>
        </w:numPr>
        <w:rPr>
          <w:rFonts w:ascii="Browallia New" w:hAnsi="Browallia New" w:cs="Browallia New"/>
          <w:sz w:val="28"/>
          <w:szCs w:val="28"/>
        </w:rPr>
      </w:pPr>
      <w:r w:rsidRPr="001F6588">
        <w:rPr>
          <w:rFonts w:ascii="Browallia New" w:hAnsi="Browallia New" w:cs="Browallia New"/>
          <w:b/>
          <w:bCs/>
          <w:sz w:val="28"/>
          <w:szCs w:val="28"/>
        </w:rPr>
        <w:t>Digitally Enabled but Inclusively Designed</w:t>
      </w:r>
      <w:r w:rsidRPr="001F6588">
        <w:rPr>
          <w:rFonts w:ascii="Browallia New" w:hAnsi="Browallia New" w:cs="Browallia New"/>
          <w:sz w:val="28"/>
          <w:szCs w:val="28"/>
        </w:rPr>
        <w:t xml:space="preserve"> – Leveraging EdTech innovations without reinforcing existing digital inequalities.</w:t>
      </w:r>
    </w:p>
    <w:p w14:paraId="46CAEBE7" w14:textId="77777777" w:rsidR="001F6588" w:rsidRPr="001F6588" w:rsidRDefault="001F6588" w:rsidP="001F6588">
      <w:pPr>
        <w:numPr>
          <w:ilvl w:val="0"/>
          <w:numId w:val="18"/>
        </w:numPr>
        <w:rPr>
          <w:rFonts w:ascii="Browallia New" w:hAnsi="Browallia New" w:cs="Browallia New"/>
          <w:sz w:val="28"/>
          <w:szCs w:val="28"/>
        </w:rPr>
      </w:pPr>
      <w:r w:rsidRPr="001F6588">
        <w:rPr>
          <w:rFonts w:ascii="Browallia New" w:hAnsi="Browallia New" w:cs="Browallia New"/>
          <w:b/>
          <w:bCs/>
          <w:sz w:val="28"/>
          <w:szCs w:val="28"/>
        </w:rPr>
        <w:t>Integrated Across Sectors</w:t>
      </w:r>
      <w:r w:rsidRPr="001F6588">
        <w:rPr>
          <w:rFonts w:ascii="Browallia New" w:hAnsi="Browallia New" w:cs="Browallia New"/>
          <w:sz w:val="28"/>
          <w:szCs w:val="28"/>
        </w:rPr>
        <w:t xml:space="preserve"> – Requiring collaboration between education ministries, labor departments, private sector actors, and civil society.</w:t>
      </w:r>
    </w:p>
    <w:p w14:paraId="3E515FC4" w14:textId="77777777" w:rsidR="001F6588" w:rsidRPr="001F6588" w:rsidRDefault="001F6588" w:rsidP="001F6588">
      <w:pPr>
        <w:jc w:val="both"/>
        <w:rPr>
          <w:rFonts w:ascii="Browallia New" w:hAnsi="Browallia New" w:cs="Browallia New"/>
          <w:b/>
          <w:bCs/>
          <w:sz w:val="28"/>
          <w:szCs w:val="28"/>
        </w:rPr>
      </w:pPr>
      <w:r w:rsidRPr="001F6588">
        <w:rPr>
          <w:rFonts w:ascii="Browallia New" w:hAnsi="Browallia New" w:cs="Browallia New"/>
          <w:b/>
          <w:bCs/>
          <w:sz w:val="28"/>
          <w:szCs w:val="28"/>
        </w:rPr>
        <w:t>Priority Areas for Future Research</w:t>
      </w:r>
    </w:p>
    <w:p w14:paraId="52D3AC4E" w14:textId="77777777" w:rsidR="001F6588" w:rsidRPr="001F6588" w:rsidRDefault="001F6588" w:rsidP="001F6588">
      <w:pPr>
        <w:jc w:val="both"/>
        <w:rPr>
          <w:rFonts w:ascii="Browallia New" w:hAnsi="Browallia New" w:cs="Browallia New"/>
          <w:sz w:val="28"/>
          <w:szCs w:val="28"/>
        </w:rPr>
      </w:pPr>
      <w:r w:rsidRPr="001F6588">
        <w:rPr>
          <w:rFonts w:ascii="Browallia New" w:hAnsi="Browallia New" w:cs="Browallia New"/>
          <w:sz w:val="28"/>
          <w:szCs w:val="28"/>
        </w:rPr>
        <w:t>To further enhance evidence-based responses, the following thematic research gaps are identified:</w:t>
      </w:r>
    </w:p>
    <w:p w14:paraId="1D657660" w14:textId="77777777" w:rsidR="00B0473B" w:rsidRDefault="001F6588" w:rsidP="00B0473B">
      <w:pPr>
        <w:numPr>
          <w:ilvl w:val="0"/>
          <w:numId w:val="19"/>
        </w:numPr>
        <w:spacing w:after="0"/>
        <w:jc w:val="thaiDistribute"/>
        <w:rPr>
          <w:rFonts w:ascii="Browallia New" w:hAnsi="Browallia New" w:cs="Browallia New"/>
          <w:sz w:val="28"/>
          <w:szCs w:val="28"/>
        </w:rPr>
      </w:pPr>
      <w:r w:rsidRPr="001F6588">
        <w:rPr>
          <w:rFonts w:ascii="Browallia New" w:hAnsi="Browallia New" w:cs="Browallia New"/>
          <w:b/>
          <w:bCs/>
          <w:sz w:val="28"/>
          <w:szCs w:val="28"/>
        </w:rPr>
        <w:t>Policy Integration Between Education and Labor</w:t>
      </w:r>
    </w:p>
    <w:p w14:paraId="1D861ED4" w14:textId="3CDCA769" w:rsidR="001F6588" w:rsidRPr="001F6588" w:rsidRDefault="001F6588" w:rsidP="00B0473B">
      <w:pPr>
        <w:ind w:left="720"/>
        <w:jc w:val="thaiDistribute"/>
        <w:rPr>
          <w:rFonts w:ascii="Browallia New" w:hAnsi="Browallia New" w:cs="Browallia New"/>
          <w:sz w:val="28"/>
          <w:szCs w:val="28"/>
        </w:rPr>
      </w:pPr>
      <w:r w:rsidRPr="001F6588">
        <w:rPr>
          <w:rFonts w:ascii="Browallia New" w:hAnsi="Browallia New" w:cs="Browallia New"/>
          <w:sz w:val="28"/>
          <w:szCs w:val="28"/>
        </w:rPr>
        <w:t>There is a need for empirical studies that explore how lifelong learning pathways can be better integrated with labor market forecasting and employment services, especially at subnational levels.</w:t>
      </w:r>
    </w:p>
    <w:p w14:paraId="307B3DF7" w14:textId="77777777" w:rsidR="00B0473B" w:rsidRDefault="001F6588" w:rsidP="00B0473B">
      <w:pPr>
        <w:numPr>
          <w:ilvl w:val="0"/>
          <w:numId w:val="19"/>
        </w:numPr>
        <w:spacing w:after="0"/>
        <w:jc w:val="thaiDistribute"/>
        <w:rPr>
          <w:rFonts w:ascii="Browallia New" w:hAnsi="Browallia New" w:cs="Browallia New"/>
          <w:sz w:val="28"/>
          <w:szCs w:val="28"/>
        </w:rPr>
      </w:pPr>
      <w:r w:rsidRPr="001F6588">
        <w:rPr>
          <w:rFonts w:ascii="Browallia New" w:hAnsi="Browallia New" w:cs="Browallia New"/>
          <w:b/>
          <w:bCs/>
          <w:sz w:val="28"/>
          <w:szCs w:val="28"/>
        </w:rPr>
        <w:lastRenderedPageBreak/>
        <w:t>Long-Term COVID-19 Impacts on Marginalized Youth</w:t>
      </w:r>
    </w:p>
    <w:p w14:paraId="3D597379" w14:textId="65249B7F" w:rsidR="001F6588" w:rsidRPr="001F6588" w:rsidRDefault="001F6588" w:rsidP="00B0473B">
      <w:pPr>
        <w:ind w:left="720"/>
        <w:jc w:val="thaiDistribute"/>
        <w:rPr>
          <w:rFonts w:ascii="Browallia New" w:hAnsi="Browallia New" w:cs="Browallia New"/>
          <w:sz w:val="28"/>
          <w:szCs w:val="28"/>
        </w:rPr>
      </w:pPr>
      <w:r w:rsidRPr="001F6588">
        <w:rPr>
          <w:rFonts w:ascii="Browallia New" w:hAnsi="Browallia New" w:cs="Browallia New"/>
          <w:sz w:val="28"/>
          <w:szCs w:val="28"/>
        </w:rPr>
        <w:t>Further investigation is needed to assess the pandemic's sustained effects on learning loss among informal workers, girls, and ethnic minorities.</w:t>
      </w:r>
    </w:p>
    <w:p w14:paraId="0EB00C6D" w14:textId="77777777" w:rsidR="00B0473B" w:rsidRDefault="001F6588" w:rsidP="00B0473B">
      <w:pPr>
        <w:numPr>
          <w:ilvl w:val="0"/>
          <w:numId w:val="19"/>
        </w:numPr>
        <w:spacing w:after="0"/>
        <w:jc w:val="thaiDistribute"/>
        <w:rPr>
          <w:rFonts w:ascii="Browallia New" w:hAnsi="Browallia New" w:cs="Browallia New"/>
          <w:sz w:val="28"/>
          <w:szCs w:val="28"/>
        </w:rPr>
      </w:pPr>
      <w:r w:rsidRPr="001F6588">
        <w:rPr>
          <w:rFonts w:ascii="Browallia New" w:hAnsi="Browallia New" w:cs="Browallia New"/>
          <w:b/>
          <w:bCs/>
          <w:sz w:val="28"/>
          <w:szCs w:val="28"/>
        </w:rPr>
        <w:t>Scalable EdTech Models in Resource-Constrained Settings</w:t>
      </w:r>
    </w:p>
    <w:p w14:paraId="2BAFB53C" w14:textId="0754C12E" w:rsidR="001F6588" w:rsidRPr="001F6588" w:rsidRDefault="001F6588" w:rsidP="00B0473B">
      <w:pPr>
        <w:ind w:left="720"/>
        <w:jc w:val="thaiDistribute"/>
        <w:rPr>
          <w:rFonts w:ascii="Browallia New" w:hAnsi="Browallia New" w:cs="Browallia New"/>
          <w:sz w:val="28"/>
          <w:szCs w:val="28"/>
        </w:rPr>
      </w:pPr>
      <w:r w:rsidRPr="001F6588">
        <w:rPr>
          <w:rFonts w:ascii="Browallia New" w:hAnsi="Browallia New" w:cs="Browallia New"/>
          <w:sz w:val="28"/>
          <w:szCs w:val="28"/>
        </w:rPr>
        <w:t>Research should evaluate the cost-effectiveness and pedagogical viability of low-bandwidth digital learning models in rural or post-conflict areas.</w:t>
      </w:r>
    </w:p>
    <w:p w14:paraId="11152CE8" w14:textId="77777777" w:rsidR="00B0473B" w:rsidRDefault="001F6588" w:rsidP="00B0473B">
      <w:pPr>
        <w:numPr>
          <w:ilvl w:val="0"/>
          <w:numId w:val="19"/>
        </w:numPr>
        <w:spacing w:after="0"/>
        <w:jc w:val="thaiDistribute"/>
        <w:rPr>
          <w:rFonts w:ascii="Browallia New" w:hAnsi="Browallia New" w:cs="Browallia New"/>
          <w:sz w:val="28"/>
          <w:szCs w:val="28"/>
        </w:rPr>
      </w:pPr>
      <w:r w:rsidRPr="001F6588">
        <w:rPr>
          <w:rFonts w:ascii="Browallia New" w:hAnsi="Browallia New" w:cs="Browallia New"/>
          <w:b/>
          <w:bCs/>
          <w:sz w:val="28"/>
          <w:szCs w:val="28"/>
        </w:rPr>
        <w:t>Behavioral Incentives for Lifelong Learning</w:t>
      </w:r>
    </w:p>
    <w:p w14:paraId="0EC89531" w14:textId="74687733" w:rsidR="001F6588" w:rsidRPr="001F6588" w:rsidRDefault="001F6588" w:rsidP="00B0473B">
      <w:pPr>
        <w:ind w:left="720"/>
        <w:jc w:val="thaiDistribute"/>
        <w:rPr>
          <w:rFonts w:ascii="Browallia New" w:hAnsi="Browallia New" w:cs="Browallia New"/>
          <w:sz w:val="28"/>
          <w:szCs w:val="28"/>
        </w:rPr>
      </w:pPr>
      <w:r w:rsidRPr="001F6588">
        <w:rPr>
          <w:rFonts w:ascii="Browallia New" w:hAnsi="Browallia New" w:cs="Browallia New"/>
          <w:sz w:val="28"/>
          <w:szCs w:val="28"/>
        </w:rPr>
        <w:t>Experimental and longitudinal studies are required to understand what forms of behavioral nudges (e.g., learning wallets, community recognition, or micro-certifications) most effectively drive adult learning in different contexts.</w:t>
      </w:r>
    </w:p>
    <w:p w14:paraId="49FAB4E2" w14:textId="77777777" w:rsidR="001F6588" w:rsidRPr="001F6588" w:rsidRDefault="001F6588" w:rsidP="001F6588">
      <w:pPr>
        <w:jc w:val="both"/>
        <w:rPr>
          <w:rFonts w:ascii="Browallia New" w:hAnsi="Browallia New" w:cs="Browallia New"/>
          <w:sz w:val="28"/>
          <w:szCs w:val="28"/>
        </w:rPr>
      </w:pPr>
      <w:r w:rsidRPr="001F6588">
        <w:rPr>
          <w:rFonts w:ascii="Browallia New" w:hAnsi="Browallia New" w:cs="Browallia New"/>
          <w:sz w:val="28"/>
          <w:szCs w:val="28"/>
        </w:rPr>
        <w:t xml:space="preserve">In conclusion, addressing educational exclusion requires a </w:t>
      </w:r>
      <w:r w:rsidRPr="001F6588">
        <w:rPr>
          <w:rFonts w:ascii="Browallia New" w:hAnsi="Browallia New" w:cs="Browallia New"/>
          <w:b/>
          <w:bCs/>
          <w:sz w:val="28"/>
          <w:szCs w:val="28"/>
        </w:rPr>
        <w:t>paradigm shift</w:t>
      </w:r>
      <w:r w:rsidRPr="001F6588">
        <w:rPr>
          <w:rFonts w:ascii="Browallia New" w:hAnsi="Browallia New" w:cs="Browallia New"/>
          <w:sz w:val="28"/>
          <w:szCs w:val="28"/>
        </w:rPr>
        <w:t xml:space="preserve">—from fragmented, short-term interventions to integrated, systemic strategies that align education with the demands of the digital age, demographic transitions, and inclusive economic development. Policy must be designed with </w:t>
      </w:r>
      <w:r w:rsidRPr="001F6588">
        <w:rPr>
          <w:rFonts w:ascii="Browallia New" w:hAnsi="Browallia New" w:cs="Browallia New"/>
          <w:b/>
          <w:bCs/>
          <w:sz w:val="28"/>
          <w:szCs w:val="28"/>
        </w:rPr>
        <w:t>resilience, flexibility, and equity</w:t>
      </w:r>
      <w:r w:rsidRPr="001F6588">
        <w:rPr>
          <w:rFonts w:ascii="Browallia New" w:hAnsi="Browallia New" w:cs="Browallia New"/>
          <w:sz w:val="28"/>
          <w:szCs w:val="28"/>
        </w:rPr>
        <w:t xml:space="preserve"> at its core, supported by continuous research and adaptive learning mechanisms.</w:t>
      </w:r>
    </w:p>
    <w:p w14:paraId="115C2385" w14:textId="77777777" w:rsidR="00E96C8D" w:rsidRDefault="00E96C8D" w:rsidP="00E96C8D">
      <w:pPr>
        <w:jc w:val="both"/>
        <w:rPr>
          <w:rFonts w:ascii="Browallia New" w:hAnsi="Browallia New" w:cs="Browallia New"/>
          <w:sz w:val="28"/>
          <w:szCs w:val="28"/>
        </w:rPr>
      </w:pPr>
    </w:p>
    <w:p w14:paraId="34D9D60B" w14:textId="6A8497E5" w:rsidR="0097404A" w:rsidRPr="0097404A" w:rsidRDefault="0097404A" w:rsidP="0097404A">
      <w:pPr>
        <w:jc w:val="both"/>
        <w:rPr>
          <w:rFonts w:ascii="Browallia New" w:hAnsi="Browallia New" w:cs="Browallia New"/>
          <w:b/>
          <w:bCs/>
          <w:sz w:val="28"/>
          <w:szCs w:val="28"/>
        </w:rPr>
      </w:pPr>
      <w:r w:rsidRPr="0097404A">
        <w:rPr>
          <w:rFonts w:ascii="Browallia New" w:hAnsi="Browallia New" w:cs="Browallia New"/>
          <w:b/>
          <w:bCs/>
          <w:sz w:val="28"/>
          <w:szCs w:val="28"/>
        </w:rPr>
        <w:t>References</w:t>
      </w:r>
    </w:p>
    <w:p w14:paraId="23F541BC" w14:textId="77777777" w:rsidR="0097404A" w:rsidRPr="00F42A32" w:rsidRDefault="0097404A" w:rsidP="0097404A">
      <w:pPr>
        <w:jc w:val="both"/>
        <w:rPr>
          <w:rFonts w:ascii="Browallia New" w:hAnsi="Browallia New" w:cs="Browallia New"/>
          <w:sz w:val="28"/>
          <w:szCs w:val="28"/>
        </w:rPr>
      </w:pPr>
      <w:r w:rsidRPr="00F42A32">
        <w:rPr>
          <w:rFonts w:ascii="Browallia New" w:hAnsi="Browallia New" w:cs="Browallia New"/>
          <w:sz w:val="28"/>
          <w:szCs w:val="28"/>
        </w:rPr>
        <w:t xml:space="preserve">Becker, G. S. (1993). </w:t>
      </w:r>
      <w:r w:rsidRPr="00F42A32">
        <w:rPr>
          <w:rFonts w:ascii="Browallia New" w:hAnsi="Browallia New" w:cs="Browallia New"/>
          <w:i/>
          <w:iCs/>
          <w:sz w:val="28"/>
          <w:szCs w:val="28"/>
        </w:rPr>
        <w:t>Human capital: A theoretical and empirical analysis with special reference to education</w:t>
      </w:r>
      <w:r w:rsidRPr="00F42A32">
        <w:rPr>
          <w:rFonts w:ascii="Browallia New" w:hAnsi="Browallia New" w:cs="Browallia New"/>
          <w:sz w:val="28"/>
          <w:szCs w:val="28"/>
        </w:rPr>
        <w:t xml:space="preserve"> (3rd ed.). University of Chicago Press.</w:t>
      </w:r>
    </w:p>
    <w:p w14:paraId="12E785B1" w14:textId="77777777" w:rsidR="0097404A" w:rsidRPr="00F42A32" w:rsidRDefault="0097404A" w:rsidP="0097404A">
      <w:pPr>
        <w:jc w:val="both"/>
        <w:rPr>
          <w:rFonts w:ascii="Browallia New" w:hAnsi="Browallia New" w:cs="Browallia New"/>
          <w:sz w:val="28"/>
          <w:szCs w:val="28"/>
        </w:rPr>
      </w:pPr>
      <w:r w:rsidRPr="00F42A32">
        <w:rPr>
          <w:rFonts w:ascii="Browallia New" w:hAnsi="Browallia New" w:cs="Browallia New"/>
          <w:sz w:val="28"/>
          <w:szCs w:val="28"/>
        </w:rPr>
        <w:t xml:space="preserve">Bowles, S., &amp; Gintis, H. (1976). </w:t>
      </w:r>
      <w:r w:rsidRPr="00F42A32">
        <w:rPr>
          <w:rFonts w:ascii="Browallia New" w:hAnsi="Browallia New" w:cs="Browallia New"/>
          <w:i/>
          <w:iCs/>
          <w:sz w:val="28"/>
          <w:szCs w:val="28"/>
        </w:rPr>
        <w:t>Schooling in capitalist America: Educational reform and the contradictions of economic life</w:t>
      </w:r>
      <w:r w:rsidRPr="00F42A32">
        <w:rPr>
          <w:rFonts w:ascii="Browallia New" w:hAnsi="Browallia New" w:cs="Browallia New"/>
          <w:sz w:val="28"/>
          <w:szCs w:val="28"/>
        </w:rPr>
        <w:t>. Basic Books.</w:t>
      </w:r>
    </w:p>
    <w:p w14:paraId="57009A36" w14:textId="77777777" w:rsidR="0097404A" w:rsidRPr="00F42A32" w:rsidRDefault="0097404A" w:rsidP="0097404A">
      <w:pPr>
        <w:jc w:val="both"/>
        <w:rPr>
          <w:rFonts w:ascii="Browallia New" w:hAnsi="Browallia New" w:cs="Browallia New"/>
          <w:sz w:val="28"/>
          <w:szCs w:val="28"/>
        </w:rPr>
      </w:pPr>
      <w:r w:rsidRPr="00F42A32">
        <w:rPr>
          <w:rFonts w:ascii="Browallia New" w:hAnsi="Browallia New" w:cs="Browallia New"/>
          <w:sz w:val="28"/>
          <w:szCs w:val="28"/>
        </w:rPr>
        <w:t xml:space="preserve">International Labour Organization. (2023). </w:t>
      </w:r>
      <w:r w:rsidRPr="00F42A32">
        <w:rPr>
          <w:rFonts w:ascii="Browallia New" w:hAnsi="Browallia New" w:cs="Browallia New"/>
          <w:i/>
          <w:iCs/>
          <w:sz w:val="28"/>
          <w:szCs w:val="28"/>
        </w:rPr>
        <w:t>Global employment trends for youth 2023: Technology and the future of jobs</w:t>
      </w:r>
      <w:r w:rsidRPr="00F42A32">
        <w:rPr>
          <w:rFonts w:ascii="Browallia New" w:hAnsi="Browallia New" w:cs="Browallia New"/>
          <w:sz w:val="28"/>
          <w:szCs w:val="28"/>
        </w:rPr>
        <w:t xml:space="preserve">. International Labour Office. </w:t>
      </w:r>
      <w:hyperlink r:id="rId7" w:tgtFrame="_new" w:history="1">
        <w:r w:rsidRPr="00F42A32">
          <w:rPr>
            <w:rStyle w:val="Hyperlink"/>
            <w:rFonts w:ascii="Browallia New" w:hAnsi="Browallia New" w:cs="Browallia New"/>
            <w:color w:val="auto"/>
            <w:sz w:val="28"/>
            <w:szCs w:val="28"/>
            <w:u w:val="none"/>
          </w:rPr>
          <w:t>https://www.ilo.org</w:t>
        </w:r>
      </w:hyperlink>
    </w:p>
    <w:p w14:paraId="4D28EB53" w14:textId="77777777" w:rsidR="0097404A" w:rsidRPr="00F42A32" w:rsidRDefault="0097404A" w:rsidP="0097404A">
      <w:pPr>
        <w:jc w:val="both"/>
        <w:rPr>
          <w:rFonts w:ascii="Browallia New" w:hAnsi="Browallia New" w:cs="Browallia New"/>
          <w:sz w:val="28"/>
          <w:szCs w:val="28"/>
        </w:rPr>
      </w:pPr>
      <w:r w:rsidRPr="00F42A32">
        <w:rPr>
          <w:rFonts w:ascii="Browallia New" w:hAnsi="Browallia New" w:cs="Browallia New"/>
          <w:sz w:val="28"/>
          <w:szCs w:val="28"/>
        </w:rPr>
        <w:t xml:space="preserve">McGuinness, S. (2006). Overeducation in the labour market. </w:t>
      </w:r>
      <w:r w:rsidRPr="00F42A32">
        <w:rPr>
          <w:rFonts w:ascii="Browallia New" w:hAnsi="Browallia New" w:cs="Browallia New"/>
          <w:i/>
          <w:iCs/>
          <w:sz w:val="28"/>
          <w:szCs w:val="28"/>
        </w:rPr>
        <w:t>Journal of Economic Surveys, 20</w:t>
      </w:r>
      <w:r w:rsidRPr="00F42A32">
        <w:rPr>
          <w:rFonts w:ascii="Browallia New" w:hAnsi="Browallia New" w:cs="Browallia New"/>
          <w:sz w:val="28"/>
          <w:szCs w:val="28"/>
        </w:rPr>
        <w:t>(3), 387–418. https://doi.org/10.1111/j.0950-0804.2006.00284.x</w:t>
      </w:r>
    </w:p>
    <w:p w14:paraId="35D8A399" w14:textId="77777777" w:rsidR="0097404A" w:rsidRPr="00F42A32" w:rsidRDefault="0097404A" w:rsidP="0097404A">
      <w:pPr>
        <w:jc w:val="both"/>
        <w:rPr>
          <w:rFonts w:ascii="Browallia New" w:hAnsi="Browallia New" w:cs="Browallia New"/>
          <w:sz w:val="28"/>
          <w:szCs w:val="28"/>
        </w:rPr>
      </w:pPr>
      <w:r w:rsidRPr="00F42A32">
        <w:rPr>
          <w:rFonts w:ascii="Browallia New" w:hAnsi="Browallia New" w:cs="Browallia New"/>
          <w:sz w:val="28"/>
          <w:szCs w:val="28"/>
        </w:rPr>
        <w:t xml:space="preserve">Sen, A. (1999). </w:t>
      </w:r>
      <w:r w:rsidRPr="00F42A32">
        <w:rPr>
          <w:rFonts w:ascii="Browallia New" w:hAnsi="Browallia New" w:cs="Browallia New"/>
          <w:i/>
          <w:iCs/>
          <w:sz w:val="28"/>
          <w:szCs w:val="28"/>
        </w:rPr>
        <w:t>Development as freedom</w:t>
      </w:r>
      <w:r w:rsidRPr="00F42A32">
        <w:rPr>
          <w:rFonts w:ascii="Browallia New" w:hAnsi="Browallia New" w:cs="Browallia New"/>
          <w:sz w:val="28"/>
          <w:szCs w:val="28"/>
        </w:rPr>
        <w:t>. Oxford University Press.</w:t>
      </w:r>
    </w:p>
    <w:p w14:paraId="7EFBD6B5" w14:textId="6ED63C0A" w:rsidR="009D2934" w:rsidRPr="009D2934" w:rsidRDefault="00B0473B" w:rsidP="009D2934">
      <w:pPr>
        <w:pStyle w:val="EndNoteBibliography"/>
        <w:jc w:val="thaiDistribute"/>
        <w:rPr>
          <w:rFonts w:ascii="Browallia New" w:hAnsi="Browallia New" w:cs="Browallia New"/>
          <w:i/>
          <w:iCs/>
          <w:sz w:val="28"/>
          <w:szCs w:val="28"/>
        </w:rPr>
      </w:pPr>
      <w:r w:rsidRPr="009D2934">
        <w:rPr>
          <w:rFonts w:ascii="Browallia New" w:hAnsi="Browallia New" w:cs="Browallia New"/>
          <w:sz w:val="28"/>
          <w:szCs w:val="28"/>
        </w:rPr>
        <w:fldChar w:fldCharType="begin"/>
      </w:r>
      <w:r w:rsidRPr="009D2934">
        <w:rPr>
          <w:rFonts w:ascii="Browallia New" w:hAnsi="Browallia New" w:cs="Browallia New"/>
          <w:sz w:val="28"/>
          <w:szCs w:val="28"/>
        </w:rPr>
        <w:instrText xml:space="preserve"> ADDIN EN.REFLIST </w:instrText>
      </w:r>
      <w:r w:rsidRPr="009D2934">
        <w:rPr>
          <w:rFonts w:ascii="Browallia New" w:hAnsi="Browallia New" w:cs="Browallia New"/>
          <w:sz w:val="28"/>
          <w:szCs w:val="28"/>
        </w:rPr>
        <w:fldChar w:fldCharType="separate"/>
      </w:r>
      <w:r w:rsidR="009D2934" w:rsidRPr="009D2934">
        <w:rPr>
          <w:rFonts w:ascii="Browallia New" w:hAnsi="Browallia New" w:cs="Browallia New"/>
          <w:sz w:val="28"/>
          <w:szCs w:val="28"/>
        </w:rPr>
        <w:t xml:space="preserve">The UNHCR DATATHRON dataset (2025). </w:t>
      </w:r>
      <w:hyperlink r:id="rId8" w:history="1">
        <w:r w:rsidR="009D2934" w:rsidRPr="009D2934">
          <w:rPr>
            <w:rStyle w:val="Hyperlink"/>
            <w:rFonts w:ascii="Browallia New" w:hAnsi="Browallia New" w:cs="Browallia New"/>
            <w:i/>
            <w:iCs/>
            <w:color w:val="auto"/>
            <w:sz w:val="28"/>
            <w:szCs w:val="28"/>
            <w:u w:val="none"/>
          </w:rPr>
          <w:t>https://rstudio.unhcr.org/content/c3250e76-580a-4109-8ec8-173b150ec3de/#</w:t>
        </w:r>
      </w:hyperlink>
      <w:r w:rsidR="009D2934" w:rsidRPr="009D2934">
        <w:rPr>
          <w:rFonts w:ascii="Browallia New" w:hAnsi="Browallia New" w:cs="Browallia New"/>
          <w:i/>
          <w:iCs/>
          <w:sz w:val="28"/>
          <w:szCs w:val="28"/>
        </w:rPr>
        <w:t xml:space="preserve"> </w:t>
      </w:r>
    </w:p>
    <w:p w14:paraId="2498A307" w14:textId="76FA64D9" w:rsidR="00B0473B" w:rsidRPr="00F42A32" w:rsidRDefault="00B0473B" w:rsidP="009D2934">
      <w:pPr>
        <w:jc w:val="thaiDistribute"/>
        <w:rPr>
          <w:rFonts w:ascii="Browallia New" w:hAnsi="Browallia New" w:cs="Browallia New"/>
          <w:sz w:val="28"/>
          <w:szCs w:val="28"/>
        </w:rPr>
      </w:pPr>
      <w:r w:rsidRPr="009D2934">
        <w:rPr>
          <w:rFonts w:ascii="Browallia New" w:hAnsi="Browallia New" w:cs="Browallia New"/>
          <w:sz w:val="28"/>
          <w:szCs w:val="28"/>
        </w:rPr>
        <w:lastRenderedPageBreak/>
        <w:fldChar w:fldCharType="end"/>
      </w:r>
    </w:p>
    <w:p w14:paraId="5308F342" w14:textId="06B41674" w:rsidR="0097404A" w:rsidRPr="00F42A32" w:rsidRDefault="0097404A" w:rsidP="00B0473B">
      <w:pPr>
        <w:rPr>
          <w:rFonts w:ascii="Browallia New" w:hAnsi="Browallia New" w:cs="Browallia New"/>
          <w:i/>
          <w:iCs/>
          <w:sz w:val="28"/>
          <w:szCs w:val="28"/>
        </w:rPr>
      </w:pPr>
      <w:r w:rsidRPr="00F42A32">
        <w:rPr>
          <w:rFonts w:ascii="Browallia New" w:hAnsi="Browallia New" w:cs="Browallia New"/>
          <w:sz w:val="28"/>
          <w:szCs w:val="28"/>
        </w:rPr>
        <w:t xml:space="preserve">UNICEF Thailand &amp; Chulalongkorn University Institute of Population Studies. (2023). </w:t>
      </w:r>
      <w:r w:rsidRPr="00F42A32">
        <w:rPr>
          <w:rFonts w:ascii="Browallia New" w:hAnsi="Browallia New" w:cs="Browallia New"/>
          <w:i/>
          <w:iCs/>
          <w:sz w:val="28"/>
          <w:szCs w:val="28"/>
        </w:rPr>
        <w:t>In-depth research on youth NEET in Thailand: Understanding barriers to employment, education, and training</w:t>
      </w:r>
      <w:r w:rsidRPr="00F42A32">
        <w:rPr>
          <w:rFonts w:ascii="Browallia New" w:hAnsi="Browallia New" w:cs="Browallia New"/>
          <w:sz w:val="28"/>
          <w:szCs w:val="28"/>
        </w:rPr>
        <w:t xml:space="preserve">. </w:t>
      </w:r>
      <w:hyperlink r:id="rId9" w:tgtFrame="_new" w:history="1">
        <w:r w:rsidRPr="00F42A32">
          <w:rPr>
            <w:rStyle w:val="Hyperlink"/>
            <w:rFonts w:ascii="Browallia New" w:hAnsi="Browallia New" w:cs="Browallia New"/>
            <w:color w:val="auto"/>
            <w:sz w:val="28"/>
            <w:szCs w:val="28"/>
            <w:u w:val="none"/>
          </w:rPr>
          <w:t>https://www.unicef.org/thailand/media/10746/file/Indepth%20research%20on%20youth%20NEET%20in%20Thailand.pdf</w:t>
        </w:r>
      </w:hyperlink>
    </w:p>
    <w:p w14:paraId="1968FA2E" w14:textId="77777777" w:rsidR="0097404A" w:rsidRPr="00F42A32" w:rsidRDefault="0097404A" w:rsidP="0097404A">
      <w:pPr>
        <w:jc w:val="both"/>
        <w:rPr>
          <w:rFonts w:ascii="Browallia New" w:hAnsi="Browallia New" w:cs="Browallia New"/>
          <w:sz w:val="28"/>
          <w:szCs w:val="28"/>
        </w:rPr>
      </w:pPr>
      <w:r w:rsidRPr="00F42A32">
        <w:rPr>
          <w:rFonts w:ascii="Browallia New" w:hAnsi="Browallia New" w:cs="Browallia New"/>
          <w:sz w:val="28"/>
          <w:szCs w:val="28"/>
        </w:rPr>
        <w:t xml:space="preserve">Walther, A. (2006). Regimes of youth transitions: Choice, flexibility and security in young people’s experiences across different European contexts. </w:t>
      </w:r>
      <w:r w:rsidRPr="00F42A32">
        <w:rPr>
          <w:rFonts w:ascii="Browallia New" w:hAnsi="Browallia New" w:cs="Browallia New"/>
          <w:i/>
          <w:iCs/>
          <w:sz w:val="28"/>
          <w:szCs w:val="28"/>
        </w:rPr>
        <w:t>Young, 14</w:t>
      </w:r>
      <w:r w:rsidRPr="00F42A32">
        <w:rPr>
          <w:rFonts w:ascii="Browallia New" w:hAnsi="Browallia New" w:cs="Browallia New"/>
          <w:sz w:val="28"/>
          <w:szCs w:val="28"/>
        </w:rPr>
        <w:t>(2), 119–139. https://doi.org/10.1177/1103308806062737</w:t>
      </w:r>
    </w:p>
    <w:p w14:paraId="6B5269F6" w14:textId="77777777" w:rsidR="0097404A" w:rsidRPr="00F42A32" w:rsidRDefault="0097404A" w:rsidP="0097404A">
      <w:pPr>
        <w:jc w:val="both"/>
        <w:rPr>
          <w:rFonts w:ascii="Browallia New" w:hAnsi="Browallia New" w:cs="Browallia New"/>
          <w:sz w:val="28"/>
          <w:szCs w:val="28"/>
        </w:rPr>
      </w:pPr>
      <w:r w:rsidRPr="00F42A32">
        <w:rPr>
          <w:rFonts w:ascii="Browallia New" w:hAnsi="Browallia New" w:cs="Browallia New"/>
          <w:sz w:val="28"/>
          <w:szCs w:val="28"/>
        </w:rPr>
        <w:t xml:space="preserve">World Bank. (2023). </w:t>
      </w:r>
      <w:r w:rsidRPr="00F42A32">
        <w:rPr>
          <w:rFonts w:ascii="Browallia New" w:hAnsi="Browallia New" w:cs="Browallia New"/>
          <w:i/>
          <w:iCs/>
          <w:sz w:val="28"/>
          <w:szCs w:val="28"/>
        </w:rPr>
        <w:t>China’s structural reform and youth labor market challenges</w:t>
      </w:r>
      <w:r w:rsidRPr="00F42A32">
        <w:rPr>
          <w:rFonts w:ascii="Browallia New" w:hAnsi="Browallia New" w:cs="Browallia New"/>
          <w:sz w:val="28"/>
          <w:szCs w:val="28"/>
        </w:rPr>
        <w:t xml:space="preserve">. World Bank Group. </w:t>
      </w:r>
      <w:hyperlink r:id="rId10" w:tgtFrame="_new" w:history="1">
        <w:r w:rsidRPr="00F42A32">
          <w:rPr>
            <w:rStyle w:val="Hyperlink"/>
            <w:rFonts w:ascii="Browallia New" w:hAnsi="Browallia New" w:cs="Browallia New"/>
            <w:color w:val="auto"/>
            <w:sz w:val="28"/>
            <w:szCs w:val="28"/>
            <w:u w:val="none"/>
          </w:rPr>
          <w:t>https://www.worldbank.org</w:t>
        </w:r>
      </w:hyperlink>
    </w:p>
    <w:p w14:paraId="53B7E57F" w14:textId="77777777" w:rsidR="0097404A" w:rsidRPr="00B0473B" w:rsidRDefault="0097404A" w:rsidP="0097404A">
      <w:pPr>
        <w:jc w:val="both"/>
        <w:rPr>
          <w:rFonts w:ascii="Browallia New" w:hAnsi="Browallia New" w:cs="Browallia New"/>
          <w:sz w:val="28"/>
          <w:szCs w:val="28"/>
        </w:rPr>
      </w:pPr>
      <w:r w:rsidRPr="00B0473B">
        <w:rPr>
          <w:rFonts w:ascii="Browallia New" w:hAnsi="Browallia New" w:cs="Browallia New"/>
          <w:sz w:val="28"/>
          <w:szCs w:val="28"/>
        </w:rPr>
        <w:t xml:space="preserve">UNHCR. (2022). </w:t>
      </w:r>
      <w:r w:rsidRPr="00B0473B">
        <w:rPr>
          <w:rFonts w:ascii="Browallia New" w:hAnsi="Browallia New" w:cs="Browallia New"/>
          <w:i/>
          <w:iCs/>
          <w:sz w:val="28"/>
          <w:szCs w:val="28"/>
        </w:rPr>
        <w:t>UNHCR DATATHRON microdata database</w:t>
      </w:r>
      <w:r w:rsidRPr="00B0473B">
        <w:rPr>
          <w:rFonts w:ascii="Browallia New" w:hAnsi="Browallia New" w:cs="Browallia New"/>
          <w:sz w:val="28"/>
          <w:szCs w:val="28"/>
        </w:rPr>
        <w:t xml:space="preserve"> [Dataset]. United Nations High Commissioner for Refugees. https://www.unhcr.org/data</w:t>
      </w:r>
    </w:p>
    <w:p w14:paraId="3D2AA731" w14:textId="77777777" w:rsidR="001A14A0" w:rsidRDefault="001A14A0" w:rsidP="00E96C8D">
      <w:pPr>
        <w:jc w:val="both"/>
        <w:rPr>
          <w:rFonts w:ascii="Browallia New" w:hAnsi="Browallia New" w:cs="Browallia New"/>
          <w:sz w:val="28"/>
          <w:szCs w:val="28"/>
        </w:rPr>
      </w:pPr>
    </w:p>
    <w:p w14:paraId="0CE578A0" w14:textId="77777777" w:rsidR="001A14A0" w:rsidRDefault="001A14A0" w:rsidP="00E96C8D">
      <w:pPr>
        <w:jc w:val="both"/>
        <w:rPr>
          <w:rFonts w:ascii="Browallia New" w:hAnsi="Browallia New" w:cs="Browallia New"/>
          <w:sz w:val="28"/>
          <w:szCs w:val="28"/>
        </w:rPr>
      </w:pPr>
    </w:p>
    <w:p w14:paraId="795C2274" w14:textId="44BB9A5A" w:rsidR="0097404A" w:rsidRPr="001F6588" w:rsidRDefault="0097404A" w:rsidP="001A14A0">
      <w:pPr>
        <w:rPr>
          <w:rFonts w:ascii="Browallia New" w:hAnsi="Browallia New" w:cs="Browallia New"/>
          <w:sz w:val="28"/>
          <w:szCs w:val="28"/>
        </w:rPr>
      </w:pPr>
    </w:p>
    <w:sectPr w:rsidR="0097404A" w:rsidRPr="001F6588">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4C770" w14:textId="77777777" w:rsidR="0061741B" w:rsidRDefault="0061741B" w:rsidP="0061741B">
      <w:pPr>
        <w:spacing w:after="0" w:line="240" w:lineRule="auto"/>
      </w:pPr>
      <w:r>
        <w:separator/>
      </w:r>
    </w:p>
  </w:endnote>
  <w:endnote w:type="continuationSeparator" w:id="0">
    <w:p w14:paraId="18E7FB87" w14:textId="77777777" w:rsidR="0061741B" w:rsidRDefault="0061741B" w:rsidP="0061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D2EEA" w14:textId="77777777" w:rsidR="0061741B" w:rsidRDefault="0061741B" w:rsidP="0061741B">
      <w:pPr>
        <w:spacing w:after="0" w:line="240" w:lineRule="auto"/>
      </w:pPr>
      <w:r>
        <w:separator/>
      </w:r>
    </w:p>
  </w:footnote>
  <w:footnote w:type="continuationSeparator" w:id="0">
    <w:p w14:paraId="1C7179AF" w14:textId="77777777" w:rsidR="0061741B" w:rsidRDefault="0061741B" w:rsidP="00617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0785920"/>
      <w:docPartObj>
        <w:docPartGallery w:val="Page Numbers (Top of Page)"/>
        <w:docPartUnique/>
      </w:docPartObj>
    </w:sdtPr>
    <w:sdtEndPr>
      <w:rPr>
        <w:rFonts w:ascii="Browallia New" w:hAnsi="Browallia New" w:cs="Browallia New"/>
        <w:sz w:val="28"/>
        <w:szCs w:val="28"/>
      </w:rPr>
    </w:sdtEndPr>
    <w:sdtContent>
      <w:p w14:paraId="5F58E8A9" w14:textId="02B68517" w:rsidR="0061741B" w:rsidRPr="0061741B" w:rsidRDefault="0061741B">
        <w:pPr>
          <w:pStyle w:val="Header"/>
          <w:jc w:val="right"/>
          <w:rPr>
            <w:rFonts w:ascii="Browallia New" w:hAnsi="Browallia New" w:cs="Browallia New"/>
            <w:sz w:val="28"/>
            <w:szCs w:val="28"/>
          </w:rPr>
        </w:pPr>
        <w:r w:rsidRPr="0061741B">
          <w:rPr>
            <w:rFonts w:ascii="Browallia New" w:hAnsi="Browallia New" w:cs="Browallia New"/>
            <w:sz w:val="28"/>
            <w:szCs w:val="28"/>
          </w:rPr>
          <w:fldChar w:fldCharType="begin"/>
        </w:r>
        <w:r w:rsidRPr="0061741B">
          <w:rPr>
            <w:rFonts w:ascii="Browallia New" w:hAnsi="Browallia New" w:cs="Browallia New"/>
            <w:sz w:val="28"/>
            <w:szCs w:val="28"/>
          </w:rPr>
          <w:instrText xml:space="preserve"> PAGE   \* MERGEFORMAT </w:instrText>
        </w:r>
        <w:r w:rsidRPr="0061741B">
          <w:rPr>
            <w:rFonts w:ascii="Browallia New" w:hAnsi="Browallia New" w:cs="Browallia New"/>
            <w:sz w:val="28"/>
            <w:szCs w:val="28"/>
          </w:rPr>
          <w:fldChar w:fldCharType="separate"/>
        </w:r>
        <w:r w:rsidRPr="0061741B">
          <w:rPr>
            <w:rFonts w:ascii="Browallia New" w:hAnsi="Browallia New" w:cs="Browallia New"/>
            <w:noProof/>
            <w:sz w:val="28"/>
            <w:szCs w:val="28"/>
          </w:rPr>
          <w:t>2</w:t>
        </w:r>
        <w:r w:rsidRPr="0061741B">
          <w:rPr>
            <w:rFonts w:ascii="Browallia New" w:hAnsi="Browallia New" w:cs="Browallia New"/>
            <w:noProof/>
            <w:sz w:val="28"/>
            <w:szCs w:val="28"/>
          </w:rPr>
          <w:fldChar w:fldCharType="end"/>
        </w:r>
      </w:p>
    </w:sdtContent>
  </w:sdt>
  <w:p w14:paraId="51769CA3" w14:textId="77777777" w:rsidR="0061741B" w:rsidRDefault="00617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288"/>
    <w:multiLevelType w:val="multilevel"/>
    <w:tmpl w:val="C9AA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694F"/>
    <w:multiLevelType w:val="multilevel"/>
    <w:tmpl w:val="8918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053A1"/>
    <w:multiLevelType w:val="multilevel"/>
    <w:tmpl w:val="FC9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F2C8C"/>
    <w:multiLevelType w:val="multilevel"/>
    <w:tmpl w:val="860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625C"/>
    <w:multiLevelType w:val="multilevel"/>
    <w:tmpl w:val="5B9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77F31"/>
    <w:multiLevelType w:val="multilevel"/>
    <w:tmpl w:val="9270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6289F"/>
    <w:multiLevelType w:val="multilevel"/>
    <w:tmpl w:val="3D1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F1E67"/>
    <w:multiLevelType w:val="multilevel"/>
    <w:tmpl w:val="1C9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57BD4"/>
    <w:multiLevelType w:val="multilevel"/>
    <w:tmpl w:val="A2F2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51F6B"/>
    <w:multiLevelType w:val="multilevel"/>
    <w:tmpl w:val="0B3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B334A"/>
    <w:multiLevelType w:val="multilevel"/>
    <w:tmpl w:val="D190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85661"/>
    <w:multiLevelType w:val="multilevel"/>
    <w:tmpl w:val="316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A198E"/>
    <w:multiLevelType w:val="multilevel"/>
    <w:tmpl w:val="171C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66DE6"/>
    <w:multiLevelType w:val="multilevel"/>
    <w:tmpl w:val="C9FE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B0A32"/>
    <w:multiLevelType w:val="multilevel"/>
    <w:tmpl w:val="876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0752E"/>
    <w:multiLevelType w:val="multilevel"/>
    <w:tmpl w:val="4D0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96BEA"/>
    <w:multiLevelType w:val="multilevel"/>
    <w:tmpl w:val="974E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5C2001"/>
    <w:multiLevelType w:val="multilevel"/>
    <w:tmpl w:val="D6BC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870C4"/>
    <w:multiLevelType w:val="multilevel"/>
    <w:tmpl w:val="A82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153606">
    <w:abstractNumId w:val="11"/>
  </w:num>
  <w:num w:numId="2" w16cid:durableId="368914404">
    <w:abstractNumId w:val="16"/>
  </w:num>
  <w:num w:numId="3" w16cid:durableId="1751464517">
    <w:abstractNumId w:val="12"/>
  </w:num>
  <w:num w:numId="4" w16cid:durableId="826702924">
    <w:abstractNumId w:val="5"/>
  </w:num>
  <w:num w:numId="5" w16cid:durableId="471558413">
    <w:abstractNumId w:val="0"/>
  </w:num>
  <w:num w:numId="6" w16cid:durableId="1383212501">
    <w:abstractNumId w:val="2"/>
  </w:num>
  <w:num w:numId="7" w16cid:durableId="122697591">
    <w:abstractNumId w:val="4"/>
  </w:num>
  <w:num w:numId="8" w16cid:durableId="525362797">
    <w:abstractNumId w:val="6"/>
  </w:num>
  <w:num w:numId="9" w16cid:durableId="741755292">
    <w:abstractNumId w:val="9"/>
  </w:num>
  <w:num w:numId="10" w16cid:durableId="421725452">
    <w:abstractNumId w:val="8"/>
  </w:num>
  <w:num w:numId="11" w16cid:durableId="1102527813">
    <w:abstractNumId w:val="15"/>
  </w:num>
  <w:num w:numId="12" w16cid:durableId="2038509300">
    <w:abstractNumId w:val="10"/>
  </w:num>
  <w:num w:numId="13" w16cid:durableId="881557056">
    <w:abstractNumId w:val="1"/>
  </w:num>
  <w:num w:numId="14" w16cid:durableId="1594823439">
    <w:abstractNumId w:val="7"/>
  </w:num>
  <w:num w:numId="15" w16cid:durableId="64031017">
    <w:abstractNumId w:val="14"/>
  </w:num>
  <w:num w:numId="16" w16cid:durableId="2055763167">
    <w:abstractNumId w:val="3"/>
  </w:num>
  <w:num w:numId="17" w16cid:durableId="376515107">
    <w:abstractNumId w:val="18"/>
  </w:num>
  <w:num w:numId="18" w16cid:durableId="576985992">
    <w:abstractNumId w:val="13"/>
  </w:num>
  <w:num w:numId="19" w16cid:durableId="972632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xwrxrfzfed96ef9t359rfa92f2pezwz5a5&quot;&gt;Nink endnote&lt;record-ids&gt;&lt;item&gt;230&lt;/item&gt;&lt;/record-ids&gt;&lt;/item&gt;&lt;/Libraries&gt;"/>
  </w:docVars>
  <w:rsids>
    <w:rsidRoot w:val="000E4205"/>
    <w:rsid w:val="00087728"/>
    <w:rsid w:val="000C04A5"/>
    <w:rsid w:val="000E4205"/>
    <w:rsid w:val="001A14A0"/>
    <w:rsid w:val="001F6588"/>
    <w:rsid w:val="00246F19"/>
    <w:rsid w:val="002929EA"/>
    <w:rsid w:val="00334472"/>
    <w:rsid w:val="00354790"/>
    <w:rsid w:val="00384788"/>
    <w:rsid w:val="003A757B"/>
    <w:rsid w:val="00441323"/>
    <w:rsid w:val="00476F58"/>
    <w:rsid w:val="00517D3A"/>
    <w:rsid w:val="00532357"/>
    <w:rsid w:val="0061741B"/>
    <w:rsid w:val="006D3FCF"/>
    <w:rsid w:val="006E7DF3"/>
    <w:rsid w:val="007F5508"/>
    <w:rsid w:val="008B27C1"/>
    <w:rsid w:val="008F0AE9"/>
    <w:rsid w:val="0097404A"/>
    <w:rsid w:val="009A7F95"/>
    <w:rsid w:val="009D2934"/>
    <w:rsid w:val="00A73383"/>
    <w:rsid w:val="00AE6044"/>
    <w:rsid w:val="00AE62E9"/>
    <w:rsid w:val="00B0473B"/>
    <w:rsid w:val="00B344D1"/>
    <w:rsid w:val="00C81F96"/>
    <w:rsid w:val="00D1171B"/>
    <w:rsid w:val="00D15E26"/>
    <w:rsid w:val="00E14A41"/>
    <w:rsid w:val="00E90E11"/>
    <w:rsid w:val="00E96C8D"/>
    <w:rsid w:val="00ED415F"/>
    <w:rsid w:val="00ED5266"/>
    <w:rsid w:val="00EE1DED"/>
    <w:rsid w:val="00F42A32"/>
    <w:rsid w:val="00F62212"/>
    <w:rsid w:val="00F7401F"/>
    <w:rsid w:val="00F75349"/>
    <w:rsid w:val="00FB2054"/>
    <w:rsid w:val="00FB2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9F9158"/>
  <w15:chartTrackingRefBased/>
  <w15:docId w15:val="{92C83431-211F-43F7-B331-392CF1D6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205"/>
    <w:rPr>
      <w:rFonts w:eastAsiaTheme="majorEastAsia" w:cstheme="majorBidi"/>
      <w:color w:val="272727" w:themeColor="text1" w:themeTint="D8"/>
    </w:rPr>
  </w:style>
  <w:style w:type="paragraph" w:styleId="Title">
    <w:name w:val="Title"/>
    <w:basedOn w:val="Normal"/>
    <w:next w:val="Normal"/>
    <w:link w:val="TitleChar"/>
    <w:uiPriority w:val="10"/>
    <w:qFormat/>
    <w:rsid w:val="000E4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205"/>
    <w:pPr>
      <w:spacing w:before="160"/>
      <w:jc w:val="center"/>
    </w:pPr>
    <w:rPr>
      <w:i/>
      <w:iCs/>
      <w:color w:val="404040" w:themeColor="text1" w:themeTint="BF"/>
    </w:rPr>
  </w:style>
  <w:style w:type="character" w:customStyle="1" w:styleId="QuoteChar">
    <w:name w:val="Quote Char"/>
    <w:basedOn w:val="DefaultParagraphFont"/>
    <w:link w:val="Quote"/>
    <w:uiPriority w:val="29"/>
    <w:rsid w:val="000E4205"/>
    <w:rPr>
      <w:i/>
      <w:iCs/>
      <w:color w:val="404040" w:themeColor="text1" w:themeTint="BF"/>
    </w:rPr>
  </w:style>
  <w:style w:type="paragraph" w:styleId="ListParagraph">
    <w:name w:val="List Paragraph"/>
    <w:basedOn w:val="Normal"/>
    <w:uiPriority w:val="34"/>
    <w:qFormat/>
    <w:rsid w:val="000E4205"/>
    <w:pPr>
      <w:ind w:left="720"/>
      <w:contextualSpacing/>
    </w:pPr>
  </w:style>
  <w:style w:type="character" w:styleId="IntenseEmphasis">
    <w:name w:val="Intense Emphasis"/>
    <w:basedOn w:val="DefaultParagraphFont"/>
    <w:uiPriority w:val="21"/>
    <w:qFormat/>
    <w:rsid w:val="000E4205"/>
    <w:rPr>
      <w:i/>
      <w:iCs/>
      <w:color w:val="0F4761" w:themeColor="accent1" w:themeShade="BF"/>
    </w:rPr>
  </w:style>
  <w:style w:type="paragraph" w:styleId="IntenseQuote">
    <w:name w:val="Intense Quote"/>
    <w:basedOn w:val="Normal"/>
    <w:next w:val="Normal"/>
    <w:link w:val="IntenseQuoteChar"/>
    <w:uiPriority w:val="30"/>
    <w:qFormat/>
    <w:rsid w:val="000E4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205"/>
    <w:rPr>
      <w:i/>
      <w:iCs/>
      <w:color w:val="0F4761" w:themeColor="accent1" w:themeShade="BF"/>
    </w:rPr>
  </w:style>
  <w:style w:type="character" w:styleId="IntenseReference">
    <w:name w:val="Intense Reference"/>
    <w:basedOn w:val="DefaultParagraphFont"/>
    <w:uiPriority w:val="32"/>
    <w:qFormat/>
    <w:rsid w:val="000E4205"/>
    <w:rPr>
      <w:b/>
      <w:bCs/>
      <w:smallCaps/>
      <w:color w:val="0F4761" w:themeColor="accent1" w:themeShade="BF"/>
      <w:spacing w:val="5"/>
    </w:rPr>
  </w:style>
  <w:style w:type="paragraph" w:styleId="NormalWeb">
    <w:name w:val="Normal (Web)"/>
    <w:basedOn w:val="Normal"/>
    <w:uiPriority w:val="99"/>
    <w:unhideWhenUsed/>
    <w:rsid w:val="006E7D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7DF3"/>
    <w:rPr>
      <w:b/>
      <w:bCs/>
    </w:rPr>
  </w:style>
  <w:style w:type="table" w:styleId="GridTable3">
    <w:name w:val="Grid Table 3"/>
    <w:basedOn w:val="TableNormal"/>
    <w:uiPriority w:val="48"/>
    <w:rsid w:val="00E96C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97404A"/>
    <w:rPr>
      <w:color w:val="467886" w:themeColor="hyperlink"/>
      <w:u w:val="single"/>
    </w:rPr>
  </w:style>
  <w:style w:type="character" w:styleId="UnresolvedMention">
    <w:name w:val="Unresolved Mention"/>
    <w:basedOn w:val="DefaultParagraphFont"/>
    <w:uiPriority w:val="99"/>
    <w:semiHidden/>
    <w:unhideWhenUsed/>
    <w:rsid w:val="0097404A"/>
    <w:rPr>
      <w:color w:val="605E5C"/>
      <w:shd w:val="clear" w:color="auto" w:fill="E1DFDD"/>
    </w:rPr>
  </w:style>
  <w:style w:type="paragraph" w:customStyle="1" w:styleId="EndNoteBibliographyTitle">
    <w:name w:val="EndNote Bibliography Title"/>
    <w:basedOn w:val="Normal"/>
    <w:link w:val="EndNoteBibliographyTitleChar"/>
    <w:rsid w:val="001A14A0"/>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1A14A0"/>
    <w:rPr>
      <w:rFonts w:ascii="Aptos" w:hAnsi="Aptos"/>
      <w:noProof/>
    </w:rPr>
  </w:style>
  <w:style w:type="paragraph" w:customStyle="1" w:styleId="EndNoteBibliography">
    <w:name w:val="EndNote Bibliography"/>
    <w:basedOn w:val="Normal"/>
    <w:link w:val="EndNoteBibliographyChar"/>
    <w:rsid w:val="001A14A0"/>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1A14A0"/>
    <w:rPr>
      <w:rFonts w:ascii="Aptos" w:hAnsi="Aptos"/>
      <w:noProof/>
    </w:rPr>
  </w:style>
  <w:style w:type="paragraph" w:styleId="Header">
    <w:name w:val="header"/>
    <w:basedOn w:val="Normal"/>
    <w:link w:val="HeaderChar"/>
    <w:uiPriority w:val="99"/>
    <w:unhideWhenUsed/>
    <w:rsid w:val="00617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41B"/>
  </w:style>
  <w:style w:type="paragraph" w:styleId="Footer">
    <w:name w:val="footer"/>
    <w:basedOn w:val="Normal"/>
    <w:link w:val="FooterChar"/>
    <w:uiPriority w:val="99"/>
    <w:unhideWhenUsed/>
    <w:rsid w:val="00617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79918">
      <w:bodyDiv w:val="1"/>
      <w:marLeft w:val="0"/>
      <w:marRight w:val="0"/>
      <w:marTop w:val="0"/>
      <w:marBottom w:val="0"/>
      <w:divBdr>
        <w:top w:val="none" w:sz="0" w:space="0" w:color="auto"/>
        <w:left w:val="none" w:sz="0" w:space="0" w:color="auto"/>
        <w:bottom w:val="none" w:sz="0" w:space="0" w:color="auto"/>
        <w:right w:val="none" w:sz="0" w:space="0" w:color="auto"/>
      </w:divBdr>
    </w:div>
    <w:div w:id="821507463">
      <w:bodyDiv w:val="1"/>
      <w:marLeft w:val="0"/>
      <w:marRight w:val="0"/>
      <w:marTop w:val="0"/>
      <w:marBottom w:val="0"/>
      <w:divBdr>
        <w:top w:val="none" w:sz="0" w:space="0" w:color="auto"/>
        <w:left w:val="none" w:sz="0" w:space="0" w:color="auto"/>
        <w:bottom w:val="none" w:sz="0" w:space="0" w:color="auto"/>
        <w:right w:val="none" w:sz="0" w:space="0" w:color="auto"/>
      </w:divBdr>
      <w:divsChild>
        <w:div w:id="823469030">
          <w:marLeft w:val="0"/>
          <w:marRight w:val="0"/>
          <w:marTop w:val="0"/>
          <w:marBottom w:val="0"/>
          <w:divBdr>
            <w:top w:val="none" w:sz="0" w:space="0" w:color="auto"/>
            <w:left w:val="none" w:sz="0" w:space="0" w:color="auto"/>
            <w:bottom w:val="none" w:sz="0" w:space="0" w:color="auto"/>
            <w:right w:val="none" w:sz="0" w:space="0" w:color="auto"/>
          </w:divBdr>
          <w:divsChild>
            <w:div w:id="4035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623">
      <w:bodyDiv w:val="1"/>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11884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8026">
      <w:bodyDiv w:val="1"/>
      <w:marLeft w:val="0"/>
      <w:marRight w:val="0"/>
      <w:marTop w:val="0"/>
      <w:marBottom w:val="0"/>
      <w:divBdr>
        <w:top w:val="none" w:sz="0" w:space="0" w:color="auto"/>
        <w:left w:val="none" w:sz="0" w:space="0" w:color="auto"/>
        <w:bottom w:val="none" w:sz="0" w:space="0" w:color="auto"/>
        <w:right w:val="none" w:sz="0" w:space="0" w:color="auto"/>
      </w:divBdr>
      <w:divsChild>
        <w:div w:id="893084898">
          <w:marLeft w:val="0"/>
          <w:marRight w:val="0"/>
          <w:marTop w:val="0"/>
          <w:marBottom w:val="0"/>
          <w:divBdr>
            <w:top w:val="none" w:sz="0" w:space="0" w:color="auto"/>
            <w:left w:val="none" w:sz="0" w:space="0" w:color="auto"/>
            <w:bottom w:val="none" w:sz="0" w:space="0" w:color="auto"/>
            <w:right w:val="none" w:sz="0" w:space="0" w:color="auto"/>
          </w:divBdr>
          <w:divsChild>
            <w:div w:id="15129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6109">
      <w:bodyDiv w:val="1"/>
      <w:marLeft w:val="0"/>
      <w:marRight w:val="0"/>
      <w:marTop w:val="0"/>
      <w:marBottom w:val="0"/>
      <w:divBdr>
        <w:top w:val="none" w:sz="0" w:space="0" w:color="auto"/>
        <w:left w:val="none" w:sz="0" w:space="0" w:color="auto"/>
        <w:bottom w:val="none" w:sz="0" w:space="0" w:color="auto"/>
        <w:right w:val="none" w:sz="0" w:space="0" w:color="auto"/>
      </w:divBdr>
      <w:divsChild>
        <w:div w:id="1931036509">
          <w:marLeft w:val="0"/>
          <w:marRight w:val="0"/>
          <w:marTop w:val="0"/>
          <w:marBottom w:val="0"/>
          <w:divBdr>
            <w:top w:val="none" w:sz="0" w:space="0" w:color="auto"/>
            <w:left w:val="none" w:sz="0" w:space="0" w:color="auto"/>
            <w:bottom w:val="none" w:sz="0" w:space="0" w:color="auto"/>
            <w:right w:val="none" w:sz="0" w:space="0" w:color="auto"/>
          </w:divBdr>
          <w:divsChild>
            <w:div w:id="16450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6796">
      <w:bodyDiv w:val="1"/>
      <w:marLeft w:val="0"/>
      <w:marRight w:val="0"/>
      <w:marTop w:val="0"/>
      <w:marBottom w:val="0"/>
      <w:divBdr>
        <w:top w:val="none" w:sz="0" w:space="0" w:color="auto"/>
        <w:left w:val="none" w:sz="0" w:space="0" w:color="auto"/>
        <w:bottom w:val="none" w:sz="0" w:space="0" w:color="auto"/>
        <w:right w:val="none" w:sz="0" w:space="0" w:color="auto"/>
      </w:divBdr>
    </w:div>
    <w:div w:id="1235818621">
      <w:bodyDiv w:val="1"/>
      <w:marLeft w:val="0"/>
      <w:marRight w:val="0"/>
      <w:marTop w:val="0"/>
      <w:marBottom w:val="0"/>
      <w:divBdr>
        <w:top w:val="none" w:sz="0" w:space="0" w:color="auto"/>
        <w:left w:val="none" w:sz="0" w:space="0" w:color="auto"/>
        <w:bottom w:val="none" w:sz="0" w:space="0" w:color="auto"/>
        <w:right w:val="none" w:sz="0" w:space="0" w:color="auto"/>
      </w:divBdr>
      <w:divsChild>
        <w:div w:id="114181400">
          <w:marLeft w:val="0"/>
          <w:marRight w:val="0"/>
          <w:marTop w:val="0"/>
          <w:marBottom w:val="0"/>
          <w:divBdr>
            <w:top w:val="none" w:sz="0" w:space="0" w:color="auto"/>
            <w:left w:val="none" w:sz="0" w:space="0" w:color="auto"/>
            <w:bottom w:val="none" w:sz="0" w:space="0" w:color="auto"/>
            <w:right w:val="none" w:sz="0" w:space="0" w:color="auto"/>
          </w:divBdr>
          <w:divsChild>
            <w:div w:id="6290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3902">
      <w:bodyDiv w:val="1"/>
      <w:marLeft w:val="0"/>
      <w:marRight w:val="0"/>
      <w:marTop w:val="0"/>
      <w:marBottom w:val="0"/>
      <w:divBdr>
        <w:top w:val="none" w:sz="0" w:space="0" w:color="auto"/>
        <w:left w:val="none" w:sz="0" w:space="0" w:color="auto"/>
        <w:bottom w:val="none" w:sz="0" w:space="0" w:color="auto"/>
        <w:right w:val="none" w:sz="0" w:space="0" w:color="auto"/>
      </w:divBdr>
    </w:div>
    <w:div w:id="1412701846">
      <w:bodyDiv w:val="1"/>
      <w:marLeft w:val="0"/>
      <w:marRight w:val="0"/>
      <w:marTop w:val="0"/>
      <w:marBottom w:val="0"/>
      <w:divBdr>
        <w:top w:val="none" w:sz="0" w:space="0" w:color="auto"/>
        <w:left w:val="none" w:sz="0" w:space="0" w:color="auto"/>
        <w:bottom w:val="none" w:sz="0" w:space="0" w:color="auto"/>
        <w:right w:val="none" w:sz="0" w:space="0" w:color="auto"/>
      </w:divBdr>
      <w:divsChild>
        <w:div w:id="239481632">
          <w:marLeft w:val="0"/>
          <w:marRight w:val="0"/>
          <w:marTop w:val="0"/>
          <w:marBottom w:val="0"/>
          <w:divBdr>
            <w:top w:val="none" w:sz="0" w:space="0" w:color="auto"/>
            <w:left w:val="none" w:sz="0" w:space="0" w:color="auto"/>
            <w:bottom w:val="none" w:sz="0" w:space="0" w:color="auto"/>
            <w:right w:val="none" w:sz="0" w:space="0" w:color="auto"/>
          </w:divBdr>
          <w:divsChild>
            <w:div w:id="5756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535">
      <w:bodyDiv w:val="1"/>
      <w:marLeft w:val="0"/>
      <w:marRight w:val="0"/>
      <w:marTop w:val="0"/>
      <w:marBottom w:val="0"/>
      <w:divBdr>
        <w:top w:val="none" w:sz="0" w:space="0" w:color="auto"/>
        <w:left w:val="none" w:sz="0" w:space="0" w:color="auto"/>
        <w:bottom w:val="none" w:sz="0" w:space="0" w:color="auto"/>
        <w:right w:val="none" w:sz="0" w:space="0" w:color="auto"/>
      </w:divBdr>
      <w:divsChild>
        <w:div w:id="1143233389">
          <w:marLeft w:val="0"/>
          <w:marRight w:val="0"/>
          <w:marTop w:val="0"/>
          <w:marBottom w:val="0"/>
          <w:divBdr>
            <w:top w:val="none" w:sz="0" w:space="0" w:color="auto"/>
            <w:left w:val="none" w:sz="0" w:space="0" w:color="auto"/>
            <w:bottom w:val="none" w:sz="0" w:space="0" w:color="auto"/>
            <w:right w:val="none" w:sz="0" w:space="0" w:color="auto"/>
          </w:divBdr>
          <w:divsChild>
            <w:div w:id="1879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unhcr.org/content/c3250e76-580a-4109-8ec8-173b150ec3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l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orldbank.org" TargetMode="External"/><Relationship Id="rId4" Type="http://schemas.openxmlformats.org/officeDocument/2006/relationships/webSettings" Target="webSettings.xml"/><Relationship Id="rId9" Type="http://schemas.openxmlformats.org/officeDocument/2006/relationships/hyperlink" Target="https://www.unicef.org/thailand/media/10746/file/Indepth%20research%20on%20youth%20NEET%20in%20Thail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4680</Words>
  <Characters>32249</Characters>
  <Application>Microsoft Office Word</Application>
  <DocSecurity>0</DocSecurity>
  <Lines>786</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Ketchuda Rodngern</dc:creator>
  <cp:keywords/>
  <dc:description/>
  <cp:lastModifiedBy>Sarawan Tangpatthamachart</cp:lastModifiedBy>
  <cp:revision>20</cp:revision>
  <dcterms:created xsi:type="dcterms:W3CDTF">2025-04-30T16:14:00Z</dcterms:created>
  <dcterms:modified xsi:type="dcterms:W3CDTF">2025-05-05T08:57:00Z</dcterms:modified>
</cp:coreProperties>
</file>