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5F4AFF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物理层</w:t>
      </w:r>
    </w:p>
    <w:p w14:paraId="08EB111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编码与调制</w:t>
      </w:r>
    </w:p>
    <w:p w14:paraId="1EBD0228">
      <w:r>
        <w:drawing>
          <wp:inline distT="0" distB="0" distL="114300" distR="114300">
            <wp:extent cx="5271770" cy="2413635"/>
            <wp:effectExtent l="0" t="0" r="127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ACB4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奈式准则和香农公式</w:t>
      </w:r>
      <w:bookmarkStart w:id="0" w:name="_GoBack"/>
      <w:bookmarkEnd w:id="0"/>
    </w:p>
    <w:p w14:paraId="350BE6B6">
      <w:pPr>
        <w:rPr>
          <w:rFonts w:hint="default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数据传输速率（比特/秒）= 码元传输速率（码元/秒） × 每个码元可以携带的比特数量</w:t>
      </w:r>
    </w:p>
    <w:p w14:paraId="057EAE4B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题目一</w:t>
      </w:r>
    </w:p>
    <w:p w14:paraId="41A38211">
      <w:r>
        <w:drawing>
          <wp:inline distT="0" distB="0" distL="114300" distR="114300">
            <wp:extent cx="5272405" cy="2619375"/>
            <wp:effectExtent l="0" t="0" r="63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6B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格局香农公式，信道的极限数据传输速率 = W log2 (1 + S/N)，排除 A、B。</w:t>
      </w:r>
    </w:p>
    <w:p w14:paraId="46B42B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 C，调制速度决定了单位时间内传输的符号数量，从而影响了码元数量，根据奈奎斯特定理 W log2 V ，排除 C。</w:t>
      </w:r>
    </w:p>
    <w:p w14:paraId="0948735C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题目二</w:t>
      </w:r>
    </w:p>
    <w:p w14:paraId="68DCA063">
      <w:pPr>
        <w:rPr>
          <w:rFonts w:hint="eastAsia"/>
          <w:lang w:val="en-US" w:eastAsia="zh-CN"/>
        </w:rPr>
      </w:pPr>
    </w:p>
    <w:p w14:paraId="47505DC5">
      <w:r>
        <w:drawing>
          <wp:inline distT="0" distB="0" distL="114300" distR="114300">
            <wp:extent cx="5267325" cy="2599690"/>
            <wp:effectExtent l="0" t="0" r="571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799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4相位就是 4 个码元，携带 2bit 信息。</w:t>
      </w:r>
    </w:p>
    <w:p w14:paraId="6E680D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2400bps = 波特率 * 2，解得波特率是 1200 Baud</w:t>
      </w:r>
    </w:p>
    <w:p w14:paraId="4CDFA596">
      <w:pPr>
        <w:rPr>
          <w:rFonts w:hint="eastAsia"/>
          <w:lang w:val="en-US" w:eastAsia="zh-CN"/>
        </w:rPr>
      </w:pPr>
    </w:p>
    <w:p w14:paraId="136A9AA3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题目三</w:t>
      </w:r>
    </w:p>
    <w:p w14:paraId="21463D7C">
      <w:pPr>
        <w:rPr>
          <w:rFonts w:hint="eastAsia"/>
          <w:lang w:val="en-US" w:eastAsia="zh-CN"/>
        </w:rPr>
      </w:pPr>
    </w:p>
    <w:p w14:paraId="0BCAE58F">
      <w:r>
        <w:drawing>
          <wp:inline distT="0" distB="0" distL="114300" distR="114300">
            <wp:extent cx="5273675" cy="2540000"/>
            <wp:effectExtent l="0" t="0" r="1460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0F584"/>
    <w:p w14:paraId="28B3D8E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解方程即可。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0655BF"/>
    <w:rsid w:val="3CAB4D29"/>
    <w:rsid w:val="3EA07B60"/>
    <w:rsid w:val="50535FA7"/>
    <w:rsid w:val="65CF6F6D"/>
    <w:rsid w:val="68C857DA"/>
    <w:rsid w:val="6DAA3F57"/>
    <w:rsid w:val="7D201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44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2024-12-26T05:19:30Z</dcterms:created>
  <dc:creator>95432</dc:creator>
  <cp:lastModifiedBy>蔚破冲</cp:lastModifiedBy>
  <dcterms:modified xsi:type="dcterms:W3CDTF">2024-12-26T06:27:20Z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eyJoZGlkIjoiZWExNTBiMGJkMGYwN2QyOWM0NzQ1ZTYzNGI5YjFlY2QiLCJ1c2VySWQiOiI1OTYxOTA4NTAifQ==</vt:lpwstr>
  </property>
  <property fmtid="{D5CDD505-2E9C-101B-9397-08002B2CF9AE}" pid="4" name="ICV">
    <vt:lpwstr>BACBA9532C86482AB79637BCB87E9DA9_12</vt:lpwstr>
  </property>
</Properties>
</file>