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300"/>
        <w:jc w:val="center"/>
      </w:pPr>
      <w:r>
        <w:rPr>
          <w:rFonts w:ascii="Aptos Display" w:hAnsi="Aptos Display" w:eastAsia="Aptos Display"/>
          <w:b/>
          <w:color w:val="000000"/>
          <w:sz w:val="52"/>
        </w:rPr>
        <w:t>Trust Fee Revenue Model Development Document</w:t>
      </w:r>
    </w:p>
    <w:p>
      <w:pPr>
        <w:pStyle w:val="DocumentSubtitle"/>
        <w:jc w:val="center"/>
      </w:pPr>
      <w:r>
        <w:rPr>
          <w:rFonts w:ascii="Aptos" w:hAnsi="Aptos" w:eastAsia="Aptos"/>
          <w:color w:val="000000"/>
          <w:sz w:val="26"/>
        </w:rPr>
        <w:t>Template Aligned Draft</w:t>
      </w:r>
    </w:p>
    <w:p>
      <w:pPr>
        <w:spacing w:before="360"/>
        <w:jc w:val="center"/>
      </w:pPr>
      <w:r>
        <w:rPr>
          <w:rFonts w:ascii="Aptos" w:hAnsi="Aptos" w:eastAsia="Aptos"/>
          <w:color w:val="000000"/>
          <w:sz w:val="22"/>
        </w:rPr>
        <w:t>Pinnacle</w:t>
      </w:r>
    </w:p>
    <w:p>
      <w:r>
        <w:br w:type="page"/>
      </w:r>
    </w:p>
    <w:p>
      <w:pPr>
        <w:pStyle w:val="Heading1"/>
      </w:pPr>
      <w:r>
        <w:t>Contents</w:t>
      </w:r>
    </w:p>
    <w:p>
      <w:pPr>
        <w:spacing w:after="40"/>
      </w:pPr>
    </w:p>
    <w:p>
      <w:pPr>
        <w:spacing w:after="80"/>
        <w:ind w:left="259"/>
      </w:pPr>
      <w:r>
        <w:rPr>
          <w:rFonts w:ascii="Aptos" w:hAnsi="Aptos" w:eastAsia="Aptos"/>
          <w:color w:val="000000"/>
          <w:sz w:val="22"/>
        </w:rPr>
        <w:t>1 Executive Summary</w:t>
      </w:r>
    </w:p>
    <w:p>
      <w:pPr>
        <w:spacing w:after="80"/>
        <w:ind w:left="259"/>
      </w:pPr>
      <w:r>
        <w:rPr>
          <w:rFonts w:ascii="Aptos" w:hAnsi="Aptos" w:eastAsia="Aptos"/>
          <w:color w:val="000000"/>
          <w:sz w:val="22"/>
        </w:rPr>
        <w:t>2 Model Theory and Design</w:t>
      </w:r>
    </w:p>
    <w:p>
      <w:pPr>
        <w:spacing w:after="80"/>
        <w:ind w:left="259"/>
      </w:pPr>
      <w:r>
        <w:rPr>
          <w:rFonts w:ascii="Aptos" w:hAnsi="Aptos" w:eastAsia="Aptos"/>
          <w:color w:val="000000"/>
          <w:sz w:val="22"/>
        </w:rPr>
        <w:t>3 Model Estimation</w:t>
      </w:r>
    </w:p>
    <w:p>
      <w:pPr>
        <w:spacing w:after="80"/>
        <w:ind w:left="259"/>
      </w:pPr>
      <w:r>
        <w:rPr>
          <w:rFonts w:ascii="Aptos" w:hAnsi="Aptos" w:eastAsia="Aptos"/>
          <w:color w:val="000000"/>
          <w:sz w:val="22"/>
        </w:rPr>
        <w:t>4 Model Development Data</w:t>
      </w:r>
    </w:p>
    <w:p>
      <w:pPr>
        <w:spacing w:after="80"/>
        <w:ind w:left="259"/>
      </w:pPr>
      <w:r>
        <w:rPr>
          <w:rFonts w:ascii="Aptos" w:hAnsi="Aptos" w:eastAsia="Aptos"/>
          <w:color w:val="000000"/>
          <w:sz w:val="22"/>
        </w:rPr>
        <w:t>5 Linkages with Other Models</w:t>
      </w:r>
    </w:p>
    <w:p>
      <w:pPr>
        <w:spacing w:after="80"/>
        <w:ind w:left="259"/>
      </w:pPr>
      <w:r>
        <w:rPr>
          <w:rFonts w:ascii="Aptos" w:hAnsi="Aptos" w:eastAsia="Aptos"/>
          <w:color w:val="000000"/>
          <w:sz w:val="22"/>
        </w:rPr>
        <w:t>6 Model Testing</w:t>
      </w:r>
    </w:p>
    <w:p>
      <w:pPr>
        <w:spacing w:after="80"/>
        <w:ind w:left="259"/>
      </w:pPr>
      <w:r>
        <w:rPr>
          <w:rFonts w:ascii="Aptos" w:hAnsi="Aptos" w:eastAsia="Aptos"/>
          <w:color w:val="000000"/>
          <w:sz w:val="22"/>
        </w:rPr>
        <w:t>7 Model Implementation</w:t>
      </w:r>
    </w:p>
    <w:p>
      <w:pPr>
        <w:spacing w:after="80"/>
        <w:ind w:left="259"/>
      </w:pPr>
      <w:r>
        <w:rPr>
          <w:rFonts w:ascii="Aptos" w:hAnsi="Aptos" w:eastAsia="Aptos"/>
          <w:color w:val="000000"/>
          <w:sz w:val="22"/>
        </w:rPr>
        <w:t>8 Model Monitoring</w:t>
      </w:r>
    </w:p>
    <w:p>
      <w:pPr>
        <w:spacing w:after="80"/>
        <w:ind w:left="259"/>
      </w:pPr>
      <w:r>
        <w:rPr>
          <w:rFonts w:ascii="Aptos" w:hAnsi="Aptos" w:eastAsia="Aptos"/>
          <w:color w:val="000000"/>
          <w:sz w:val="22"/>
        </w:rPr>
        <w:t>9 Procedures</w:t>
      </w:r>
    </w:p>
    <w:p>
      <w:pPr>
        <w:spacing w:after="80"/>
        <w:ind w:left="259"/>
      </w:pPr>
      <w:r>
        <w:rPr>
          <w:rFonts w:ascii="Aptos" w:hAnsi="Aptos" w:eastAsia="Aptos"/>
          <w:color w:val="000000"/>
          <w:sz w:val="22"/>
        </w:rPr>
        <w:t>10 Governance</w:t>
      </w:r>
    </w:p>
    <w:p>
      <w:pPr>
        <w:spacing w:after="80"/>
        <w:ind w:left="259"/>
      </w:pPr>
      <w:r>
        <w:rPr>
          <w:rFonts w:ascii="Aptos" w:hAnsi="Aptos" w:eastAsia="Aptos"/>
          <w:color w:val="000000"/>
          <w:sz w:val="22"/>
        </w:rPr>
        <w:t>11 Appendix Information</w:t>
      </w:r>
    </w:p>
    <w:p>
      <w:pPr>
        <w:spacing w:after="80"/>
        <w:ind w:left="259"/>
      </w:pPr>
      <w:r>
        <w:rPr>
          <w:rFonts w:ascii="Aptos" w:hAnsi="Aptos" w:eastAsia="Aptos"/>
          <w:color w:val="000000"/>
          <w:sz w:val="22"/>
        </w:rPr>
        <w:t>12 FAQs</w:t>
      </w:r>
    </w:p>
    <w:p>
      <w:pPr>
        <w:pStyle w:val="Heading1"/>
      </w:pPr>
      <w:r>
        <w:t>1 Executive Summary</w:t>
      </w:r>
    </w:p>
    <w:p>
      <w:r>
        <w:rPr>
          <w:rFonts w:ascii="Aptos" w:hAnsi="Aptos" w:eastAsia="Aptos"/>
          <w:i w:val="0"/>
          <w:color w:val="000000"/>
          <w:sz w:val="21"/>
        </w:rPr>
        <w:t>The Trust Fee Revenue Model projects Trust Fee revenue under baseline and stress scenarios for the Bank's Comprehensive Capital Analysis and Review (CCAR) and Pre-Provision Net Revenue (PPNR) forecasting process. The model covers Trust assets under management (AUM), assets under custody (AUC), and Asset Management Income.</w:t>
      </w:r>
    </w:p>
    <w:p>
      <w:r>
        <w:rPr>
          <w:rFonts w:ascii="Aptos" w:hAnsi="Aptos" w:eastAsia="Aptos"/>
          <w:i w:val="0"/>
          <w:color w:val="000000"/>
          <w:sz w:val="21"/>
        </w:rPr>
        <w:t>The Dodd-Frank Wall Street Reform and Consumer Protection Act requires bank holding companies with total consolidated assets greater than $100B to undergo the CCAR stress-testing exercise. Pinnacle crossed the $100B total asset threshold at the beginning of 2026 and launched the Large Bank Advancement initiative to develop the governance, documentation, and modeling infrastructure required for enhanced regulatory and supervisory stress testing.</w:t>
      </w:r>
    </w:p>
    <w:p>
      <w:r>
        <w:rPr>
          <w:rFonts w:ascii="Aptos" w:hAnsi="Aptos" w:eastAsia="Aptos"/>
          <w:i w:val="0"/>
          <w:color w:val="000000"/>
          <w:sz w:val="21"/>
        </w:rPr>
        <w:t>The Trust AUM component includes TFO (family office), IT (institutional trust), and PT (private trust). AUM revenue is projected by applying segment-specific fee-rate assumptions to projected balances. AUC revenue is projected using a blended fee rate applied to aggregate AUC balances. Asset Management Income is projected by applying a realized revenue yield to IA balances that follow the applicable S&amp;P 500 scenario path.</w:t>
      </w:r>
    </w:p>
    <w:p>
      <w:r>
        <w:rPr>
          <w:rFonts w:ascii="Aptos" w:hAnsi="Aptos" w:eastAsia="Aptos"/>
          <w:i w:val="0"/>
          <w:color w:val="000000"/>
          <w:sz w:val="21"/>
        </w:rPr>
        <w:t>The model uses a qualitative forecasting approach because the available history does not support a separate statistical estimation framework. Baseline projections rely on recent balance trends and historical fee-rate relationships. Stress projections apply judgmental balance declines, stressed fee rates, and market scenario paths. The principal outputs are quarterly baseline and stress revenue forecasts over a nine-quarter horizon.</w:t>
      </w:r>
    </w:p>
    <w:p>
      <w:pPr>
        <w:pStyle w:val="ToConfirm"/>
      </w:pPr>
      <w:r>
        <w:rPr>
          <w:rFonts w:ascii="Aptos" w:hAnsi="Aptos" w:eastAsia="Aptos"/>
          <w:i/>
          <w:color w:val="4F4F4F"/>
          <w:sz w:val="20"/>
        </w:rPr>
        <w:t>[To be completed by Model Owner: confirm the implementation platform, workbook or application name, file location, and production-use status.]</w:t>
      </w:r>
    </w:p>
    <w:p>
      <w:r>
        <w:rPr>
          <w:rFonts w:ascii="Aptos" w:hAnsi="Aptos" w:eastAsia="Aptos"/>
          <w:i w:val="0"/>
          <w:color w:val="000000"/>
          <w:sz w:val="21"/>
        </w:rPr>
        <w:t>The principal limitations are reliance on fixed fee-rate assumptions, recent trend extrapolation, judgmental stress calibration, limited segment-specific stress-event evidence, and the assumption that IA balances move with the S&amp;P 500 scenario path. Section 8 describes the proposed monitoring of these assumptions, revenue drivers, forecast accuracy, and output stability.</w:t>
      </w:r>
    </w:p>
    <w:p>
      <w:pPr>
        <w:pStyle w:val="ToConfirm"/>
      </w:pPr>
      <w:r>
        <w:rPr>
          <w:rFonts w:ascii="Aptos" w:hAnsi="Aptos" w:eastAsia="Aptos"/>
          <w:i/>
          <w:color w:val="4F4F4F"/>
          <w:sz w:val="20"/>
        </w:rPr>
        <w:t>[To be completed by Model Owner: provide the high-level model performance conclusion after development testing and actual-versus-forecast evidence are available.]</w:t>
      </w:r>
    </w:p>
    <w:p>
      <w:r>
        <w:rPr>
          <w:rFonts w:ascii="Aptos" w:hAnsi="Aptos" w:eastAsia="Aptos"/>
          <w:i w:val="0"/>
          <w:color w:val="000000"/>
          <w:sz w:val="21"/>
        </w:rPr>
        <w:t>Key personnel:</w:t>
      </w:r>
    </w:p>
    <w:p>
      <w:pPr>
        <w:pStyle w:val="ListBullet"/>
        <w:keepNext/>
        <w:keepLines/>
      </w:pPr>
      <w:r>
        <w:rPr>
          <w:rFonts w:ascii="Aptos" w:hAnsi="Aptos" w:eastAsia="Aptos"/>
          <w:color w:val="000000"/>
          <w:sz w:val="21"/>
        </w:rPr>
        <w:t>Model Owner: Haoyu Zhou</w:t>
      </w:r>
    </w:p>
    <w:p>
      <w:pPr>
        <w:pStyle w:val="ListBullet"/>
        <w:keepNext/>
        <w:keepLines/>
      </w:pPr>
      <w:r>
        <w:rPr>
          <w:rFonts w:ascii="Aptos" w:hAnsi="Aptos" w:eastAsia="Aptos"/>
          <w:color w:val="000000"/>
          <w:sz w:val="21"/>
        </w:rPr>
        <w:t>Model Developer: Haoyu Zhou</w:t>
      </w:r>
    </w:p>
    <w:p>
      <w:pPr>
        <w:pStyle w:val="ListBullet"/>
        <w:keepNext/>
        <w:keepLines/>
      </w:pPr>
      <w:r>
        <w:rPr>
          <w:rFonts w:ascii="Aptos" w:hAnsi="Aptos" w:eastAsia="Aptos"/>
          <w:color w:val="000000"/>
          <w:sz w:val="21"/>
        </w:rPr>
        <w:t>Model Developer: Ethan Li</w:t>
      </w:r>
    </w:p>
    <w:p>
      <w:pPr>
        <w:pStyle w:val="ListBullet"/>
        <w:keepNext w:val="0"/>
        <w:keepLines/>
      </w:pPr>
      <w:r>
        <w:rPr>
          <w:rFonts w:ascii="Aptos" w:hAnsi="Aptos" w:eastAsia="Aptos"/>
          <w:color w:val="000000"/>
          <w:sz w:val="21"/>
        </w:rPr>
        <w:t>Model User or Users: [To be confirmed by the Model Owner]</w:t>
      </w:r>
    </w:p>
    <w:p>
      <w:pPr>
        <w:pStyle w:val="Heading1"/>
      </w:pPr>
      <w:r>
        <w:t>2. Model Theory and Design</w:t>
      </w:r>
    </w:p>
    <w:p>
      <w:r>
        <w:rPr>
          <w:rFonts w:ascii="Aptos" w:hAnsi="Aptos" w:eastAsia="Aptos"/>
          <w:i w:val="0"/>
          <w:color w:val="000000"/>
          <w:sz w:val="21"/>
        </w:rPr>
        <w:t>Due to data limitations, only a qualitative approach can be applied. Accordingly, the model's design, theory, data, and estimation approach are integrated into a single narrative, and the complete narrative is presented in this section.</w:t>
      </w:r>
    </w:p>
    <w:p>
      <w:r>
        <w:rPr>
          <w:rFonts w:ascii="Aptos" w:hAnsi="Aptos" w:eastAsia="Aptos"/>
          <w:i w:val="0"/>
          <w:color w:val="000000"/>
          <w:sz w:val="21"/>
        </w:rPr>
        <w:t>The sub-sections below document the design, theory, data, and estimation approach for each revenue component individually. Because each component's qualitative stress estimation approach integrates data considerations, methodology, and estimation results into a single narrative, that full narrative is presented together here rather than split across Sections 2-4. Section 3 (Model Estimation) and Section 4 (Model Development Data) cross-reference these sub-sections rather than duplicating their content.</w:t>
      </w:r>
    </w:p>
    <w:p>
      <w:pPr>
        <w:pStyle w:val="Heading2"/>
      </w:pPr>
      <w:r>
        <w:t>Trust</w:t>
      </w:r>
    </w:p>
    <w:p>
      <w:r>
        <w:rPr>
          <w:rFonts w:ascii="Aptos" w:hAnsi="Aptos" w:eastAsia="Aptos"/>
          <w:i w:val="0"/>
          <w:color w:val="000000"/>
          <w:sz w:val="21"/>
        </w:rPr>
        <w:t>Trust fee includes fee from AUM, AUC and Asset Management Income. AUM and AUC together brought in $71.2mm from Strategic Finance, tying with the mega GL account "TRUSTFEE" $71.1mm. The Asset Management Income from SSI is $12.3mm in 2025, closely matching GL 4976205 $12.0mm.</w:t>
      </w:r>
    </w:p>
    <w:p>
      <w:pPr>
        <w:pStyle w:val="Heading2"/>
      </w:pPr>
      <w:r>
        <w:t>2.1 Trust - AUM Fee</w:t>
      </w:r>
    </w:p>
    <w:p>
      <w:r>
        <w:rPr>
          <w:rFonts w:ascii="Aptos" w:hAnsi="Aptos" w:eastAsia="Aptos"/>
          <w:i w:val="0"/>
          <w:color w:val="000000"/>
          <w:sz w:val="21"/>
        </w:rPr>
        <w:t>Trust fee revenue is composed of three segments: TFO (family office), IT (institutional trust), and PT (private trust). Each segment carries its own AUM balance and its own trailing 3-month average charge rate, available monthly from October 2019 through December 2025. Below are the rates and AUM (in ,000) for each type.</w:t>
      </w:r>
    </w:p>
    <w:p>
      <w:pPr>
        <w:pStyle w:val="Placeholder"/>
        <w:jc w:val="center"/>
      </w:pPr>
      <w:r>
        <w:rPr>
          <w:rFonts w:ascii="Aptos" w:hAnsi="Aptos" w:eastAsia="Aptos"/>
          <w:i/>
          <w:color w:val="666666"/>
          <w:sz w:val="20"/>
        </w:rPr>
        <w:t>[Insert Chart 2.1 AUM Rate by Type - Original location: Original Section 2-Concentrated MDD, Section 2.1 Trust AUM Fee; insert immediately after the paragraph ending 'Below are the rates and AUM (in ,000) for each type.']</w:t>
      </w:r>
    </w:p>
    <w:p>
      <w:pPr>
        <w:pStyle w:val="Placeholder"/>
        <w:jc w:val="center"/>
      </w:pPr>
      <w:r>
        <w:rPr>
          <w:rFonts w:ascii="Aptos" w:hAnsi="Aptos" w:eastAsia="Aptos"/>
          <w:i/>
          <w:color w:val="666666"/>
          <w:sz w:val="20"/>
        </w:rPr>
        <w:t>[Insert Chart 2.2 AUM Balance by Type - Original location: Original Section 2-Concentrated MDD, Section 2.1 Trust AUM Fee; insert immediately after Chart 2.1 and before the paragraph beginning 'All three segments share the same CCAR methodology.']</w:t>
      </w:r>
    </w:p>
    <w:p>
      <w:r>
        <w:rPr>
          <w:rFonts w:ascii="Aptos" w:hAnsi="Aptos" w:eastAsia="Aptos"/>
          <w:i w:val="0"/>
          <w:color w:val="000000"/>
          <w:sz w:val="21"/>
        </w:rPr>
        <w:t>All three segments share the same CCAR methodology: a fixed rate assumption (full-history average for baseline; average minus 2 standard deviations for stress) applied to a balance assumption (linear trend extrapolation of the recent 24 month for baseline; the recent 24-month average, stepped down by a market-stress decline, for stress). The stress balance decline is a uniform 10% peak decline applied to all three segments, calibrated to the Jan-Jun 2020 (Covid) window - a genuine market-stress episode - since the recent 24 months alone are too mild to calibrate a stress move (largest drawdown under 3.5% across all segments). The decline is held flat at the 10% trough for the first 6 quarters, then phased out linearly over the final 3 quarters, returning to -2.5% by Mar-28.</w:t>
      </w:r>
    </w:p>
    <w:p>
      <w:pPr>
        <w:pStyle w:val="Placeholder"/>
        <w:jc w:val="center"/>
      </w:pPr>
      <w:r>
        <w:rPr>
          <w:rFonts w:ascii="Aptos" w:hAnsi="Aptos" w:eastAsia="Aptos"/>
          <w:i/>
          <w:color w:val="666666"/>
          <w:sz w:val="20"/>
        </w:rPr>
        <w:t>[Insert Table 2.1 AUM Ramp Down Path in Stress - Original location: Original Section 2-Concentrated MDD, Section 2.1 Trust AUM Fee; insert after the paragraph ending 'returning to -2.5% by Mar-28' and before Section 2.1.1 TFO.]</w:t>
      </w:r>
    </w:p>
    <w:p>
      <w:pPr>
        <w:pStyle w:val="Heading3"/>
      </w:pPr>
      <w:r>
        <w:t>2.1.1 TFO</w:t>
      </w:r>
    </w:p>
    <w:p>
      <w:pPr>
        <w:pStyle w:val="Heading4"/>
      </w:pPr>
      <w:r>
        <w:t>a. Rate</w:t>
      </w:r>
    </w:p>
    <w:p>
      <w:r>
        <w:rPr>
          <w:rFonts w:ascii="Aptos" w:hAnsi="Aptos" w:eastAsia="Aptos"/>
          <w:i w:val="0"/>
          <w:color w:val="000000"/>
          <w:sz w:val="21"/>
        </w:rPr>
        <w:t>TFO's AUM charge rate is stable over the full history, averaging 0.2486% (std dev 0.0188%), with no material trend or regime breaks. The full-history average is used as the baseline rate; average minus 2 standard deviations (0.2110%) is used as the stress rate.</w:t>
      </w:r>
    </w:p>
    <w:p>
      <w:pPr>
        <w:pStyle w:val="Heading4"/>
      </w:pPr>
      <w:r>
        <w:t>b. Balance</w:t>
      </w:r>
    </w:p>
    <w:p>
      <w:r>
        <w:rPr>
          <w:rFonts w:ascii="Aptos" w:hAnsi="Aptos" w:eastAsia="Aptos"/>
          <w:i w:val="0"/>
          <w:color w:val="000000"/>
          <w:sz w:val="21"/>
        </w:rPr>
        <w:t>TFO's AUM balance has grown steadily with only mild month-to-month volatility, supporting a linear trend fit to the recent 24 months (Jan 2024-Dec 2025) for the baseline projection. TFO's own COVID-window (Jan-Jun 2020) drawdown was -8.9%, within the range used to calibrate the shared uniform 10% stress decline described above.</w:t>
      </w:r>
    </w:p>
    <w:p>
      <w:pPr>
        <w:pStyle w:val="Placeholder"/>
        <w:jc w:val="center"/>
      </w:pPr>
      <w:r>
        <w:rPr>
          <w:rFonts w:ascii="Aptos" w:hAnsi="Aptos" w:eastAsia="Aptos"/>
          <w:i/>
          <w:color w:val="666666"/>
          <w:sz w:val="20"/>
        </w:rPr>
        <w:t>[Insert Table 2.2 TFO AUM Balance Path under Baseline and Stress - Original location: Original Section 2-Concentrated MDD, Section 2.1.1(b) Balance; insert after the paragraph ending 'shared uniform 10% stress decline described above' and before Section 2.1.1(c) AUM Fee Path.]</w:t>
      </w:r>
    </w:p>
    <w:p>
      <w:pPr>
        <w:pStyle w:val="Heading4"/>
      </w:pPr>
      <w:r>
        <w:t>c. AUM Fee Path</w:t>
      </w:r>
    </w:p>
    <w:p>
      <w:r>
        <w:rPr>
          <w:rFonts w:ascii="Aptos" w:hAnsi="Aptos" w:eastAsia="Aptos"/>
          <w:i w:val="0"/>
          <w:color w:val="000000"/>
          <w:sz w:val="21"/>
        </w:rPr>
        <w:t>TFO AUM fee under each scenario, by quarter:</w:t>
      </w:r>
    </w:p>
    <w:p>
      <w:pPr>
        <w:pStyle w:val="Placeholder"/>
        <w:jc w:val="center"/>
      </w:pPr>
      <w:r>
        <w:rPr>
          <w:rFonts w:ascii="Aptos" w:hAnsi="Aptos" w:eastAsia="Aptos"/>
          <w:i/>
          <w:color w:val="666666"/>
          <w:sz w:val="20"/>
        </w:rPr>
        <w:t>[Insert Table 2.3 TFO AUM Fee Path under Baseline and Stress - Original location: Original Section 2-Concentrated MDD, Section 2.1.1(c) AUM Fee Path; insert after 'TFO AUM fee under each scenario, by quarter' and before the first-year and nine-quarter fee summary.]</w:t>
      </w:r>
    </w:p>
    <w:p>
      <w:r>
        <w:rPr>
          <w:rFonts w:ascii="Aptos" w:hAnsi="Aptos" w:eastAsia="Aptos"/>
          <w:i w:val="0"/>
          <w:color w:val="000000"/>
          <w:sz w:val="21"/>
        </w:rPr>
        <w:t>TFO baseline fee is approximately $28.0mm first year and $66.3mm for the 9 quarter horizon. TFO stress fee is $18.8mm first year and $42.7mm, respectively.</w:t>
      </w:r>
    </w:p>
    <w:p>
      <w:pPr>
        <w:pStyle w:val="Heading4"/>
      </w:pPr>
      <w:r>
        <w:t>d. Key assumptions</w:t>
      </w:r>
    </w:p>
    <w:p>
      <w:pPr>
        <w:pStyle w:val="ListBullet"/>
        <w:keepNext/>
        <w:keepLines/>
      </w:pPr>
      <w:r>
        <w:rPr>
          <w:rFonts w:ascii="Aptos" w:hAnsi="Aptos" w:eastAsia="Aptos"/>
          <w:color w:val="000000"/>
          <w:sz w:val="21"/>
        </w:rPr>
        <w:t>TFO's AUM charge rate (0.2486% avg) is assumed fixed for both baseline and stress (2 std down) since the rate shows no material trend or regime break across the full history.</w:t>
      </w:r>
    </w:p>
    <w:p>
      <w:pPr>
        <w:pStyle w:val="ListBullet"/>
        <w:keepNext w:val="0"/>
        <w:keepLines/>
      </w:pPr>
      <w:r>
        <w:rPr>
          <w:rFonts w:ascii="Aptos" w:hAnsi="Aptos" w:eastAsia="Aptos"/>
          <w:color w:val="000000"/>
          <w:sz w:val="21"/>
        </w:rPr>
        <w:t>TFO's COVID-window drawdown (-8.9%) is treated as consistent with the uniform 10% stress decline applied across all three segments.</w:t>
      </w:r>
    </w:p>
    <w:p>
      <w:pPr>
        <w:pStyle w:val="Heading4"/>
      </w:pPr>
      <w:r>
        <w:t>e. Limitations &amp; Weaknesses</w:t>
      </w:r>
    </w:p>
    <w:p>
      <w:pPr>
        <w:pStyle w:val="ListBullet"/>
        <w:keepNext/>
        <w:keepLines/>
      </w:pPr>
      <w:r>
        <w:rPr>
          <w:rFonts w:ascii="Aptos" w:hAnsi="Aptos" w:eastAsia="Aptos"/>
          <w:color w:val="000000"/>
          <w:sz w:val="21"/>
        </w:rPr>
        <w:t>TFO's balance trend is fit only to the recent 24 months, so the baseline projection is sensitive to whether that gentle upward drift continues.</w:t>
      </w:r>
    </w:p>
    <w:p>
      <w:pPr>
        <w:pStyle w:val="ListBullet"/>
        <w:keepNext w:val="0"/>
        <w:keepLines/>
      </w:pPr>
      <w:r>
        <w:rPr>
          <w:rFonts w:ascii="Aptos" w:hAnsi="Aptos" w:eastAsia="Aptos"/>
          <w:color w:val="000000"/>
          <w:sz w:val="21"/>
        </w:rPr>
        <w:t>The uniform 10% stress decline slightly overstates TFO's own COVID-observed drawdown (-8.9%), adding conservatism whose size was not independently validated for this segment.</w:t>
      </w:r>
    </w:p>
    <w:p>
      <w:pPr>
        <w:pStyle w:val="Heading3"/>
      </w:pPr>
      <w:r>
        <w:t>2.1.2 IT</w:t>
      </w:r>
    </w:p>
    <w:p>
      <w:pPr>
        <w:pStyle w:val="Heading4"/>
      </w:pPr>
      <w:r>
        <w:t>a. Rate</w:t>
      </w:r>
    </w:p>
    <w:p>
      <w:r>
        <w:rPr>
          <w:rFonts w:ascii="Aptos" w:hAnsi="Aptos" w:eastAsia="Aptos"/>
          <w:i w:val="0"/>
          <w:color w:val="000000"/>
          <w:sz w:val="21"/>
        </w:rPr>
        <w:t>IT's AUM charge rate is stable over the full history, averaging 0.2627% (std dev 0.0275%, the highest of the three segments), with no material trend or regime break. The full-history average is used as the baseline rate; average minus 2 standard deviations (0.2076%) is used as the stress rate.</w:t>
      </w:r>
    </w:p>
    <w:p>
      <w:pPr>
        <w:pStyle w:val="Heading4"/>
      </w:pPr>
      <w:r>
        <w:t>b. Balance</w:t>
      </w:r>
    </w:p>
    <w:p>
      <w:r>
        <w:rPr>
          <w:rFonts w:ascii="Aptos" w:hAnsi="Aptos" w:eastAsia="Aptos"/>
          <w:i w:val="0"/>
          <w:color w:val="000000"/>
          <w:sz w:val="21"/>
        </w:rPr>
        <w:t>The largest observed AUM drawdown in IT's full history was -39.7% (Dec 2020 to Nov 2022); however, that move coincides almost exactly with an offsetting jump in IT_AUC over the same months - assets were reclassified from the IT AUM bucket into the IT AUC bucket (a business/product decision), not lost to market stress or client attrition. That period is therefore excluded as a stress anchor. IT's own COVID window (Jan-Jun 2020) drawdown was -4.6%, the mildest of the three AUM segments, but is nonetheless assumed to warrant the same shared uniform 10% stress decline that was described above.</w:t>
      </w:r>
    </w:p>
    <w:p>
      <w:pPr>
        <w:pStyle w:val="Placeholder"/>
        <w:jc w:val="center"/>
      </w:pPr>
      <w:r>
        <w:rPr>
          <w:rFonts w:ascii="Aptos" w:hAnsi="Aptos" w:eastAsia="Aptos"/>
          <w:i/>
          <w:color w:val="666666"/>
          <w:sz w:val="20"/>
        </w:rPr>
        <w:t>[Insert Table 2.4 IT AUM Balance Path under Baseline and Stress - Original location: Original Section 2-Concentrated MDD, Section 2.1.2(b) Balance; insert after the paragraph ending 'shared uniform 10% stress decline that was described above' and before Section 2.1.2(c) AUM Fee Path.]</w:t>
      </w:r>
    </w:p>
    <w:p>
      <w:pPr>
        <w:pStyle w:val="Heading4"/>
      </w:pPr>
      <w:r>
        <w:t>c. AUM Fee Path</w:t>
      </w:r>
    </w:p>
    <w:p>
      <w:r>
        <w:rPr>
          <w:rFonts w:ascii="Aptos" w:hAnsi="Aptos" w:eastAsia="Aptos"/>
          <w:i w:val="0"/>
          <w:color w:val="000000"/>
          <w:sz w:val="21"/>
        </w:rPr>
        <w:t>IT AUM fee under each scenario, by quarter:</w:t>
      </w:r>
    </w:p>
    <w:p>
      <w:pPr>
        <w:pStyle w:val="Placeholder"/>
        <w:jc w:val="center"/>
      </w:pPr>
      <w:r>
        <w:rPr>
          <w:rFonts w:ascii="Aptos" w:hAnsi="Aptos" w:eastAsia="Aptos"/>
          <w:i/>
          <w:color w:val="666666"/>
          <w:sz w:val="20"/>
        </w:rPr>
        <w:t>[Insert Table 2.5 IT AUM Fee Path under Baseline and Stress - Original location: Original Section 2-Concentrated MDD, Section 2.1.2(c) AUM Fee Path; insert after 'IT AUM fee under each scenario, by quarter' and before the first-year and nine-quarter fee summary.]</w:t>
      </w:r>
    </w:p>
    <w:p>
      <w:r>
        <w:rPr>
          <w:rFonts w:ascii="Aptos" w:hAnsi="Aptos" w:eastAsia="Aptos"/>
          <w:i w:val="0"/>
          <w:color w:val="000000"/>
          <w:sz w:val="21"/>
        </w:rPr>
        <w:t>IT baseline fee is approximately $8.2mm first year and $19.6mm for the 9 quarter horizon. The stress fee is $5.2mm first year and $11.7mm, respectively.</w:t>
      </w:r>
    </w:p>
    <w:p>
      <w:pPr>
        <w:pStyle w:val="Heading4"/>
      </w:pPr>
      <w:r>
        <w:t>d. Key assumptions</w:t>
      </w:r>
    </w:p>
    <w:p>
      <w:pPr>
        <w:pStyle w:val="ListBullet"/>
        <w:keepNext/>
        <w:keepLines/>
      </w:pPr>
      <w:r>
        <w:rPr>
          <w:rFonts w:ascii="Aptos" w:hAnsi="Aptos" w:eastAsia="Aptos"/>
          <w:color w:val="000000"/>
          <w:sz w:val="21"/>
        </w:rPr>
        <w:t>IT's -39.7% AUM drawdown (Dec 2020-Nov 2022) is assumed to be entirely explained by a reclassification of assets from AUM into AUC (a business decision) rather than any market-stress-related loss, and is therefore excluded as a stress anchor.</w:t>
      </w:r>
    </w:p>
    <w:p>
      <w:pPr>
        <w:pStyle w:val="ListBullet"/>
        <w:keepNext w:val="0"/>
        <w:keepLines/>
      </w:pPr>
      <w:r>
        <w:rPr>
          <w:rFonts w:ascii="Aptos" w:hAnsi="Aptos" w:eastAsia="Aptos"/>
          <w:color w:val="000000"/>
          <w:sz w:val="21"/>
        </w:rPr>
        <w:t>IT's COVID-window drawdown (-4.6%), the mildest of the three segments, is nonetheless assumed to warrant the same uniform 10% stress decline applied to TFO and PT.</w:t>
      </w:r>
    </w:p>
    <w:p>
      <w:pPr>
        <w:pStyle w:val="Heading4"/>
      </w:pPr>
      <w:r>
        <w:t>e. Limitations &amp; Weaknesses</w:t>
      </w:r>
    </w:p>
    <w:p>
      <w:pPr>
        <w:pStyle w:val="ListBullet"/>
        <w:keepNext/>
        <w:keepLines/>
      </w:pPr>
      <w:r>
        <w:rPr>
          <w:rFonts w:ascii="Aptos" w:hAnsi="Aptos" w:eastAsia="Aptos"/>
          <w:color w:val="000000"/>
          <w:sz w:val="21"/>
        </w:rPr>
        <w:t>The reclassification explanation for IT's largest historical drawdown depends on the same AUM/AUC reclassification narrative used in the companion AUC report. If that narrative is wrong, IT could have a materially larger true stress sensitivity than the 10% applied.</w:t>
      </w:r>
    </w:p>
    <w:p>
      <w:pPr>
        <w:pStyle w:val="ListBullet"/>
        <w:keepNext w:val="0"/>
        <w:keepLines/>
      </w:pPr>
      <w:r>
        <w:rPr>
          <w:rFonts w:ascii="Aptos" w:hAnsi="Aptos" w:eastAsia="Aptos"/>
          <w:color w:val="000000"/>
          <w:sz w:val="21"/>
        </w:rPr>
        <w:t>IT's rate (0.2627% avg, highest std dev of the three at 0.0275%) is more volatile than TFO, yet is still treated as a stable fixed rate for both scenario legs.</w:t>
      </w:r>
    </w:p>
    <w:p>
      <w:pPr>
        <w:pStyle w:val="Heading3"/>
      </w:pPr>
      <w:r>
        <w:t>2.1.3 PT</w:t>
      </w:r>
    </w:p>
    <w:p>
      <w:pPr>
        <w:pStyle w:val="Heading4"/>
      </w:pPr>
      <w:r>
        <w:t>a. Rate</w:t>
      </w:r>
    </w:p>
    <w:p>
      <w:r>
        <w:rPr>
          <w:rFonts w:ascii="Aptos" w:hAnsi="Aptos" w:eastAsia="Aptos"/>
          <w:i w:val="0"/>
          <w:color w:val="000000"/>
          <w:sz w:val="21"/>
        </w:rPr>
        <w:t>PT's AUM charge rate is stable over the full history, averaging 0.7076%, several times higher than TFO or IT, with std dev 0.0226%, and no material trend or regime break. The full-history average is used as the baseline rate; average minus 2 standard deviations (0.6623%) is used as the stress rate.</w:t>
      </w:r>
    </w:p>
    <w:p>
      <w:pPr>
        <w:pStyle w:val="Heading4"/>
      </w:pPr>
      <w:r>
        <w:t>b. Balance</w:t>
      </w:r>
    </w:p>
    <w:p>
      <w:r>
        <w:rPr>
          <w:rFonts w:ascii="Aptos" w:hAnsi="Aptos" w:eastAsia="Aptos"/>
          <w:i w:val="0"/>
          <w:color w:val="000000"/>
          <w:sz w:val="21"/>
        </w:rPr>
        <w:t>PT's AUM balance has grown steadily with only mild month-to-month volatility, supporting a linear trend to the recent 24 months for the baseline projection. PT's own COVID-window (Jan-Jun 2020) drawdown was -7.1%, within the range used to calibrate the shared uniform 10% stress decline described above.</w:t>
      </w:r>
    </w:p>
    <w:p>
      <w:pPr>
        <w:pStyle w:val="Placeholder"/>
        <w:jc w:val="center"/>
      </w:pPr>
      <w:r>
        <w:rPr>
          <w:rFonts w:ascii="Aptos" w:hAnsi="Aptos" w:eastAsia="Aptos"/>
          <w:i/>
          <w:color w:val="666666"/>
          <w:sz w:val="20"/>
        </w:rPr>
        <w:t>[Insert Table 2.6 PT AUM Balance Path under Baseline and Stress - Original location: Original Section 2-Concentrated MDD, Section 2.1.3(b) Balance; insert after the paragraph ending 'shared uniform 10% stress decline described above' and before Section 2.1.3(c) AUM Fee Path.]</w:t>
      </w:r>
    </w:p>
    <w:p>
      <w:pPr>
        <w:pStyle w:val="Heading4"/>
      </w:pPr>
      <w:r>
        <w:t>c. AUM Fee Path</w:t>
      </w:r>
    </w:p>
    <w:p>
      <w:r>
        <w:rPr>
          <w:rFonts w:ascii="Aptos" w:hAnsi="Aptos" w:eastAsia="Aptos"/>
          <w:i w:val="0"/>
          <w:color w:val="000000"/>
          <w:sz w:val="21"/>
        </w:rPr>
        <w:t>PT AUM fee under each scenario, by quarter:</w:t>
      </w:r>
    </w:p>
    <w:p>
      <w:pPr>
        <w:pStyle w:val="Placeholder"/>
        <w:jc w:val="center"/>
      </w:pPr>
      <w:r>
        <w:rPr>
          <w:rFonts w:ascii="Aptos" w:hAnsi="Aptos" w:eastAsia="Aptos"/>
          <w:i/>
          <w:color w:val="666666"/>
          <w:sz w:val="20"/>
        </w:rPr>
        <w:t>[Insert Table 2.7 PT AUM Fee Path under Baseline and Stress - Original location: Original Section 2-Concentrated MDD, Section 2.1.3(c) AUM Fee Path; insert after 'PT AUM fee under each scenario, by quarter' and before the first-year and nine-quarter fee summary.]</w:t>
      </w:r>
    </w:p>
    <w:p>
      <w:r>
        <w:rPr>
          <w:rFonts w:ascii="Aptos" w:hAnsi="Aptos" w:eastAsia="Aptos"/>
          <w:i w:val="0"/>
          <w:color w:val="000000"/>
          <w:sz w:val="21"/>
        </w:rPr>
        <w:t>PT baseline fee is approximately $34.5mm first year and $80.7mm for the 9 quarter horizon. The stress fee is $26.2mm first year and $59.3mm, respectively.</w:t>
      </w:r>
    </w:p>
    <w:p>
      <w:pPr>
        <w:pStyle w:val="Heading4"/>
      </w:pPr>
      <w:r>
        <w:t>d. Key assumptions</w:t>
      </w:r>
    </w:p>
    <w:p>
      <w:pPr>
        <w:pStyle w:val="ListBullet"/>
        <w:keepNext/>
        <w:keepLines/>
      </w:pPr>
      <w:r>
        <w:rPr>
          <w:rFonts w:ascii="Aptos" w:hAnsi="Aptos" w:eastAsia="Aptos"/>
          <w:color w:val="000000"/>
          <w:sz w:val="21"/>
        </w:rPr>
        <w:t>PT's rate (0.7076% avg) - several times higher than TFO or IT, is assumed to remain fixed under stress despite being the largest single driver of total AUM fee revenue.</w:t>
      </w:r>
    </w:p>
    <w:p>
      <w:pPr>
        <w:pStyle w:val="ListBullet"/>
        <w:keepNext w:val="0"/>
        <w:keepLines/>
      </w:pPr>
      <w:r>
        <w:rPr>
          <w:rFonts w:ascii="Aptos" w:hAnsi="Aptos" w:eastAsia="Aptos"/>
          <w:color w:val="000000"/>
          <w:sz w:val="21"/>
        </w:rPr>
        <w:t>PT's COVID-window drawdown (-7.1%) is treated as broadly consistent with the uniform 10% stress decline applied across all three segments.</w:t>
      </w:r>
    </w:p>
    <w:p>
      <w:pPr>
        <w:pStyle w:val="Heading4"/>
      </w:pPr>
      <w:r>
        <w:t>e. Limitations &amp; Weaknesses</w:t>
      </w:r>
    </w:p>
    <w:p>
      <w:pPr>
        <w:pStyle w:val="ListBullet"/>
        <w:keepNext/>
        <w:keepLines/>
      </w:pPr>
      <w:r>
        <w:rPr>
          <w:rFonts w:ascii="Aptos" w:hAnsi="Aptos" w:eastAsia="Aptos"/>
          <w:color w:val="000000"/>
          <w:sz w:val="21"/>
        </w:rPr>
        <w:t>Because PT carries by far the highest rate, any future rate compression specific to PT (e.g. competitive fee pressure) would not be captured, since the rate is held fixed under both legs.</w:t>
      </w:r>
    </w:p>
    <w:p>
      <w:pPr>
        <w:pStyle w:val="ListBullet"/>
        <w:keepNext w:val="0"/>
        <w:keepLines/>
      </w:pPr>
      <w:r>
        <w:rPr>
          <w:rFonts w:ascii="Aptos" w:hAnsi="Aptos" w:eastAsia="Aptos"/>
          <w:color w:val="000000"/>
          <w:sz w:val="21"/>
        </w:rPr>
        <w:t>The uniform 10% decline was calibrated using COVID-window data across all three segments together; no PT-specific sensitivity check was performed beyond noting its individual COVID drawdown.</w:t>
      </w:r>
    </w:p>
    <w:p>
      <w:pPr>
        <w:pStyle w:val="Heading2"/>
      </w:pPr>
      <w:r>
        <w:t>2.2 Trust - AUC Fee</w:t>
      </w:r>
    </w:p>
    <w:p>
      <w:r>
        <w:rPr>
          <w:rFonts w:ascii="Aptos" w:hAnsi="Aptos" w:eastAsia="Aptos"/>
          <w:i w:val="0"/>
          <w:color w:val="000000"/>
          <w:sz w:val="21"/>
        </w:rPr>
        <w:t>AUC fees are the custody-side counterpart to AUM fees within the trust fee line (TFO/IT/PT). AUC fee revenue is materially smaller than AUM fee revenue - less than 10% of the AUM fee amount - so unlike the AUM estimate, it is not worth the effort to model TFO, IT, and PT individually. Instead, AUC is estimated on a blended basis: a single balance-weighted rate applied to the total AUC balance, for both the baseline and stress legs.</w:t>
      </w:r>
    </w:p>
    <w:p>
      <w:pPr>
        <w:pStyle w:val="Heading3"/>
      </w:pPr>
      <w:r>
        <w:t>a. AUC Rates Are More Volatile Than AUM Rates</w:t>
      </w:r>
    </w:p>
    <w:p>
      <w:r>
        <w:rPr>
          <w:rFonts w:ascii="Aptos" w:hAnsi="Aptos" w:eastAsia="Aptos"/>
          <w:i w:val="0"/>
          <w:color w:val="000000"/>
          <w:sz w:val="21"/>
        </w:rPr>
        <w:t>All three AUC segment rates are more volatile than their AUM counterparts. PT is the least volatile of the three; IT is the most volatile. The driver is a mix shift: in January 2021, IT balance sharply increased while the IT rate sharply decreased, pulling the blended AUC rate down. This dynamic persisted through the end of 2022, when IT rates rose sharply and IT balance fell sharply before gradually recovering. A higher IT balance combined with a higher IT rate pushes the blended AUC rate up.</w:t>
      </w:r>
    </w:p>
    <w:p>
      <w:pPr>
        <w:pStyle w:val="Placeholder"/>
        <w:jc w:val="center"/>
      </w:pPr>
      <w:r>
        <w:rPr>
          <w:rFonts w:ascii="Aptos" w:hAnsi="Aptos" w:eastAsia="Aptos"/>
          <w:i/>
          <w:color w:val="666666"/>
          <w:sz w:val="20"/>
        </w:rPr>
        <w:t>[Insert Chart 2.3 AUC Rate by Type - Original location: Original Section 2-Concentrated MDD, Section 2.2(a) AUC Rates Are More Volatile Than AUM Rates; insert after the paragraph ending 'pushes the blended AUC rate up.']</w:t>
      </w:r>
    </w:p>
    <w:p>
      <w:pPr>
        <w:pStyle w:val="Placeholder"/>
        <w:jc w:val="center"/>
      </w:pPr>
      <w:r>
        <w:rPr>
          <w:rFonts w:ascii="Aptos" w:hAnsi="Aptos" w:eastAsia="Aptos"/>
          <w:i/>
          <w:color w:val="666666"/>
          <w:sz w:val="20"/>
        </w:rPr>
        <w:t>[Insert Chart 2.4 AUC Balance by Type - Original location: Original Section 2-Concentrated MDD, Section 2.2(a); insert immediately after Chart 2.3.]</w:t>
      </w:r>
    </w:p>
    <w:p>
      <w:pPr>
        <w:pStyle w:val="Placeholder"/>
        <w:jc w:val="center"/>
      </w:pPr>
      <w:r>
        <w:rPr>
          <w:rFonts w:ascii="Aptos" w:hAnsi="Aptos" w:eastAsia="Aptos"/>
          <w:i/>
          <w:color w:val="666666"/>
          <w:sz w:val="20"/>
        </w:rPr>
        <w:t>[Insert Chart 2.5 AUC Rate Overall - Original location: Original Section 2-Concentrated MDD, Section 2.2(a); insert after Chart 2.4 and before the balance-weighted aggregate AUC rate caption.]</w:t>
      </w:r>
    </w:p>
    <w:p>
      <w:r>
        <w:rPr>
          <w:rFonts w:ascii="Aptos" w:hAnsi="Aptos" w:eastAsia="Aptos"/>
          <w:i/>
          <w:color w:val="000000"/>
          <w:sz w:val="21"/>
        </w:rPr>
        <w:t>Balance weighted aggregate AUC rate. Oct 2019 - Dec 2025. The 2021-2022 dip and rebound reflects the IT balance/rate mix shift described above.</w:t>
      </w:r>
    </w:p>
    <w:p>
      <w:r>
        <w:rPr>
          <w:rFonts w:ascii="Aptos" w:hAnsi="Aptos" w:eastAsia="Aptos"/>
          <w:i w:val="0"/>
          <w:color w:val="000000"/>
          <w:sz w:val="21"/>
        </w:rPr>
        <w:t>Restricting the rate estimate to post-2023 data (which reflects a higher IT AUC balance) is, in fact, the conservative choice: any future decrease in IT AUC balance would likely shift into IT AUM instead (per discussion with Strategic Finance), driven by business flows, and AUM charges a materially higher rate than AUC. So keeping assets in the IT AUC bucket, as the post-2023 data does, is the lower-fee scenario relative to that alternative - any overstate using post-2023 data of the AUC fee is more than understated by the incremental AUM fee.</w:t>
      </w:r>
    </w:p>
    <w:p>
      <w:pPr>
        <w:pStyle w:val="Heading3"/>
      </w:pPr>
      <w:r>
        <w:t>b. Rate</w:t>
      </w:r>
    </w:p>
    <w:p>
      <w:r>
        <w:rPr>
          <w:rFonts w:ascii="Aptos" w:hAnsi="Aptos" w:eastAsia="Aptos"/>
          <w:i w:val="0"/>
          <w:color w:val="000000"/>
          <w:sz w:val="21"/>
        </w:rPr>
        <w:t>Using the full post-2023 window, the blended AUC rate average and standard deviation are:</w:t>
      </w:r>
    </w:p>
    <w:p>
      <w:pPr>
        <w:pStyle w:val="Placeholder"/>
        <w:jc w:val="center"/>
      </w:pPr>
      <w:r>
        <w:rPr>
          <w:rFonts w:ascii="Aptos" w:hAnsi="Aptos" w:eastAsia="Aptos"/>
          <w:i/>
          <w:color w:val="666666"/>
          <w:sz w:val="20"/>
        </w:rPr>
        <w:t>[Insert Table 2.8 Blended AUC Rate Summary - Original location: Original Section 2-Concentrated MDD, Section 2.2(b) Rate; insert after 'Using the full post-2023 window, the blended AUC rate average and standard deviation are' and before the paragraph beginning 'The post-2023 average.']</w:t>
      </w:r>
    </w:p>
    <w:p>
      <w:r>
        <w:rPr>
          <w:rFonts w:ascii="Aptos" w:hAnsi="Aptos" w:eastAsia="Aptos"/>
          <w:i w:val="0"/>
          <w:color w:val="000000"/>
          <w:sz w:val="21"/>
        </w:rPr>
        <w:t>The post-2023 average (0.0845%) is used as the baseline rate; post-2023 (average - 2 std dev) (0.0673%) is used as the stress rate. The full-history average and std dev are wider (0.0745%/0.0160%) due to the 2021-2022 mix-shift period discussed above - using full history for either scenario would let that mix-shift distortion leak into a rate that is meant to represent the current book, which is why post-2023 data is used for both legs.</w:t>
      </w:r>
    </w:p>
    <w:p>
      <w:pPr>
        <w:pStyle w:val="Heading3"/>
      </w:pPr>
      <w:r>
        <w:t>c. Balance</w:t>
      </w:r>
    </w:p>
    <w:p>
      <w:r>
        <w:rPr>
          <w:rFonts w:ascii="Aptos" w:hAnsi="Aptos" w:eastAsia="Aptos"/>
          <w:i w:val="0"/>
          <w:color w:val="000000"/>
          <w:sz w:val="21"/>
        </w:rPr>
        <w:t>Two amount related assumptions are used, mirroring the companion AUM report:</w:t>
      </w:r>
    </w:p>
    <w:p>
      <w:pPr>
        <w:pStyle w:val="ListBullet"/>
        <w:keepNext/>
        <w:keepLines/>
      </w:pPr>
      <w:r>
        <w:rPr>
          <w:rFonts w:ascii="Aptos" w:hAnsi="Aptos" w:eastAsia="Aptos"/>
          <w:color w:val="000000"/>
          <w:sz w:val="21"/>
        </w:rPr>
        <w:t>Baseline amount - linear trend fit to the recent 24 months (Jan 2024-Dec 2025) of total AUC balance, projected forward quarter by quarter across the 9-quarter horizon.</w:t>
      </w:r>
    </w:p>
    <w:p>
      <w:pPr>
        <w:pStyle w:val="ListBullet"/>
        <w:keepNext w:val="0"/>
        <w:keepLines/>
      </w:pPr>
      <w:r>
        <w:rPr>
          <w:rFonts w:ascii="Aptos" w:hAnsi="Aptos" w:eastAsia="Aptos"/>
          <w:color w:val="000000"/>
          <w:sz w:val="21"/>
        </w:rPr>
        <w:t>Stress amount - the recent 24-month average total AUC balance, stepped down by an explicit market-stress decline (see below) rather than held flat.</w:t>
      </w:r>
    </w:p>
    <w:p>
      <w:r>
        <w:rPr>
          <w:rFonts w:ascii="Aptos" w:hAnsi="Aptos" w:eastAsia="Aptos"/>
          <w:i w:val="0"/>
          <w:color w:val="000000"/>
          <w:sz w:val="21"/>
        </w:rPr>
        <w:t>Calibrating the decline: the recent 12-month window is too mild to calibrate a stress move on its own - the largest peak-to-trough drawdown of total AUC balance over that window was only -0.7%. Looking at full history, the largest AUC balance move was the Feb-Oct 2022 decline (total AUC balance -34.0%, driven mainly by IT AUC falling as rates rose sharply). However, per the same narrative established above, that decline was a business-driven mix shift rather than a market-stress event: it reflects assets moving from the IT AUC bucket into IT AUM as part of ordinary business flow, not assets losing value or leaving the firm. It is therefore excluded as a stress anchor, consistent with companion AUM report, which uses the same reasoning to exclude the mirror-image 2021 IT AUM drawdown.</w:t>
      </w:r>
    </w:p>
    <w:p>
      <w:r>
        <w:rPr>
          <w:rFonts w:ascii="Aptos" w:hAnsi="Aptos" w:eastAsia="Aptos"/>
          <w:i w:val="0"/>
          <w:color w:val="000000"/>
          <w:sz w:val="21"/>
        </w:rPr>
        <w:t>In the absence of a clean AUC-specific market-stress episode in this history, the AUC stress decline is set consistent with the AUM report's calibration - a uniform 10% peak decline, held flat for the first 6 quarters and phased out linearly over the final 3 quarters - rather than deriving a separate, AUC-specific severity from a move that is not actually a market-stress event.</w:t>
      </w:r>
    </w:p>
    <w:p>
      <w:pPr>
        <w:pStyle w:val="Placeholder"/>
        <w:jc w:val="center"/>
      </w:pPr>
      <w:r>
        <w:rPr>
          <w:rFonts w:ascii="Aptos" w:hAnsi="Aptos" w:eastAsia="Aptos"/>
          <w:i/>
          <w:color w:val="666666"/>
          <w:sz w:val="20"/>
        </w:rPr>
        <w:t>[Insert Table 2.9 AUC Stress Ramp Down Path - Original location: Original Section 2-Concentrated MDD, Section 2.2(c) Balance; insert after the paragraph ending 'not actually a market-stress event.']</w:t>
      </w:r>
    </w:p>
    <w:p>
      <w:pPr>
        <w:pStyle w:val="Placeholder"/>
        <w:jc w:val="center"/>
      </w:pPr>
      <w:r>
        <w:rPr>
          <w:rFonts w:ascii="Aptos" w:hAnsi="Aptos" w:eastAsia="Aptos"/>
          <w:i/>
          <w:color w:val="666666"/>
          <w:sz w:val="20"/>
        </w:rPr>
        <w:t>[Insert Table 2.10 Recent 24-month Average AUC Balance - Original location: Original Section 2-Concentrated MDD, Section 2.2(c) Balance; insert after Table 2.9 and before the sentence beginning 'The stress amount uses the total of these three.']</w:t>
      </w:r>
    </w:p>
    <w:p>
      <w:r>
        <w:rPr>
          <w:rFonts w:ascii="Aptos" w:hAnsi="Aptos" w:eastAsia="Aptos"/>
          <w:i w:val="0"/>
          <w:color w:val="000000"/>
          <w:sz w:val="21"/>
        </w:rPr>
        <w:t>The stress amount uses the total of these three ($3,924) as the starting point for the decline path.</w:t>
      </w:r>
    </w:p>
    <w:p>
      <w:pPr>
        <w:pStyle w:val="Placeholder"/>
        <w:jc w:val="center"/>
      </w:pPr>
      <w:r>
        <w:rPr>
          <w:rFonts w:ascii="Aptos" w:hAnsi="Aptos" w:eastAsia="Aptos"/>
          <w:i/>
          <w:color w:val="666666"/>
          <w:sz w:val="20"/>
        </w:rPr>
        <w:t>[Insert Table 2.11 AUC Balance Path under Baseline and Stress - Original location: Original Section 2-Concentrated MDD, Section 2.2(c) Balance; insert after 'The stress amount uses the total of these three ($3,924) as the starting point for the decline path' and before Section 2.2(d) Fee Path.]</w:t>
      </w:r>
    </w:p>
    <w:p>
      <w:pPr>
        <w:pStyle w:val="Heading3"/>
      </w:pPr>
      <w:r>
        <w:t>d. Fee Path</w:t>
      </w:r>
    </w:p>
    <w:p>
      <w:r>
        <w:rPr>
          <w:rFonts w:ascii="Aptos" w:hAnsi="Aptos" w:eastAsia="Aptos"/>
          <w:i w:val="0"/>
          <w:color w:val="000000"/>
          <w:sz w:val="21"/>
        </w:rPr>
        <w:t>AUC fee under each scenario, by quarter:</w:t>
      </w:r>
    </w:p>
    <w:p>
      <w:pPr>
        <w:pStyle w:val="Placeholder"/>
        <w:jc w:val="center"/>
      </w:pPr>
      <w:r>
        <w:rPr>
          <w:rFonts w:ascii="Aptos" w:hAnsi="Aptos" w:eastAsia="Aptos"/>
          <w:i/>
          <w:color w:val="666666"/>
          <w:sz w:val="20"/>
        </w:rPr>
        <w:t>[Insert Table 2.12 AUC Fee Path under Baseline and Stress - Original location: Original Section 2-Concentrated MDD, Section 2.2(d) Fee Path; insert after 'AUC fee under each scenario, by quarter' and before the first-year and nine-quarter fee summary.]</w:t>
      </w:r>
    </w:p>
    <w:p>
      <w:r>
        <w:rPr>
          <w:rFonts w:ascii="Aptos" w:hAnsi="Aptos" w:eastAsia="Aptos"/>
          <w:i w:val="0"/>
          <w:color w:val="000000"/>
          <w:sz w:val="21"/>
        </w:rPr>
        <w:t>PT baseline fee is approximately $4.9mm first year and $12.2mm for the 9 quarter horizon. The stress fee is $2.4mm first year and $5.4mm, respectively.</w:t>
      </w:r>
    </w:p>
    <w:p>
      <w:pPr>
        <w:pStyle w:val="Heading3"/>
      </w:pPr>
      <w:r>
        <w:t>e. Assumptions</w:t>
      </w:r>
    </w:p>
    <w:p>
      <w:pPr>
        <w:pStyle w:val="ListBullet"/>
        <w:keepNext/>
        <w:keepLines/>
      </w:pPr>
      <w:r>
        <w:rPr>
          <w:rFonts w:ascii="Aptos" w:hAnsi="Aptos" w:eastAsia="Aptos"/>
          <w:color w:val="000000"/>
          <w:sz w:val="21"/>
        </w:rPr>
        <w:t>The AUC stress decline is assumed to share the same 10% magnitude and phase in path as the companion AUM estimate, in the absence of any clean AUC-specific market-stress episode in the history.</w:t>
      </w:r>
    </w:p>
    <w:p>
      <w:pPr>
        <w:pStyle w:val="ListBullet"/>
        <w:keepNext w:val="0"/>
        <w:keepLines/>
      </w:pPr>
      <w:r>
        <w:rPr>
          <w:rFonts w:ascii="Aptos" w:hAnsi="Aptos" w:eastAsia="Aptos"/>
          <w:color w:val="000000"/>
          <w:sz w:val="21"/>
        </w:rPr>
        <w:t>Restricting the AUC rate estimate to post-2023 data is assumed to be the conservative choice, based on the assumption that any future decrease in IT AUC balance would shift into the higher-rate IT AUM bucket rather than leaving the firm.</w:t>
      </w:r>
    </w:p>
    <w:p>
      <w:pPr>
        <w:pStyle w:val="Heading3"/>
      </w:pPr>
      <w:r>
        <w:t>f. Limitations &amp; Weaknesses</w:t>
      </w:r>
    </w:p>
    <w:p>
      <w:pPr>
        <w:pStyle w:val="ListBullet"/>
        <w:keepNext/>
        <w:keepLines/>
      </w:pPr>
      <w:r>
        <w:rPr>
          <w:rFonts w:ascii="Aptos" w:hAnsi="Aptos" w:eastAsia="Aptos"/>
          <w:color w:val="000000"/>
          <w:sz w:val="21"/>
        </w:rPr>
        <w:t>The largest historical AUC balance move (Feb-Oct 2022, -34.0%) cannot be used as a stress anchor because it reflects a business-driven mix shift rather than a market-stress event, leaving no AUC-specific stress episode to calibrate against.</w:t>
      </w:r>
    </w:p>
    <w:p>
      <w:pPr>
        <w:pStyle w:val="ListBullet"/>
        <w:keepNext w:val="0"/>
        <w:keepLines/>
      </w:pPr>
      <w:r>
        <w:rPr>
          <w:rFonts w:ascii="Aptos" w:hAnsi="Aptos" w:eastAsia="Aptos"/>
          <w:color w:val="000000"/>
          <w:sz w:val="21"/>
        </w:rPr>
        <w:t>TFO, IT, and PT are not modelled individually for AUC (unlike for AUM), which sacrifices segment-level precision given the fee's small size (under 10% of the AUM fee).</w:t>
      </w:r>
    </w:p>
    <w:p>
      <w:pPr>
        <w:pStyle w:val="Heading2"/>
      </w:pPr>
      <w:r>
        <w:t>2.3 Asset Management Income</w:t>
      </w:r>
    </w:p>
    <w:p>
      <w:r>
        <w:rPr>
          <w:rFonts w:ascii="Aptos" w:hAnsi="Aptos" w:eastAsia="Aptos"/>
          <w:i w:val="0"/>
          <w:color w:val="000000"/>
          <w:sz w:val="21"/>
        </w:rPr>
        <w:t>Asset Management Income has three lines (Held Away, Broker, IA) that reconcile to GL 4976205. While there are rate, count and dollar volume data for Held Away, Broker, total average annual income is less than $1.8mm. In comparison, income from IA alone is $12mm per year. To simplify, it is decided that whatever the estimation from IA, it is scaled up by 1.5% to compensate for ignoring revenue from those two lines. IA is modeled directly off AUM / revenue history.</w:t>
      </w:r>
    </w:p>
    <w:p>
      <w:pPr>
        <w:pStyle w:val="Heading3"/>
      </w:pPr>
      <w:r>
        <w:t>a. Methodology</w:t>
      </w:r>
    </w:p>
    <w:p>
      <w:r>
        <w:rPr>
          <w:rFonts w:ascii="Aptos" w:hAnsi="Aptos" w:eastAsia="Aptos"/>
          <w:i w:val="0"/>
          <w:color w:val="000000"/>
          <w:sz w:val="21"/>
        </w:rPr>
        <w:t>The revenue/AUM yield has been remarkably stable at ~50 bps annualized (12.3 - 13.3 bps/quarter) for three straight years, while AUM (+40%) and account count (+12%) have both grown steadily. In baseline and stress, the flat trailing-twelve-month realized yield (50.22 bps annualized) is applied across the horizon.</w:t>
      </w:r>
    </w:p>
    <w:p>
      <w:pPr>
        <w:pStyle w:val="Heading3"/>
      </w:pPr>
      <w:r>
        <w:t>b. Balance</w:t>
      </w:r>
    </w:p>
    <w:p>
      <w:r>
        <w:rPr>
          <w:rFonts w:ascii="Aptos" w:hAnsi="Aptos" w:eastAsia="Aptos"/>
          <w:i w:val="0"/>
          <w:color w:val="000000"/>
          <w:sz w:val="21"/>
        </w:rPr>
        <w:t>IA revenue is primarily driven by asset values rather than account counts. Historical revenue movements have closely tracked changes in market levels, while the realized revenue yield has remained stable. Consistent with SSI feedback, projected IA balances are therefore linked directly to the S&amp;P 500 path under each macroeconomic scenario.</w:t>
      </w:r>
    </w:p>
    <w:p>
      <w:pPr>
        <w:pStyle w:val="Placeholder"/>
        <w:jc w:val="center"/>
      </w:pPr>
      <w:r>
        <w:rPr>
          <w:rFonts w:ascii="Aptos" w:hAnsi="Aptos" w:eastAsia="Aptos"/>
          <w:i/>
          <w:color w:val="666666"/>
          <w:sz w:val="20"/>
        </w:rPr>
        <w:t>[Insert Chart 2.6 IA AUM Month-over-Month Growth - Original location: Original Section 2-Concentrated MDD, Section 2.3(b) Balance; insert after the paragraph ending 'linked directly to the S&amp;P 500 path under each macroeconomic scenario.']</w:t>
      </w:r>
    </w:p>
    <w:p>
      <w:r>
        <w:rPr>
          <w:rFonts w:ascii="Aptos" w:hAnsi="Aptos" w:eastAsia="Aptos"/>
          <w:i w:val="0"/>
          <w:color w:val="000000"/>
          <w:sz w:val="21"/>
        </w:rPr>
        <w:t>Two balance assumptions are used:</w:t>
      </w:r>
    </w:p>
    <w:p>
      <w:pPr>
        <w:pStyle w:val="ListBullet"/>
        <w:keepNext/>
        <w:keepLines/>
      </w:pPr>
      <w:r>
        <w:rPr>
          <w:rFonts w:ascii="Aptos" w:hAnsi="Aptos" w:eastAsia="Aptos"/>
          <w:color w:val="000000"/>
          <w:sz w:val="21"/>
        </w:rPr>
        <w:t>Baseline balance - IA balances are projected using the quarter-over-quarter changes implied by the Scenario Consistent Baseline (January 2026) S&amp;P 500 index path.</w:t>
      </w:r>
    </w:p>
    <w:p>
      <w:pPr>
        <w:pStyle w:val="ListBullet"/>
        <w:keepNext w:val="0"/>
        <w:keepLines/>
      </w:pPr>
      <w:r>
        <w:rPr>
          <w:rFonts w:ascii="Aptos" w:hAnsi="Aptos" w:eastAsia="Aptos"/>
          <w:color w:val="000000"/>
          <w:sz w:val="21"/>
        </w:rPr>
        <w:t>Stress balance - IA balances are projected using the quarter-over-quarter changes implied by the S4 Alternative Scenario 4 (Downside - 96th Percentile) S&amp;P 500 index path.</w:t>
      </w:r>
    </w:p>
    <w:p>
      <w:r>
        <w:rPr>
          <w:rFonts w:ascii="Aptos" w:hAnsi="Aptos" w:eastAsia="Aptos"/>
          <w:i w:val="0"/>
          <w:color w:val="000000"/>
          <w:sz w:val="21"/>
        </w:rPr>
        <w:t>The projected balance evolves each quarter by applying the scenario-specific S&amp;P 500 percentage change to the prior quarter balance. This approach assumes that changes in fee-generating assets are primarily driven by market valuation effects rather than net flows.</w:t>
      </w:r>
    </w:p>
    <w:p>
      <w:r>
        <w:rPr>
          <w:rFonts w:ascii="Aptos" w:hAnsi="Aptos" w:eastAsia="Aptos"/>
          <w:i w:val="0"/>
          <w:color w:val="000000"/>
          <w:sz w:val="21"/>
        </w:rPr>
        <w:t>The resulting quarterly market shocks are:</w:t>
      </w:r>
    </w:p>
    <w:p>
      <w:pPr>
        <w:pStyle w:val="Placeholder"/>
        <w:jc w:val="center"/>
      </w:pPr>
      <w:r>
        <w:rPr>
          <w:rFonts w:ascii="Aptos" w:hAnsi="Aptos" w:eastAsia="Aptos"/>
          <w:i/>
          <w:color w:val="666666"/>
          <w:sz w:val="20"/>
        </w:rPr>
        <w:t>[Insert Table 2.13 Quarterly Market Shocks - Original location: Original Section 2-Concentrated MDD, Section 2.3(b) Balance; insert after 'The resulting quarterly market shocks are.']</w:t>
      </w:r>
    </w:p>
    <w:p>
      <w:r>
        <w:rPr>
          <w:rFonts w:ascii="Aptos" w:hAnsi="Aptos" w:eastAsia="Aptos"/>
          <w:i w:val="0"/>
          <w:color w:val="000000"/>
          <w:sz w:val="21"/>
        </w:rPr>
        <w:t>Applying these changes to the current IA asset base produces the following balance path:</w:t>
      </w:r>
    </w:p>
    <w:p>
      <w:pPr>
        <w:pStyle w:val="Placeholder"/>
        <w:jc w:val="center"/>
      </w:pPr>
      <w:r>
        <w:rPr>
          <w:rFonts w:ascii="Aptos" w:hAnsi="Aptos" w:eastAsia="Aptos"/>
          <w:i/>
          <w:color w:val="666666"/>
          <w:sz w:val="20"/>
        </w:rPr>
        <w:t>[Insert Table 2.14 IA Balance Path under Baseline and Stress - Original location: Original Section 2-Concentrated MDD, Section 2.3(b) Balance; insert after 'Applying these changes to the current IA asset base produces the following balance path' and before Section 2.3(c) Fee Path.]</w:t>
      </w:r>
    </w:p>
    <w:p>
      <w:pPr>
        <w:pStyle w:val="Heading3"/>
      </w:pPr>
      <w:r>
        <w:t>c. Fee Path</w:t>
      </w:r>
    </w:p>
    <w:p>
      <w:r>
        <w:rPr>
          <w:rFonts w:ascii="Aptos" w:hAnsi="Aptos" w:eastAsia="Aptos"/>
          <w:i w:val="0"/>
          <w:color w:val="000000"/>
          <w:sz w:val="21"/>
        </w:rPr>
        <w:t>Fee under each scenario, by quarter:</w:t>
      </w:r>
    </w:p>
    <w:p>
      <w:pPr>
        <w:pStyle w:val="Placeholder"/>
        <w:jc w:val="center"/>
      </w:pPr>
      <w:r>
        <w:rPr>
          <w:rFonts w:ascii="Aptos" w:hAnsi="Aptos" w:eastAsia="Aptos"/>
          <w:i/>
          <w:color w:val="666666"/>
          <w:sz w:val="20"/>
        </w:rPr>
        <w:t>[Insert Table 2.15 Asset Management Income Fee Path under Baseline and Stress - Original location: Original Section 2-Concentrated MDD, Section 2.3(c) Fee Path; insert after 'Fee under each scenario, by quarter' and before the first-year and nine-quarter fee summary.]</w:t>
      </w:r>
    </w:p>
    <w:p>
      <w:r>
        <w:rPr>
          <w:rFonts w:ascii="Aptos" w:hAnsi="Aptos" w:eastAsia="Aptos"/>
          <w:i w:val="0"/>
          <w:color w:val="000000"/>
          <w:sz w:val="21"/>
        </w:rPr>
        <w:t>Asset Management Income baseline fee is approximately $12.61mm for the first year and $28.26mm over the 9-quarter horizon. The stress fee is approximately $7.93mm for the first year and $16.11mm over the 9-quarter horizon, respectively.</w:t>
      </w:r>
    </w:p>
    <w:p>
      <w:r>
        <w:rPr>
          <w:rFonts w:ascii="Aptos" w:hAnsi="Aptos" w:eastAsia="Aptos"/>
          <w:i w:val="0"/>
          <w:color w:val="000000"/>
          <w:sz w:val="21"/>
        </w:rPr>
        <w:t>After applying the 1.5% adjustment, Asset Management Income baseline fee is approximately $12.80mm for the first year and $28.68mm over the 9-quarter horizon. The stress fee is approximately $8.05mm for the first year and $16.35mm over the 9-quarter horizon, respectively.</w:t>
      </w:r>
    </w:p>
    <w:p>
      <w:pPr>
        <w:pStyle w:val="Heading3"/>
      </w:pPr>
      <w:r>
        <w:t>d. Assumptions</w:t>
      </w:r>
    </w:p>
    <w:p>
      <w:pPr>
        <w:pStyle w:val="ListBullet"/>
        <w:keepNext/>
        <w:keepLines/>
      </w:pPr>
      <w:r>
        <w:rPr>
          <w:rFonts w:ascii="Aptos" w:hAnsi="Aptos" w:eastAsia="Aptos"/>
          <w:color w:val="000000"/>
          <w:sz w:val="21"/>
        </w:rPr>
        <w:t>Both baseline and stress case assume changes according to S&amp;P 500 change.</w:t>
      </w:r>
    </w:p>
    <w:p>
      <w:pPr>
        <w:pStyle w:val="ListBullet"/>
        <w:keepNext w:val="0"/>
        <w:keepLines/>
      </w:pPr>
      <w:r>
        <w:rPr>
          <w:rFonts w:ascii="Aptos" w:hAnsi="Aptos" w:eastAsia="Aptos"/>
          <w:color w:val="000000"/>
          <w:sz w:val="21"/>
        </w:rPr>
        <w:t>In baseline and stress, the flat trailing-twelve-month realized yield (50.22 bps annualized) is applied across the horizon.</w:t>
      </w:r>
    </w:p>
    <w:p>
      <w:pPr>
        <w:pStyle w:val="Heading3"/>
      </w:pPr>
      <w:r>
        <w:t>e. Limitations &amp; Weaknesses</w:t>
      </w:r>
    </w:p>
    <w:p>
      <w:pPr>
        <w:pStyle w:val="ListBullet"/>
        <w:keepNext w:val="0"/>
        <w:keepLines/>
      </w:pPr>
      <w:r>
        <w:rPr>
          <w:rFonts w:ascii="Aptos" w:hAnsi="Aptos" w:eastAsia="Aptos"/>
          <w:color w:val="000000"/>
          <w:sz w:val="21"/>
        </w:rPr>
        <w:t>The yield has been remarkably stable (~50 bps) for three straight years with no observed stress episode, so both the base assumption (yield flat) and stress assumption (0% compression) rely on a judgmental analogy rather than a directly observed downturn.</w:t>
      </w:r>
    </w:p>
    <w:p>
      <w:pPr>
        <w:pStyle w:val="Heading1"/>
      </w:pPr>
      <w:r>
        <w:t>3 Model Estimation</w:t>
      </w:r>
    </w:p>
    <w:p>
      <w:r>
        <w:rPr>
          <w:rFonts w:ascii="Aptos" w:hAnsi="Aptos" w:eastAsia="Aptos"/>
          <w:i w:val="0"/>
          <w:color w:val="000000"/>
          <w:sz w:val="21"/>
        </w:rPr>
        <w:t>Not Applicable. This section is intended primarily for models that use formal statistical estimation techniques. The Trust Fee Revenue Model does not use regression coefficients or another statistically estimated model structure. Its rates, balance paths, stress calibrations, and revenue yields are selected through a qualitative forecasting approach. Accordingly, variable-selection testing, statistical sample segmentation, coefficient estimates, t-statistics, p-values, and goodness-of-fit measures are not applicable.</w:t>
      </w:r>
    </w:p>
    <w:p>
      <w:r>
        <w:rPr>
          <w:rFonts w:ascii="Aptos" w:hAnsi="Aptos" w:eastAsia="Aptos"/>
          <w:i w:val="0"/>
          <w:color w:val="000000"/>
          <w:sz w:val="21"/>
        </w:rPr>
        <w:t>The sub-sections below document the design, theory, data, and estimation approach for each revenue component individually. Because each component's qualitative stress estimation approach integrates data considerations, methodology, and estimation results into a single narrative, that full narrative is presented together here rather than split across Sections 2-4. Section 3 (Model Estimation) and Section 4 (Model Development Data) cross-reference these sub-sections rather than duplicating their content.</w:t>
      </w:r>
    </w:p>
    <w:p>
      <w:r>
        <w:rPr>
          <w:rFonts w:ascii="Aptos" w:hAnsi="Aptos" w:eastAsia="Aptos"/>
          <w:i w:val="0"/>
          <w:color w:val="000000"/>
          <w:sz w:val="21"/>
        </w:rPr>
        <w:t>The complete qualitative estimation approach and the rationale for the selected assumptions are documented in Section 2. Section 2.1 covers Trust AUM fees, Section 2.2 covers Trust AUC fees, and Section 2.3 covers Asset Management Income.</w:t>
      </w:r>
    </w:p>
    <w:p>
      <w:pPr>
        <w:pStyle w:val="Heading1"/>
      </w:pPr>
      <w:r>
        <w:t>4 Model Development Data</w:t>
      </w:r>
    </w:p>
    <w:p>
      <w:r>
        <w:rPr>
          <w:rFonts w:ascii="Aptos" w:hAnsi="Aptos" w:eastAsia="Aptos"/>
          <w:i w:val="0"/>
          <w:color w:val="000000"/>
          <w:sz w:val="21"/>
        </w:rPr>
        <w:t>Section 2 describes the historical observations used to develop the qualitative forecasting approach. The Data Owner will complete the source, lineage, quality, preparation, and control information below. These items remain open because the supporting source data and data-process documentation were not provided for this draft.</w:t>
      </w:r>
    </w:p>
    <w:p>
      <w:pPr>
        <w:pStyle w:val="Heading2"/>
      </w:pPr>
      <w:r>
        <w:t>4.1 Data Scope and Coverage</w:t>
      </w:r>
    </w:p>
    <w:p>
      <w:pPr>
        <w:pStyle w:val="ToConfirm"/>
      </w:pPr>
      <w:r>
        <w:rPr>
          <w:rFonts w:ascii="Aptos" w:hAnsi="Aptos" w:eastAsia="Aptos"/>
          <w:i/>
          <w:color w:val="4F4F4F"/>
          <w:sz w:val="20"/>
        </w:rPr>
        <w:t>[To be completed by Data Owner: describe each development dataset, including the products, exposures, risks, fields, and time periods represented. Identify the datasets supporting TFO, IT, and PT AUM; aggregate AUC; IA balances; fee rates; revenue yields; and scenario paths.]</w:t>
      </w:r>
    </w:p>
    <w:p>
      <w:pPr>
        <w:pStyle w:val="Heading2"/>
      </w:pPr>
      <w:r>
        <w:t>4.2 Data Sources and Lineage</w:t>
      </w:r>
    </w:p>
    <w:p>
      <w:pPr>
        <w:pStyle w:val="ToConfirm"/>
      </w:pPr>
      <w:r>
        <w:rPr>
          <w:rFonts w:ascii="Aptos" w:hAnsi="Aptos" w:eastAsia="Aptos"/>
          <w:i/>
          <w:color w:val="4F4F4F"/>
          <w:sz w:val="20"/>
        </w:rPr>
        <w:t>[To be completed by Data Owner: identify the authoritative business and general-ledger sources, source-system names, report names, data owners, extraction dates, shared-drive paths, and the lineage from each source through the model workbook.]</w:t>
      </w:r>
    </w:p>
    <w:p>
      <w:pPr>
        <w:pStyle w:val="Heading2"/>
      </w:pPr>
      <w:r>
        <w:t>4.3 Data Appropriateness Relevance and Sufficiency</w:t>
      </w:r>
    </w:p>
    <w:p>
      <w:pPr>
        <w:pStyle w:val="ToConfirm"/>
      </w:pPr>
      <w:r>
        <w:rPr>
          <w:rFonts w:ascii="Aptos" w:hAnsi="Aptos" w:eastAsia="Aptos"/>
          <w:i/>
          <w:color w:val="4F4F4F"/>
          <w:sz w:val="20"/>
        </w:rPr>
        <w:t>[To be completed by Data Owner: explain why the available history is appropriate and sufficient for the model's intended use, why it represents the maximum reliable history currently available, and how the limited history affects the use of a qualitative approach.]</w:t>
      </w:r>
    </w:p>
    <w:p>
      <w:pPr>
        <w:pStyle w:val="Heading2"/>
      </w:pPr>
      <w:r>
        <w:t>4.4 Data Quality Completeness and Accuracy</w:t>
      </w:r>
    </w:p>
    <w:p>
      <w:pPr>
        <w:pStyle w:val="ToConfirm"/>
      </w:pPr>
      <w:r>
        <w:rPr>
          <w:rFonts w:ascii="Aptos" w:hAnsi="Aptos" w:eastAsia="Aptos"/>
          <w:i/>
          <w:color w:val="4F4F4F"/>
          <w:sz w:val="20"/>
        </w:rPr>
        <w:t>[To be completed by Data Owner: document the data-quality assessment, reconciliation results, completeness checks, reasonableness reviews, reviewer or approver, evidence retained, and controls used to prevent or detect errors. Cross-reference the relevant reconciliations and observations in Section 2 where applicable.]</w:t>
      </w:r>
    </w:p>
    <w:p>
      <w:pPr>
        <w:pStyle w:val="Heading2"/>
      </w:pPr>
      <w:r>
        <w:t>4.5 Data Dictionary</w:t>
      </w:r>
    </w:p>
    <w:p>
      <w:pPr>
        <w:pStyle w:val="ToConfirm"/>
      </w:pPr>
      <w:r>
        <w:rPr>
          <w:rFonts w:ascii="Aptos" w:hAnsi="Aptos" w:eastAsia="Aptos"/>
          <w:i/>
          <w:color w:val="4F4F4F"/>
          <w:sz w:val="20"/>
        </w:rPr>
        <w:t>[To be completed by Data Owner: provide or cross-reference a data dictionary with field definitions, formats, units, allowable values, ranges, source fields, transformations, and ownership.]</w:t>
      </w:r>
    </w:p>
    <w:p>
      <w:pPr>
        <w:pStyle w:val="Heading2"/>
      </w:pPr>
      <w:r>
        <w:t>4.6 Data Collection and Preparation</w:t>
      </w:r>
    </w:p>
    <w:p>
      <w:pPr>
        <w:pStyle w:val="ToConfirm"/>
      </w:pPr>
      <w:r>
        <w:rPr>
          <w:rFonts w:ascii="Aptos" w:hAnsi="Aptos" w:eastAsia="Aptos"/>
          <w:i/>
          <w:color w:val="4F4F4F"/>
          <w:sz w:val="20"/>
        </w:rPr>
        <w:t>[To be completed by Data Owner: describe how data is obtained from business operations or product reports, who prepares it, the extraction and aggregation steps, review controls, timing, and how the prepared data is loaded into the model.]</w:t>
      </w:r>
    </w:p>
    <w:p>
      <w:pPr>
        <w:pStyle w:val="Heading2"/>
      </w:pPr>
      <w:r>
        <w:t>4.7 Sampling Inclusion and Exclusion</w:t>
      </w:r>
    </w:p>
    <w:p>
      <w:pPr>
        <w:pStyle w:val="ToConfirm"/>
      </w:pPr>
      <w:r>
        <w:rPr>
          <w:rFonts w:ascii="Aptos" w:hAnsi="Aptos" w:eastAsia="Aptos"/>
          <w:i/>
          <w:color w:val="4F4F4F"/>
          <w:sz w:val="20"/>
        </w:rPr>
        <w:t>[To be completed by Data Owner: confirm whether statistical sampling or development and testing dataset separation is used. Document inclusion and exclusion criteria and the rationale for excluding any observations, including business-driven AUM and AUC reclassifications discussed in Section 2.]</w:t>
      </w:r>
    </w:p>
    <w:p>
      <w:pPr>
        <w:pStyle w:val="Heading2"/>
      </w:pPr>
      <w:r>
        <w:t>4.8 Missing Data Outliers Enhancements and Overlays</w:t>
      </w:r>
    </w:p>
    <w:p>
      <w:pPr>
        <w:pStyle w:val="ToConfirm"/>
      </w:pPr>
      <w:r>
        <w:rPr>
          <w:rFonts w:ascii="Aptos" w:hAnsi="Aptos" w:eastAsia="Aptos"/>
          <w:i/>
          <w:color w:val="4F4F4F"/>
          <w:sz w:val="20"/>
        </w:rPr>
        <w:t>[To be completed by Data Owner: confirm the current notes that there is no missing data, no data enhancement, and no data overlay. If confirmed, describe the checks supporting those conclusions. Otherwise, document missing-data treatment, outlier handling, scrubbing, enhancement, or expert judgment applied to the data.]</w:t>
      </w:r>
    </w:p>
    <w:p>
      <w:pPr>
        <w:pStyle w:val="Heading2"/>
      </w:pPr>
      <w:r>
        <w:t>4.9 Adjustments and Transformations</w:t>
      </w:r>
    </w:p>
    <w:p>
      <w:pPr>
        <w:pStyle w:val="ToConfirm"/>
      </w:pPr>
      <w:r>
        <w:rPr>
          <w:rFonts w:ascii="Aptos" w:hAnsi="Aptos" w:eastAsia="Aptos"/>
          <w:i/>
          <w:color w:val="4F4F4F"/>
          <w:sz w:val="20"/>
        </w:rPr>
        <w:t>[To be completed by Data Owner: document all adjustments and transformations used to construct the development data, including trailing averages, balance weighting, aggregation, reclassification treatment, and any manual adjustments.]</w:t>
      </w:r>
    </w:p>
    <w:p>
      <w:pPr>
        <w:pStyle w:val="Heading2"/>
      </w:pPr>
      <w:r>
        <w:t>4.10 External Data and Scenario Inputs</w:t>
      </w:r>
    </w:p>
    <w:p>
      <w:pPr>
        <w:pStyle w:val="ToConfirm"/>
      </w:pPr>
      <w:r>
        <w:rPr>
          <w:rFonts w:ascii="Aptos" w:hAnsi="Aptos" w:eastAsia="Aptos"/>
          <w:i/>
          <w:color w:val="4F4F4F"/>
          <w:sz w:val="20"/>
        </w:rPr>
        <w:t>[To be completed by Data Owner: identify external data and scenario inputs, including the S&amp;P 500 paths, and explain their source, version, appropriateness, relevance, approval, and controls.]</w:t>
      </w:r>
    </w:p>
    <w:p>
      <w:pPr>
        <w:pStyle w:val="Heading2"/>
      </w:pPr>
      <w:r>
        <w:t>4.11 Data Assumptions Limitations and Alternatives</w:t>
      </w:r>
    </w:p>
    <w:p>
      <w:pPr>
        <w:pStyle w:val="ToConfirm"/>
      </w:pPr>
      <w:r>
        <w:rPr>
          <w:rFonts w:ascii="Aptos" w:hAnsi="Aptos" w:eastAsia="Aptos"/>
          <w:i/>
          <w:color w:val="4F4F4F"/>
          <w:sz w:val="20"/>
        </w:rPr>
        <w:t>[To be completed by Data Owner: document data assumptions, the limitations created by the short history, potential effects on model outputs, alternative data sources considered, availability constraints, and why alternative sources were not selected.]</w:t>
      </w:r>
    </w:p>
    <w:p>
      <w:pPr>
        <w:pStyle w:val="Heading1"/>
      </w:pPr>
      <w:r>
        <w:t>5 Linkages with Other Models</w:t>
      </w:r>
    </w:p>
    <w:p>
      <w:r>
        <w:rPr>
          <w:rFonts w:ascii="Aptos" w:hAnsi="Aptos" w:eastAsia="Aptos"/>
          <w:i w:val="0"/>
          <w:color w:val="000000"/>
          <w:sz w:val="21"/>
        </w:rPr>
        <w:t>Not Applicable. No upstream feeder model, downstream model, or model-to-model linkage has been identified for the Trust Fee Revenue Model, and the model is not identified as a feeder model for another model.</w:t>
      </w:r>
    </w:p>
    <w:p>
      <w:r>
        <w:rPr>
          <w:rFonts w:ascii="Aptos" w:hAnsi="Aptos" w:eastAsia="Aptos"/>
          <w:i w:val="0"/>
          <w:color w:val="000000"/>
          <w:sz w:val="21"/>
        </w:rPr>
        <w:t>The model uses business data, general-ledger information, and S&amp;P 500 scenario paths as input dependencies. These inputs are treated as data or scenario dependencies rather than model linkages.</w:t>
      </w:r>
    </w:p>
    <w:p>
      <w:pPr>
        <w:pStyle w:val="ToConfirm"/>
      </w:pPr>
      <w:r>
        <w:rPr>
          <w:rFonts w:ascii="Aptos" w:hAnsi="Aptos" w:eastAsia="Aptos"/>
          <w:i/>
          <w:color w:val="4F4F4F"/>
          <w:sz w:val="20"/>
        </w:rPr>
        <w:t>[To be completed by Model Owner and Data Owner: confirm that no model linkage exists, confirm the BWise GRC classification, and provide the shared-drive paths and ownership information for the scenario and data dependencies.]</w:t>
      </w:r>
    </w:p>
    <w:p>
      <w:pPr>
        <w:pStyle w:val="Heading1"/>
      </w:pPr>
      <w:r>
        <w:t>6 Model Testing</w:t>
      </w:r>
    </w:p>
    <w:p>
      <w:pPr>
        <w:pStyle w:val="Heading2"/>
      </w:pPr>
      <w:r>
        <w:t>6.1 Testing Approach</w:t>
      </w:r>
    </w:p>
    <w:p>
      <w:r>
        <w:rPr>
          <w:rFonts w:ascii="Aptos" w:hAnsi="Aptos" w:eastAsia="Aptos"/>
          <w:i w:val="0"/>
          <w:color w:val="000000"/>
          <w:sz w:val="21"/>
        </w:rPr>
        <w:t>The Trust Fee Revenue Model uses a qualitative forecasting approach rather than a statistically estimated model. Formal in-sample and out-of-sample coefficient testing is therefore not applicable. Development testing should demonstrate that the calculations operate as intended, the selected assumptions are applied consistently, the baseline and stress outputs are reasonable, and known limitations are understood.</w:t>
      </w:r>
    </w:p>
    <w:p>
      <w:pPr>
        <w:pStyle w:val="ToConfirm"/>
      </w:pPr>
      <w:r>
        <w:rPr>
          <w:rFonts w:ascii="Aptos" w:hAnsi="Aptos" w:eastAsia="Aptos"/>
          <w:i/>
          <w:color w:val="4F4F4F"/>
          <w:sz w:val="20"/>
        </w:rPr>
        <w:t>[To be completed by Model Developer: document the spreadsheet calculation checks, formula reviews, independent recalculations, source-to-output reconciliations, review evidence, evaluation criteria, and testing conclusions.]</w:t>
      </w:r>
    </w:p>
    <w:p>
      <w:pPr>
        <w:pStyle w:val="Heading2"/>
      </w:pPr>
      <w:r>
        <w:t>6.2 Baseline and Stress Output Comparison</w:t>
      </w:r>
    </w:p>
    <w:p>
      <w:r>
        <w:rPr>
          <w:rFonts w:ascii="Aptos" w:hAnsi="Aptos" w:eastAsia="Aptos"/>
          <w:i w:val="0"/>
          <w:color w:val="000000"/>
          <w:sz w:val="21"/>
        </w:rPr>
        <w:t>The baseline and stress output paths are presented with their supporting methodology in Section 2. The original locations are preserved in the corresponding figure and table placeholders.</w:t>
      </w:r>
    </w:p>
    <w:p>
      <w:pPr>
        <w:pStyle w:val="ListBullet"/>
        <w:keepNext/>
        <w:keepLines/>
      </w:pPr>
      <w:r>
        <w:rPr>
          <w:rFonts w:ascii="Aptos" w:hAnsi="Aptos" w:eastAsia="Aptos"/>
          <w:color w:val="000000"/>
          <w:sz w:val="21"/>
        </w:rPr>
        <w:t>TFO AUM Fee: Section 2.1.1(c) reports approximately $28.0mm for the first baseline year and $66.3mm over nine quarters, compared with $18.8mm and $42.7mm under stress.</w:t>
      </w:r>
    </w:p>
    <w:p>
      <w:pPr>
        <w:pStyle w:val="ListBullet"/>
        <w:keepNext/>
        <w:keepLines/>
      </w:pPr>
      <w:r>
        <w:rPr>
          <w:rFonts w:ascii="Aptos" w:hAnsi="Aptos" w:eastAsia="Aptos"/>
          <w:color w:val="000000"/>
          <w:sz w:val="21"/>
        </w:rPr>
        <w:t>IT AUM Fee: Section 2.1.2(c) reports approximately $8.2mm for the first baseline year and $19.6mm over nine quarters, compared with $5.2mm and $11.7mm under stress.</w:t>
      </w:r>
    </w:p>
    <w:p>
      <w:pPr>
        <w:pStyle w:val="ListBullet"/>
        <w:keepNext/>
        <w:keepLines/>
      </w:pPr>
      <w:r>
        <w:rPr>
          <w:rFonts w:ascii="Aptos" w:hAnsi="Aptos" w:eastAsia="Aptos"/>
          <w:color w:val="000000"/>
          <w:sz w:val="21"/>
        </w:rPr>
        <w:t>PT AUM Fee: Section 2.1.3(c) reports approximately $34.5mm for the first baseline year and $80.7mm over nine quarters, compared with $26.2mm and $59.3mm under stress.</w:t>
      </w:r>
    </w:p>
    <w:p>
      <w:pPr>
        <w:pStyle w:val="ListBullet"/>
        <w:keepNext/>
        <w:keepLines/>
      </w:pPr>
      <w:r>
        <w:rPr>
          <w:rFonts w:ascii="Aptos" w:hAnsi="Aptos" w:eastAsia="Aptos"/>
          <w:color w:val="000000"/>
          <w:sz w:val="21"/>
        </w:rPr>
        <w:t>Trust AUC Fee: Section 2.2(d) reports approximately $4.9mm for the first baseline year and $12.2mm over nine quarters, compared with $2.4mm and $5.4mm under stress. The source narrative labels the baseline amount as 'PT baseline fee'; confirm that the intended label is 'AUC baseline fee.'</w:t>
      </w:r>
    </w:p>
    <w:p>
      <w:pPr>
        <w:pStyle w:val="ListBullet"/>
        <w:keepNext w:val="0"/>
        <w:keepLines/>
      </w:pPr>
      <w:r>
        <w:rPr>
          <w:rFonts w:ascii="Aptos" w:hAnsi="Aptos" w:eastAsia="Aptos"/>
          <w:color w:val="000000"/>
          <w:sz w:val="21"/>
        </w:rPr>
        <w:t>Asset Management Income: Section 2.3(c) reports approximately $12.61mm for the first baseline year and $28.26mm over nine quarters, compared with $7.93mm and $16.11mm under stress. After the 1.5% adjustment, the reported amounts are $12.80mm and $28.68mm for baseline and $8.05mm and $16.35mm for stress.</w:t>
      </w:r>
    </w:p>
    <w:p>
      <w:pPr>
        <w:pStyle w:val="Heading2"/>
      </w:pPr>
      <w:r>
        <w:t>6.3 Sensitivity and Stress Testing</w:t>
      </w:r>
    </w:p>
    <w:p>
      <w:r>
        <w:rPr>
          <w:rFonts w:ascii="Aptos" w:hAnsi="Aptos" w:eastAsia="Aptos"/>
          <w:i w:val="0"/>
          <w:color w:val="000000"/>
          <w:sz w:val="21"/>
        </w:rPr>
        <w:t>Section 2 documents the stress assumptions applied to AUM balances, AUC balances, fee rates, and Asset Management Income. The baseline-to-stress comparisons demonstrate the model's response to the selected stress calibration.</w:t>
      </w:r>
    </w:p>
    <w:p>
      <w:pPr>
        <w:pStyle w:val="ToConfirm"/>
      </w:pPr>
      <w:r>
        <w:rPr>
          <w:rFonts w:ascii="Aptos" w:hAnsi="Aptos" w:eastAsia="Aptos"/>
          <w:i/>
          <w:color w:val="4F4F4F"/>
          <w:sz w:val="20"/>
        </w:rPr>
        <w:t>[To be completed by Model Developer: provide any additional one-variable sensitivity analysis, alternative calibration results, evaluation criteria, and conclusions. If no additional sensitivity analysis was performed, explain why the baseline-to-stress comparison is sufficient for this qualitative model.]</w:t>
      </w:r>
    </w:p>
    <w:p>
      <w:pPr>
        <w:pStyle w:val="Heading2"/>
      </w:pPr>
      <w:r>
        <w:t>6.4 Diagnostics and Benchmarking</w:t>
      </w:r>
    </w:p>
    <w:p>
      <w:r>
        <w:rPr>
          <w:rFonts w:ascii="Aptos" w:hAnsi="Aptos" w:eastAsia="Aptos"/>
          <w:i w:val="0"/>
          <w:color w:val="000000"/>
          <w:sz w:val="21"/>
        </w:rPr>
        <w:t>Not Applicable for formal statistical diagnostics because the model does not estimate regression coefficients or rely on a statistical model fit. No benchmark or alternative-model results were included in the supporting material.</w:t>
      </w:r>
    </w:p>
    <w:p>
      <w:pPr>
        <w:pStyle w:val="ToConfirm"/>
      </w:pPr>
      <w:r>
        <w:rPr>
          <w:rFonts w:ascii="Aptos" w:hAnsi="Aptos" w:eastAsia="Aptos"/>
          <w:i/>
          <w:color w:val="4F4F4F"/>
          <w:sz w:val="20"/>
        </w:rPr>
        <w:t>[To be completed by Model Developer: confirm whether any business benchmark, independent estimate, or alternative methodology was evaluated and document the results or the reason no benchmark is available.]</w:t>
      </w:r>
    </w:p>
    <w:p>
      <w:pPr>
        <w:pStyle w:val="Heading2"/>
      </w:pPr>
      <w:r>
        <w:t>6.5 Forecast Accuracy and Back Testing</w:t>
      </w:r>
    </w:p>
    <w:p>
      <w:pPr>
        <w:pStyle w:val="ToConfirm"/>
      </w:pPr>
      <w:r>
        <w:rPr>
          <w:rFonts w:ascii="Aptos" w:hAnsi="Aptos" w:eastAsia="Aptos"/>
          <w:i/>
          <w:color w:val="4F4F4F"/>
          <w:sz w:val="20"/>
        </w:rPr>
        <w:t>[To be completed by Model Developer and Model Owner: compare realized revenue with forecasted revenue when actual results become available. Document the period, forecast vintage, variance measures, thresholds, root-cause analysis, and conclusion.]</w:t>
      </w:r>
    </w:p>
    <w:p>
      <w:pPr>
        <w:pStyle w:val="Heading2"/>
      </w:pPr>
      <w:r>
        <w:t>6.6 Model User Acceptance Testing</w:t>
      </w:r>
    </w:p>
    <w:p>
      <w:pPr>
        <w:pStyle w:val="ToConfirm"/>
      </w:pPr>
      <w:r>
        <w:rPr>
          <w:rFonts w:ascii="Aptos" w:hAnsi="Aptos" w:eastAsia="Aptos"/>
          <w:i/>
          <w:color w:val="4F4F4F"/>
          <w:sz w:val="20"/>
        </w:rPr>
        <w:t>[To be completed by Model Owner: provide the model-user acceptance-test scope, tester, date, expected results, exceptions, remediation, and approval evidence before implementation.]</w:t>
      </w:r>
    </w:p>
    <w:p>
      <w:pPr>
        <w:pStyle w:val="Heading2"/>
      </w:pPr>
      <w:r>
        <w:t>6.7 Testing Conclusion</w:t>
      </w:r>
    </w:p>
    <w:p>
      <w:pPr>
        <w:pStyle w:val="ToConfirm"/>
      </w:pPr>
      <w:r>
        <w:rPr>
          <w:rFonts w:ascii="Aptos" w:hAnsi="Aptos" w:eastAsia="Aptos"/>
          <w:i/>
          <w:color w:val="4F4F4F"/>
          <w:sz w:val="20"/>
        </w:rPr>
        <w:t>[To be completed by Model Developer: state whether development testing supports the conclusion that the model performs as intended and identify any open testing issues that must be resolved before implementation.]</w:t>
      </w:r>
    </w:p>
    <w:p>
      <w:pPr>
        <w:pStyle w:val="Heading1"/>
      </w:pPr>
      <w:r>
        <w:t>7 Model Implementation</w:t>
      </w:r>
    </w:p>
    <w:p>
      <w:pPr>
        <w:pStyle w:val="Heading2"/>
      </w:pPr>
      <w:r>
        <w:t>7.1 Implementation Status</w:t>
      </w:r>
    </w:p>
    <w:p>
      <w:r>
        <w:rPr>
          <w:rFonts w:ascii="Aptos" w:hAnsi="Aptos" w:eastAsia="Aptos"/>
          <w:i w:val="0"/>
          <w:color w:val="000000"/>
          <w:sz w:val="21"/>
        </w:rPr>
        <w:t>The model has not yet been implemented in production. This section will be completed when the production implementation is available. The section is retained so that implementation evidence and controls can be documented before the model is used in production.</w:t>
      </w:r>
    </w:p>
    <w:p>
      <w:pPr>
        <w:pStyle w:val="Heading2"/>
      </w:pPr>
      <w:r>
        <w:t>7.2 Implementation Platform</w:t>
      </w:r>
    </w:p>
    <w:p>
      <w:pPr>
        <w:pStyle w:val="ToConfirm"/>
      </w:pPr>
      <w:r>
        <w:rPr>
          <w:rFonts w:ascii="Aptos" w:hAnsi="Aptos" w:eastAsia="Aptos"/>
          <w:i/>
          <w:color w:val="4F4F4F"/>
          <w:sz w:val="20"/>
        </w:rPr>
        <w:t>[To be completed by Model Owner and Model Developer: confirm whether the model is implemented in a spreadsheet or another platform. Provide the workbook or application name, version, controlled location, production owner, and implementation date.]</w:t>
      </w:r>
    </w:p>
    <w:p>
      <w:pPr>
        <w:pStyle w:val="Heading2"/>
      </w:pPr>
      <w:r>
        <w:t>7.3 Implementation Process and Verification</w:t>
      </w:r>
    </w:p>
    <w:p>
      <w:pPr>
        <w:pStyle w:val="ToConfirm"/>
      </w:pPr>
      <w:r>
        <w:rPr>
          <w:rFonts w:ascii="Aptos" w:hAnsi="Aptos" w:eastAsia="Aptos"/>
          <w:i/>
          <w:color w:val="4F4F4F"/>
          <w:sz w:val="20"/>
        </w:rPr>
        <w:t>[To be completed by Model Developer: document the migration or deployment steps and demonstrate that the implemented model is the same model that was developed, tested, and approved. Include comparison results, exceptions, remediation, and sign-off.]</w:t>
      </w:r>
    </w:p>
    <w:p>
      <w:pPr>
        <w:pStyle w:val="Heading2"/>
      </w:pPr>
      <w:r>
        <w:t>7.4 Post Implementation Controls</w:t>
      </w:r>
    </w:p>
    <w:p>
      <w:pPr>
        <w:pStyle w:val="ToConfirm"/>
      </w:pPr>
      <w:r>
        <w:rPr>
          <w:rFonts w:ascii="Aptos" w:hAnsi="Aptos" w:eastAsia="Aptos"/>
          <w:i/>
          <w:color w:val="4F4F4F"/>
          <w:sz w:val="20"/>
        </w:rPr>
        <w:t>[To be completed by Model Owner: document version control, change control, access permissions, segregation of duties, quality assurance, quality control, backup and recovery, and any physical or logical security controls.]</w:t>
      </w:r>
    </w:p>
    <w:p>
      <w:pPr>
        <w:pStyle w:val="Heading2"/>
      </w:pPr>
      <w:r>
        <w:t>7.5 Model Output Overlays and Expert Judgment</w:t>
      </w:r>
    </w:p>
    <w:p>
      <w:pPr>
        <w:pStyle w:val="ToConfirm"/>
      </w:pPr>
      <w:r>
        <w:rPr>
          <w:rFonts w:ascii="Aptos" w:hAnsi="Aptos" w:eastAsia="Aptos"/>
          <w:i/>
          <w:color w:val="4F4F4F"/>
          <w:sz w:val="20"/>
        </w:rPr>
        <w:t>[To be completed by Model Owner: confirm whether any overlay or expert-judgment adjustment may be applied to final model outputs. If applicable, document the rationale, approval, amount, duration, monitoring, and removal criteria. If none are permitted, state that conclusion and the supporting control.]</w:t>
      </w:r>
    </w:p>
    <w:p>
      <w:pPr>
        <w:pStyle w:val="Heading2"/>
      </w:pPr>
      <w:r>
        <w:t>7.6 Vendor Implementation</w:t>
      </w:r>
    </w:p>
    <w:p>
      <w:pPr>
        <w:pStyle w:val="ToConfirm"/>
      </w:pPr>
      <w:r>
        <w:rPr>
          <w:rFonts w:ascii="Aptos" w:hAnsi="Aptos" w:eastAsia="Aptos"/>
          <w:i/>
          <w:color w:val="4F4F4F"/>
          <w:sz w:val="20"/>
        </w:rPr>
        <w:t>[To be completed by Model Owner: confirm whether the model is developed internally. If it is not a vendor model, state 'Not Applicable' with that reason. If a vendor component exists, document implementation verification and vendor-specific controls.]</w:t>
      </w:r>
    </w:p>
    <w:p>
      <w:pPr>
        <w:pStyle w:val="Heading1"/>
      </w:pPr>
      <w:r>
        <w:t>8 Model Monitoring</w:t>
      </w:r>
    </w:p>
    <w:p>
      <w:pPr>
        <w:pStyle w:val="Heading2"/>
      </w:pPr>
      <w:r>
        <w:t>8.1 Purpose of Monitoring</w:t>
      </w:r>
    </w:p>
    <w:p>
      <w:r>
        <w:rPr>
          <w:rFonts w:ascii="Aptos" w:hAnsi="Aptos" w:eastAsia="Aptos"/>
          <w:i w:val="0"/>
          <w:color w:val="000000"/>
          <w:sz w:val="21"/>
        </w:rPr>
        <w:t>The purpose of ongoing model monitoring is to ensure the Trust Fee Revenue model continues to perform as intended after implementation and remains appropriate for its stated use in PPNR stress testing. Monitoring is intended to identify model deterioration, changes in business conditions, shifts in underlying revenue drivers, breaches of key assumptions, implementation issues, and other factors that could materially affect model outputs.</w:t>
      </w:r>
    </w:p>
    <w:p>
      <w:r>
        <w:rPr>
          <w:rFonts w:ascii="Aptos" w:hAnsi="Aptos" w:eastAsia="Aptos"/>
          <w:i w:val="0"/>
          <w:color w:val="000000"/>
          <w:sz w:val="21"/>
        </w:rPr>
        <w:t>Monitoring activities evaluate the continued appropriateness of model inputs, assumptions, methodologies, outputs, and operational processes. Results are used to determine whether the model remains fit for purpose, requires recalibration, or requires redevelopment.</w:t>
      </w:r>
    </w:p>
    <w:p>
      <w:pPr>
        <w:pStyle w:val="Heading2"/>
      </w:pPr>
      <w:r>
        <w:t>8.2 Monitoring Philosophy</w:t>
      </w:r>
    </w:p>
    <w:p>
      <w:r>
        <w:rPr>
          <w:rFonts w:ascii="Aptos" w:hAnsi="Aptos" w:eastAsia="Aptos"/>
          <w:i w:val="0"/>
          <w:color w:val="000000"/>
          <w:sz w:val="21"/>
        </w:rPr>
        <w:t>This model is primarily a qualitative forecasting framework that combines observed Trust business metrics with judgmental assumptions regarding balance growth, fee rates, and stress sensitivities. Because the model does not rely on econometric estimation techniques, monitoring focuses on:</w:t>
      </w:r>
    </w:p>
    <w:p>
      <w:pPr>
        <w:pStyle w:val="ListBullet"/>
        <w:keepNext/>
        <w:keepLines/>
      </w:pPr>
      <w:r>
        <w:rPr>
          <w:rFonts w:ascii="Aptos" w:hAnsi="Aptos" w:eastAsia="Aptos"/>
          <w:color w:val="000000"/>
          <w:sz w:val="21"/>
        </w:rPr>
        <w:t>Stability and quality of inputs.</w:t>
      </w:r>
    </w:p>
    <w:p>
      <w:pPr>
        <w:pStyle w:val="ListBullet"/>
        <w:keepNext/>
        <w:keepLines/>
      </w:pPr>
      <w:r>
        <w:rPr>
          <w:rFonts w:ascii="Aptos" w:hAnsi="Aptos" w:eastAsia="Aptos"/>
          <w:color w:val="000000"/>
          <w:sz w:val="21"/>
        </w:rPr>
        <w:t>Accuracy and reasonableness of projected revenues.</w:t>
      </w:r>
    </w:p>
    <w:p>
      <w:pPr>
        <w:pStyle w:val="ListBullet"/>
        <w:keepNext/>
        <w:keepLines/>
      </w:pPr>
      <w:r>
        <w:rPr>
          <w:rFonts w:ascii="Aptos" w:hAnsi="Aptos" w:eastAsia="Aptos"/>
          <w:color w:val="000000"/>
          <w:sz w:val="21"/>
        </w:rPr>
        <w:t>Continued validity of key assumptions.</w:t>
      </w:r>
    </w:p>
    <w:p>
      <w:pPr>
        <w:pStyle w:val="ListBullet"/>
        <w:keepNext/>
        <w:keepLines/>
      </w:pPr>
      <w:r>
        <w:rPr>
          <w:rFonts w:ascii="Aptos" w:hAnsi="Aptos" w:eastAsia="Aptos"/>
          <w:color w:val="000000"/>
          <w:sz w:val="21"/>
        </w:rPr>
        <w:t>Stability of revenue-to-balance relationships.</w:t>
      </w:r>
    </w:p>
    <w:p>
      <w:pPr>
        <w:pStyle w:val="ListBullet"/>
        <w:keepNext/>
        <w:keepLines/>
      </w:pPr>
      <w:r>
        <w:rPr>
          <w:rFonts w:ascii="Aptos" w:hAnsi="Aptos" w:eastAsia="Aptos"/>
          <w:color w:val="000000"/>
          <w:sz w:val="21"/>
        </w:rPr>
        <w:t>Evaluation of model limitations.</w:t>
      </w:r>
    </w:p>
    <w:p>
      <w:pPr>
        <w:pStyle w:val="ListBullet"/>
        <w:keepNext w:val="0"/>
        <w:keepLines/>
      </w:pPr>
      <w:r>
        <w:rPr>
          <w:rFonts w:ascii="Aptos" w:hAnsi="Aptos" w:eastAsia="Aptos"/>
          <w:color w:val="000000"/>
          <w:sz w:val="21"/>
        </w:rPr>
        <w:t>Review of any overlays or expert judgment.</w:t>
      </w:r>
    </w:p>
    <w:p>
      <w:r>
        <w:rPr>
          <w:rFonts w:ascii="Aptos" w:hAnsi="Aptos" w:eastAsia="Aptos"/>
          <w:i w:val="0"/>
          <w:color w:val="000000"/>
          <w:sz w:val="21"/>
        </w:rPr>
        <w:t>Monitoring seeks to identify both gradual deterioration and sudden structural changes in business conditions. Particular attention will be given to:</w:t>
      </w:r>
    </w:p>
    <w:p>
      <w:pPr>
        <w:pStyle w:val="ListBullet"/>
        <w:keepNext/>
        <w:keepLines/>
      </w:pPr>
      <w:r>
        <w:rPr>
          <w:rFonts w:ascii="Aptos" w:hAnsi="Aptos" w:eastAsia="Aptos"/>
          <w:color w:val="000000"/>
          <w:sz w:val="21"/>
        </w:rPr>
        <w:t>Changes in Trust fee pricing.</w:t>
      </w:r>
    </w:p>
    <w:p>
      <w:pPr>
        <w:pStyle w:val="ListBullet"/>
        <w:keepNext/>
        <w:keepLines/>
      </w:pPr>
      <w:r>
        <w:rPr>
          <w:rFonts w:ascii="Aptos" w:hAnsi="Aptos" w:eastAsia="Aptos"/>
          <w:color w:val="000000"/>
          <w:sz w:val="21"/>
        </w:rPr>
        <w:t>Significant shifts in AUM or AUC growth trends.</w:t>
      </w:r>
    </w:p>
    <w:p>
      <w:pPr>
        <w:pStyle w:val="ListBullet"/>
        <w:keepNext/>
        <w:keepLines/>
      </w:pPr>
      <w:r>
        <w:rPr>
          <w:rFonts w:ascii="Aptos" w:hAnsi="Aptos" w:eastAsia="Aptos"/>
          <w:color w:val="000000"/>
          <w:sz w:val="21"/>
        </w:rPr>
        <w:t>Changes in asset allocation or product mix.</w:t>
      </w:r>
    </w:p>
    <w:p>
      <w:pPr>
        <w:pStyle w:val="ListBullet"/>
        <w:keepNext/>
        <w:keepLines/>
      </w:pPr>
      <w:r>
        <w:rPr>
          <w:rFonts w:ascii="Aptos" w:hAnsi="Aptos" w:eastAsia="Aptos"/>
          <w:color w:val="000000"/>
          <w:sz w:val="21"/>
        </w:rPr>
        <w:t>Material deviations between projected and realized Trust fee revenue.</w:t>
      </w:r>
    </w:p>
    <w:p>
      <w:pPr>
        <w:pStyle w:val="ListBullet"/>
        <w:keepNext w:val="0"/>
        <w:keepLines/>
      </w:pPr>
      <w:r>
        <w:rPr>
          <w:rFonts w:ascii="Aptos" w:hAnsi="Aptos" w:eastAsia="Aptos"/>
          <w:color w:val="000000"/>
          <w:sz w:val="21"/>
        </w:rPr>
        <w:t>Significant changes in capital market conditions affecting Asset Management Income.</w:t>
      </w:r>
    </w:p>
    <w:p>
      <w:pPr>
        <w:pStyle w:val="Heading2"/>
      </w:pPr>
      <w:r>
        <w:t>8.3 Monitoring Roles and Responsibilities</w:t>
      </w:r>
    </w:p>
    <w:p>
      <w:pPr>
        <w:pStyle w:val="Heading3"/>
      </w:pPr>
      <w:r>
        <w:t>Model Owner</w:t>
      </w:r>
    </w:p>
    <w:p>
      <w:r>
        <w:rPr>
          <w:rFonts w:ascii="Aptos" w:hAnsi="Aptos" w:eastAsia="Aptos"/>
          <w:i w:val="0"/>
          <w:color w:val="000000"/>
          <w:sz w:val="21"/>
        </w:rPr>
        <w:t>The Model Owner is responsible for overall model performance oversight and ensuring monitoring activities are completed timely.</w:t>
      </w:r>
    </w:p>
    <w:p>
      <w:r>
        <w:rPr>
          <w:rFonts w:ascii="Aptos" w:hAnsi="Aptos" w:eastAsia="Aptos"/>
          <w:i w:val="0"/>
          <w:color w:val="000000"/>
          <w:sz w:val="21"/>
        </w:rPr>
        <w:t>Responsibilities include:</w:t>
      </w:r>
    </w:p>
    <w:p>
      <w:pPr>
        <w:pStyle w:val="ListBullet"/>
        <w:keepNext/>
        <w:keepLines/>
      </w:pPr>
      <w:r>
        <w:rPr>
          <w:rFonts w:ascii="Aptos" w:hAnsi="Aptos" w:eastAsia="Aptos"/>
          <w:color w:val="000000"/>
          <w:sz w:val="21"/>
        </w:rPr>
        <w:t>Reviewing monitoring results.</w:t>
      </w:r>
    </w:p>
    <w:p>
      <w:pPr>
        <w:pStyle w:val="ListBullet"/>
        <w:keepNext/>
        <w:keepLines/>
      </w:pPr>
      <w:r>
        <w:rPr>
          <w:rFonts w:ascii="Aptos" w:hAnsi="Aptos" w:eastAsia="Aptos"/>
          <w:color w:val="000000"/>
          <w:sz w:val="21"/>
        </w:rPr>
        <w:t>Assessing significance of identified issues.</w:t>
      </w:r>
    </w:p>
    <w:p>
      <w:pPr>
        <w:pStyle w:val="ListBullet"/>
        <w:keepNext/>
        <w:keepLines/>
      </w:pPr>
      <w:r>
        <w:rPr>
          <w:rFonts w:ascii="Aptos" w:hAnsi="Aptos" w:eastAsia="Aptos"/>
          <w:color w:val="000000"/>
          <w:sz w:val="21"/>
        </w:rPr>
        <w:t>Approving remediation actions.</w:t>
      </w:r>
    </w:p>
    <w:p>
      <w:pPr>
        <w:pStyle w:val="ListBullet"/>
        <w:keepNext/>
        <w:keepLines/>
      </w:pPr>
      <w:r>
        <w:rPr>
          <w:rFonts w:ascii="Aptos" w:hAnsi="Aptos" w:eastAsia="Aptos"/>
          <w:color w:val="000000"/>
          <w:sz w:val="21"/>
        </w:rPr>
        <w:t>Maintaining model documentation.</w:t>
      </w:r>
    </w:p>
    <w:p>
      <w:pPr>
        <w:pStyle w:val="ListBullet"/>
        <w:keepNext w:val="0"/>
        <w:keepLines/>
      </w:pPr>
      <w:r>
        <w:rPr>
          <w:rFonts w:ascii="Aptos" w:hAnsi="Aptos" w:eastAsia="Aptos"/>
          <w:color w:val="000000"/>
          <w:sz w:val="21"/>
        </w:rPr>
        <w:t>Escalating material issues to management and MRM.</w:t>
      </w:r>
    </w:p>
    <w:p>
      <w:pPr>
        <w:pStyle w:val="Heading3"/>
      </w:pPr>
      <w:r>
        <w:t>Model Developer</w:t>
      </w:r>
    </w:p>
    <w:p>
      <w:r>
        <w:rPr>
          <w:rFonts w:ascii="Aptos" w:hAnsi="Aptos" w:eastAsia="Aptos"/>
          <w:i w:val="0"/>
          <w:color w:val="000000"/>
          <w:sz w:val="21"/>
        </w:rPr>
        <w:t>The Model Developer is responsible for performing the monitoring activities and producing monitoring reports.</w:t>
      </w:r>
    </w:p>
    <w:p>
      <w:r>
        <w:rPr>
          <w:rFonts w:ascii="Aptos" w:hAnsi="Aptos" w:eastAsia="Aptos"/>
          <w:i w:val="0"/>
          <w:color w:val="000000"/>
          <w:sz w:val="21"/>
        </w:rPr>
        <w:t>Responsibilities include:</w:t>
      </w:r>
    </w:p>
    <w:p>
      <w:pPr>
        <w:pStyle w:val="ListBullet"/>
        <w:keepNext/>
        <w:keepLines/>
      </w:pPr>
      <w:r>
        <w:rPr>
          <w:rFonts w:ascii="Aptos" w:hAnsi="Aptos" w:eastAsia="Aptos"/>
          <w:color w:val="000000"/>
          <w:sz w:val="21"/>
        </w:rPr>
        <w:t>Collecting monitoring data.</w:t>
      </w:r>
    </w:p>
    <w:p>
      <w:pPr>
        <w:pStyle w:val="ListBullet"/>
        <w:keepNext/>
        <w:keepLines/>
      </w:pPr>
      <w:r>
        <w:rPr>
          <w:rFonts w:ascii="Aptos" w:hAnsi="Aptos" w:eastAsia="Aptos"/>
          <w:color w:val="000000"/>
          <w:sz w:val="21"/>
        </w:rPr>
        <w:t>Performing monitoring calculations and tests.</w:t>
      </w:r>
    </w:p>
    <w:p>
      <w:pPr>
        <w:pStyle w:val="ListBullet"/>
        <w:keepNext/>
        <w:keepLines/>
      </w:pPr>
      <w:r>
        <w:rPr>
          <w:rFonts w:ascii="Aptos" w:hAnsi="Aptos" w:eastAsia="Aptos"/>
          <w:color w:val="000000"/>
          <w:sz w:val="21"/>
        </w:rPr>
        <w:t>Investigating threshold breaches.</w:t>
      </w:r>
    </w:p>
    <w:p>
      <w:pPr>
        <w:pStyle w:val="ListBullet"/>
        <w:keepNext/>
        <w:keepLines/>
      </w:pPr>
      <w:r>
        <w:rPr>
          <w:rFonts w:ascii="Aptos" w:hAnsi="Aptos" w:eastAsia="Aptos"/>
          <w:color w:val="000000"/>
          <w:sz w:val="21"/>
        </w:rPr>
        <w:t>Recommending remediation actions.</w:t>
      </w:r>
    </w:p>
    <w:p>
      <w:pPr>
        <w:pStyle w:val="ListBullet"/>
        <w:keepNext/>
        <w:keepLines/>
      </w:pPr>
      <w:r>
        <w:rPr>
          <w:rFonts w:ascii="Aptos" w:hAnsi="Aptos" w:eastAsia="Aptos"/>
          <w:color w:val="000000"/>
          <w:sz w:val="21"/>
        </w:rPr>
        <w:t>Updating model assumptions when appropriate.</w:t>
      </w:r>
    </w:p>
    <w:p>
      <w:pPr>
        <w:pStyle w:val="ListBullet"/>
        <w:keepNext w:val="0"/>
        <w:keepLines/>
      </w:pPr>
      <w:r>
        <w:rPr>
          <w:rFonts w:ascii="Aptos" w:hAnsi="Aptos" w:eastAsia="Aptos"/>
          <w:color w:val="000000"/>
          <w:sz w:val="21"/>
        </w:rPr>
        <w:t>Report any observed data, processing, or output anomalies.</w:t>
      </w:r>
    </w:p>
    <w:p>
      <w:pPr>
        <w:pStyle w:val="Heading3"/>
      </w:pPr>
      <w:r>
        <w:t>Model User</w:t>
      </w:r>
    </w:p>
    <w:p>
      <w:r>
        <w:rPr>
          <w:rFonts w:ascii="Aptos" w:hAnsi="Aptos" w:eastAsia="Aptos"/>
          <w:i w:val="0"/>
          <w:color w:val="000000"/>
          <w:sz w:val="21"/>
        </w:rPr>
        <w:t>Strategic Finance and Capital Planning are responsible for reviewing monitoring results.</w:t>
      </w:r>
    </w:p>
    <w:p>
      <w:pPr>
        <w:pStyle w:val="Heading3"/>
      </w:pPr>
      <w:r>
        <w:t>Independent Reviewer</w:t>
      </w:r>
    </w:p>
    <w:p>
      <w:r>
        <w:rPr>
          <w:rFonts w:ascii="Aptos" w:hAnsi="Aptos" w:eastAsia="Aptos"/>
          <w:i w:val="0"/>
          <w:color w:val="000000"/>
          <w:sz w:val="21"/>
        </w:rPr>
        <w:t>Model Risk Management (MRM) is responsible for reviewing monitoring results and evaluating whether the model remains fit for purpose.</w:t>
      </w:r>
    </w:p>
    <w:p>
      <w:pPr>
        <w:pStyle w:val="Heading2"/>
      </w:pPr>
      <w:r>
        <w:t>8.4 Monitoring Frequency</w:t>
      </w:r>
    </w:p>
    <w:p>
      <w:r>
        <w:rPr>
          <w:rFonts w:ascii="Aptos" w:hAnsi="Aptos" w:eastAsia="Aptos"/>
          <w:i w:val="0"/>
          <w:color w:val="000000"/>
          <w:sz w:val="21"/>
        </w:rPr>
        <w:t>Monitoring will be performed at least semi-annually.</w:t>
      </w:r>
    </w:p>
    <w:p>
      <w:r>
        <w:rPr>
          <w:rFonts w:ascii="Aptos" w:hAnsi="Aptos" w:eastAsia="Aptos"/>
          <w:i w:val="0"/>
          <w:color w:val="000000"/>
          <w:sz w:val="21"/>
        </w:rPr>
        <w:t>Certain monitoring activities may be performed more frequently when new CCAR forecasts are produced or when material economic or business changes occur.</w:t>
      </w:r>
    </w:p>
    <w:p>
      <w:r>
        <w:rPr>
          <w:rFonts w:ascii="Aptos" w:hAnsi="Aptos" w:eastAsia="Aptos"/>
          <w:i w:val="0"/>
          <w:color w:val="000000"/>
          <w:sz w:val="21"/>
        </w:rPr>
        <w:t>The standard monitoring cycle consists of:</w:t>
      </w:r>
    </w:p>
    <w:p>
      <w:pPr>
        <w:pStyle w:val="ListBullet"/>
        <w:keepNext/>
        <w:keepLines/>
      </w:pPr>
      <w:r>
        <w:rPr>
          <w:rFonts w:ascii="Aptos" w:hAnsi="Aptos" w:eastAsia="Aptos"/>
          <w:color w:val="000000"/>
          <w:sz w:val="21"/>
        </w:rPr>
        <w:t>Semi-annual monitoring review.</w:t>
      </w:r>
    </w:p>
    <w:p>
      <w:pPr>
        <w:pStyle w:val="ListBullet"/>
        <w:keepNext/>
        <w:keepLines/>
      </w:pPr>
      <w:r>
        <w:rPr>
          <w:rFonts w:ascii="Aptos" w:hAnsi="Aptos" w:eastAsia="Aptos"/>
          <w:color w:val="000000"/>
          <w:sz w:val="21"/>
        </w:rPr>
        <w:t>Annual comprehensive monitoring assessment.</w:t>
      </w:r>
    </w:p>
    <w:p>
      <w:pPr>
        <w:pStyle w:val="ListBullet"/>
        <w:keepNext w:val="0"/>
        <w:keepLines/>
      </w:pPr>
      <w:r>
        <w:rPr>
          <w:rFonts w:ascii="Aptos" w:hAnsi="Aptos" w:eastAsia="Aptos"/>
          <w:color w:val="000000"/>
          <w:sz w:val="21"/>
        </w:rPr>
        <w:t>Ad hoc reviews following material business, regulatory, or methodology changes.</w:t>
      </w:r>
    </w:p>
    <w:p>
      <w:r>
        <w:rPr>
          <w:rFonts w:ascii="Aptos" w:hAnsi="Aptos" w:eastAsia="Aptos"/>
          <w:i w:val="0"/>
          <w:color w:val="000000"/>
          <w:sz w:val="21"/>
        </w:rPr>
        <w:t>Monitoring results will be documented and retained in accordance with Model Risk Management standards.</w:t>
      </w:r>
    </w:p>
    <w:p>
      <w:pPr>
        <w:pStyle w:val="Heading2"/>
      </w:pPr>
      <w:r>
        <w:t>8.5 Components of Monitoring</w:t>
      </w:r>
    </w:p>
    <w:p>
      <w:r>
        <w:rPr>
          <w:rFonts w:ascii="Aptos" w:hAnsi="Aptos" w:eastAsia="Aptos"/>
          <w:i w:val="0"/>
          <w:color w:val="000000"/>
          <w:sz w:val="21"/>
        </w:rPr>
        <w:t>During monitoring, input and output stability, model output accuracy, model robustness, overlay, assumptions and limitations will be vetted.</w:t>
      </w:r>
    </w:p>
    <w:p>
      <w:pPr>
        <w:pStyle w:val="Heading3"/>
      </w:pPr>
      <w:r>
        <w:t>8.5.1 Input Stability Monitoring</w:t>
      </w:r>
    </w:p>
    <w:p>
      <w:r>
        <w:rPr>
          <w:rFonts w:ascii="Aptos" w:hAnsi="Aptos" w:eastAsia="Aptos"/>
          <w:i w:val="0"/>
          <w:color w:val="000000"/>
          <w:sz w:val="21"/>
        </w:rPr>
        <w:t>Input monitoring evaluates whether key model drivers remain consistent with historical behavior.</w:t>
      </w:r>
    </w:p>
    <w:p>
      <w:r>
        <w:rPr>
          <w:rFonts w:ascii="Aptos" w:hAnsi="Aptos" w:eastAsia="Aptos"/>
          <w:i w:val="0"/>
          <w:color w:val="000000"/>
          <w:sz w:val="21"/>
        </w:rPr>
        <w:t>Key inputs include:</w:t>
      </w:r>
    </w:p>
    <w:p>
      <w:pPr>
        <w:pStyle w:val="ListBullet"/>
        <w:keepNext/>
        <w:keepLines/>
      </w:pPr>
      <w:r>
        <w:rPr>
          <w:rFonts w:ascii="Aptos" w:hAnsi="Aptos" w:eastAsia="Aptos"/>
          <w:color w:val="000000"/>
          <w:sz w:val="21"/>
        </w:rPr>
        <w:t>TFO AUM balances.</w:t>
      </w:r>
    </w:p>
    <w:p>
      <w:pPr>
        <w:pStyle w:val="ListBullet"/>
        <w:keepNext/>
        <w:keepLines/>
      </w:pPr>
      <w:r>
        <w:rPr>
          <w:rFonts w:ascii="Aptos" w:hAnsi="Aptos" w:eastAsia="Aptos"/>
          <w:color w:val="000000"/>
          <w:sz w:val="21"/>
        </w:rPr>
        <w:t>IT AUM balances.</w:t>
      </w:r>
    </w:p>
    <w:p>
      <w:pPr>
        <w:pStyle w:val="ListBullet"/>
        <w:keepNext/>
        <w:keepLines/>
      </w:pPr>
      <w:r>
        <w:rPr>
          <w:rFonts w:ascii="Aptos" w:hAnsi="Aptos" w:eastAsia="Aptos"/>
          <w:color w:val="000000"/>
          <w:sz w:val="21"/>
        </w:rPr>
        <w:t>PT AUM balances.</w:t>
      </w:r>
    </w:p>
    <w:p>
      <w:pPr>
        <w:pStyle w:val="ListBullet"/>
        <w:keepNext/>
        <w:keepLines/>
      </w:pPr>
      <w:r>
        <w:rPr>
          <w:rFonts w:ascii="Aptos" w:hAnsi="Aptos" w:eastAsia="Aptos"/>
          <w:color w:val="000000"/>
          <w:sz w:val="21"/>
        </w:rPr>
        <w:t>Aggregate AUC balances.</w:t>
      </w:r>
    </w:p>
    <w:p>
      <w:pPr>
        <w:pStyle w:val="ListBullet"/>
        <w:keepNext/>
        <w:keepLines/>
      </w:pPr>
      <w:r>
        <w:rPr>
          <w:rFonts w:ascii="Aptos" w:hAnsi="Aptos" w:eastAsia="Aptos"/>
          <w:color w:val="000000"/>
          <w:sz w:val="21"/>
        </w:rPr>
        <w:t>AUM fee rates.</w:t>
      </w:r>
    </w:p>
    <w:p>
      <w:pPr>
        <w:pStyle w:val="ListBullet"/>
        <w:keepNext/>
        <w:keepLines/>
      </w:pPr>
      <w:r>
        <w:rPr>
          <w:rFonts w:ascii="Aptos" w:hAnsi="Aptos" w:eastAsia="Aptos"/>
          <w:color w:val="000000"/>
          <w:sz w:val="21"/>
        </w:rPr>
        <w:t>AUC fee rates.</w:t>
      </w:r>
    </w:p>
    <w:p>
      <w:pPr>
        <w:pStyle w:val="ListBullet"/>
        <w:keepNext/>
        <w:keepLines/>
      </w:pPr>
      <w:r>
        <w:rPr>
          <w:rFonts w:ascii="Aptos" w:hAnsi="Aptos" w:eastAsia="Aptos"/>
          <w:color w:val="000000"/>
          <w:sz w:val="21"/>
        </w:rPr>
        <w:t>IA balances.</w:t>
      </w:r>
    </w:p>
    <w:p>
      <w:pPr>
        <w:pStyle w:val="ListBullet"/>
        <w:keepNext/>
        <w:keepLines/>
      </w:pPr>
      <w:r>
        <w:rPr>
          <w:rFonts w:ascii="Aptos" w:hAnsi="Aptos" w:eastAsia="Aptos"/>
          <w:color w:val="000000"/>
          <w:sz w:val="21"/>
        </w:rPr>
        <w:t>IA revenue yield.</w:t>
      </w:r>
    </w:p>
    <w:p>
      <w:pPr>
        <w:pStyle w:val="ListBullet"/>
        <w:keepNext w:val="0"/>
        <w:keepLines/>
      </w:pPr>
      <w:r>
        <w:rPr>
          <w:rFonts w:ascii="Aptos" w:hAnsi="Aptos" w:eastAsia="Aptos"/>
          <w:color w:val="000000"/>
          <w:sz w:val="21"/>
        </w:rPr>
        <w:t>S&amp;P 500 scenario paths.</w:t>
      </w:r>
    </w:p>
    <w:p>
      <w:r>
        <w:rPr>
          <w:rFonts w:ascii="Aptos" w:hAnsi="Aptos" w:eastAsia="Aptos"/>
          <w:i w:val="0"/>
          <w:color w:val="000000"/>
          <w:sz w:val="21"/>
        </w:rPr>
        <w:t>Monitoring tests include:</w:t>
      </w:r>
    </w:p>
    <w:p>
      <w:pPr>
        <w:pStyle w:val="ListBullet"/>
        <w:keepNext/>
        <w:keepLines/>
      </w:pPr>
      <w:r>
        <w:rPr>
          <w:rFonts w:ascii="Aptos" w:hAnsi="Aptos" w:eastAsia="Aptos"/>
          <w:color w:val="000000"/>
          <w:sz w:val="21"/>
        </w:rPr>
        <w:t>Growth trend analysis.</w:t>
      </w:r>
    </w:p>
    <w:p>
      <w:pPr>
        <w:pStyle w:val="ListBullet"/>
        <w:keepNext/>
        <w:keepLines/>
      </w:pPr>
      <w:r>
        <w:rPr>
          <w:rFonts w:ascii="Aptos" w:hAnsi="Aptos" w:eastAsia="Aptos"/>
          <w:color w:val="000000"/>
          <w:sz w:val="21"/>
        </w:rPr>
        <w:t>Historical range comparison.</w:t>
      </w:r>
    </w:p>
    <w:p>
      <w:pPr>
        <w:pStyle w:val="ListBullet"/>
        <w:keepNext/>
        <w:keepLines/>
      </w:pPr>
      <w:r>
        <w:rPr>
          <w:rFonts w:ascii="Aptos" w:hAnsi="Aptos" w:eastAsia="Aptos"/>
          <w:color w:val="000000"/>
          <w:sz w:val="21"/>
        </w:rPr>
        <w:t>Volatility analysis.</w:t>
      </w:r>
    </w:p>
    <w:p>
      <w:pPr>
        <w:pStyle w:val="ListBullet"/>
        <w:keepNext w:val="0"/>
        <w:keepLines/>
      </w:pPr>
      <w:r>
        <w:rPr>
          <w:rFonts w:ascii="Aptos" w:hAnsi="Aptos" w:eastAsia="Aptos"/>
          <w:color w:val="000000"/>
          <w:sz w:val="21"/>
        </w:rPr>
        <w:t>Identification of structural breaks.</w:t>
      </w:r>
    </w:p>
    <w:p>
      <w:r>
        <w:rPr>
          <w:rFonts w:ascii="Aptos" w:hAnsi="Aptos" w:eastAsia="Aptos"/>
          <w:i w:val="0"/>
          <w:color w:val="000000"/>
          <w:sz w:val="21"/>
        </w:rPr>
        <w:t>Significant deviations from historical behavior will be investigated to determine whether assumptions remain appropriate.</w:t>
      </w:r>
    </w:p>
    <w:p>
      <w:pPr>
        <w:pStyle w:val="Heading3"/>
      </w:pPr>
      <w:r>
        <w:t>8.5.2 Output Stability Monitoring</w:t>
      </w:r>
    </w:p>
    <w:p>
      <w:r>
        <w:rPr>
          <w:rFonts w:ascii="Aptos" w:hAnsi="Aptos" w:eastAsia="Aptos"/>
          <w:i w:val="0"/>
          <w:color w:val="000000"/>
          <w:sz w:val="21"/>
        </w:rPr>
        <w:t>Output monitoring evaluates changes in projected revenue estimates over time.</w:t>
      </w:r>
    </w:p>
    <w:p>
      <w:r>
        <w:rPr>
          <w:rFonts w:ascii="Aptos" w:hAnsi="Aptos" w:eastAsia="Aptos"/>
          <w:i w:val="0"/>
          <w:color w:val="000000"/>
          <w:sz w:val="21"/>
        </w:rPr>
        <w:t>Monitoring will assess:</w:t>
      </w:r>
    </w:p>
    <w:p>
      <w:pPr>
        <w:pStyle w:val="ListBullet"/>
        <w:keepNext/>
        <w:keepLines/>
      </w:pPr>
      <w:r>
        <w:rPr>
          <w:rFonts w:ascii="Aptos" w:hAnsi="Aptos" w:eastAsia="Aptos"/>
          <w:color w:val="000000"/>
          <w:sz w:val="21"/>
        </w:rPr>
        <w:t>Total Trust fee revenue.</w:t>
      </w:r>
    </w:p>
    <w:p>
      <w:pPr>
        <w:pStyle w:val="ListBullet"/>
        <w:keepNext/>
        <w:keepLines/>
      </w:pPr>
      <w:r>
        <w:rPr>
          <w:rFonts w:ascii="Aptos" w:hAnsi="Aptos" w:eastAsia="Aptos"/>
          <w:color w:val="000000"/>
          <w:sz w:val="21"/>
        </w:rPr>
        <w:t>AUM fee revenue.</w:t>
      </w:r>
    </w:p>
    <w:p>
      <w:pPr>
        <w:pStyle w:val="ListBullet"/>
        <w:keepNext/>
        <w:keepLines/>
      </w:pPr>
      <w:r>
        <w:rPr>
          <w:rFonts w:ascii="Aptos" w:hAnsi="Aptos" w:eastAsia="Aptos"/>
          <w:color w:val="000000"/>
          <w:sz w:val="21"/>
        </w:rPr>
        <w:t>AUC fee revenue.</w:t>
      </w:r>
    </w:p>
    <w:p>
      <w:pPr>
        <w:pStyle w:val="ListBullet"/>
        <w:keepNext/>
        <w:keepLines/>
      </w:pPr>
      <w:r>
        <w:rPr>
          <w:rFonts w:ascii="Aptos" w:hAnsi="Aptos" w:eastAsia="Aptos"/>
          <w:color w:val="000000"/>
          <w:sz w:val="21"/>
        </w:rPr>
        <w:t>Asset Management Income.</w:t>
      </w:r>
    </w:p>
    <w:p>
      <w:pPr>
        <w:pStyle w:val="ListBullet"/>
        <w:keepNext w:val="0"/>
        <w:keepLines/>
      </w:pPr>
      <w:r>
        <w:rPr>
          <w:rFonts w:ascii="Aptos" w:hAnsi="Aptos" w:eastAsia="Aptos"/>
          <w:color w:val="000000"/>
          <w:sz w:val="21"/>
        </w:rPr>
        <w:t>Baseline-to-stress revenue decline.</w:t>
      </w:r>
    </w:p>
    <w:p>
      <w:r>
        <w:rPr>
          <w:rFonts w:ascii="Aptos" w:hAnsi="Aptos" w:eastAsia="Aptos"/>
          <w:i w:val="0"/>
          <w:color w:val="000000"/>
          <w:sz w:val="21"/>
        </w:rPr>
        <w:t>Outputs will be compared against:</w:t>
      </w:r>
    </w:p>
    <w:p>
      <w:pPr>
        <w:pStyle w:val="ListBullet"/>
        <w:keepNext/>
        <w:keepLines/>
      </w:pPr>
      <w:r>
        <w:rPr>
          <w:rFonts w:ascii="Aptos" w:hAnsi="Aptos" w:eastAsia="Aptos"/>
          <w:color w:val="000000"/>
          <w:sz w:val="21"/>
        </w:rPr>
        <w:t>Prior forecast vintages.</w:t>
      </w:r>
    </w:p>
    <w:p>
      <w:pPr>
        <w:pStyle w:val="ListBullet"/>
        <w:keepNext/>
        <w:keepLines/>
      </w:pPr>
      <w:r>
        <w:rPr>
          <w:rFonts w:ascii="Aptos" w:hAnsi="Aptos" w:eastAsia="Aptos"/>
          <w:color w:val="000000"/>
          <w:sz w:val="21"/>
        </w:rPr>
        <w:t>Historical revenue levels.</w:t>
      </w:r>
    </w:p>
    <w:p>
      <w:pPr>
        <w:pStyle w:val="ListBullet"/>
        <w:keepNext w:val="0"/>
        <w:keepLines/>
      </w:pPr>
      <w:r>
        <w:rPr>
          <w:rFonts w:ascii="Aptos" w:hAnsi="Aptos" w:eastAsia="Aptos"/>
          <w:color w:val="000000"/>
          <w:sz w:val="21"/>
        </w:rPr>
        <w:t>Business expectations.</w:t>
      </w:r>
    </w:p>
    <w:p>
      <w:r>
        <w:rPr>
          <w:rFonts w:ascii="Aptos" w:hAnsi="Aptos" w:eastAsia="Aptos"/>
          <w:i w:val="0"/>
          <w:color w:val="000000"/>
          <w:sz w:val="21"/>
        </w:rPr>
        <w:t>Large unexplained forecast movements may indicate changes in model behavior or underlying business conditions requiring review.</w:t>
      </w:r>
    </w:p>
    <w:p>
      <w:pPr>
        <w:pStyle w:val="Heading3"/>
      </w:pPr>
      <w:r>
        <w:t>8.5.3 Forecast Accuracy Monitoring</w:t>
      </w:r>
    </w:p>
    <w:p>
      <w:r>
        <w:rPr>
          <w:rFonts w:ascii="Aptos" w:hAnsi="Aptos" w:eastAsia="Aptos"/>
          <w:i w:val="0"/>
          <w:color w:val="000000"/>
          <w:sz w:val="21"/>
        </w:rPr>
        <w:t>Forecast accuracy will be assessed by comparing projected revenue against realized revenue.</w:t>
      </w:r>
    </w:p>
    <w:p>
      <w:r>
        <w:rPr>
          <w:rFonts w:ascii="Aptos" w:hAnsi="Aptos" w:eastAsia="Aptos"/>
          <w:i w:val="0"/>
          <w:color w:val="000000"/>
          <w:sz w:val="21"/>
        </w:rPr>
        <w:t>Actual results will be compared with:</w:t>
      </w:r>
    </w:p>
    <w:p>
      <w:pPr>
        <w:pStyle w:val="ListBullet"/>
        <w:keepNext/>
        <w:keepLines/>
      </w:pPr>
      <w:r>
        <w:rPr>
          <w:rFonts w:ascii="Aptos" w:hAnsi="Aptos" w:eastAsia="Aptos"/>
          <w:color w:val="000000"/>
          <w:sz w:val="21"/>
        </w:rPr>
        <w:t>Baseline forecast estimates.</w:t>
      </w:r>
    </w:p>
    <w:p>
      <w:pPr>
        <w:pStyle w:val="ListBullet"/>
        <w:keepNext w:val="0"/>
        <w:keepLines/>
      </w:pPr>
      <w:r>
        <w:rPr>
          <w:rFonts w:ascii="Aptos" w:hAnsi="Aptos" w:eastAsia="Aptos"/>
          <w:color w:val="000000"/>
          <w:sz w:val="21"/>
        </w:rPr>
        <w:t>Prior year forecast projections.</w:t>
      </w:r>
    </w:p>
    <w:p>
      <w:r>
        <w:rPr>
          <w:rFonts w:ascii="Aptos" w:hAnsi="Aptos" w:eastAsia="Aptos"/>
          <w:i w:val="0"/>
          <w:color w:val="000000"/>
          <w:sz w:val="21"/>
        </w:rPr>
        <w:t>Monitoring metrics include:</w:t>
      </w:r>
    </w:p>
    <w:p>
      <w:pPr>
        <w:pStyle w:val="ListBullet"/>
        <w:keepNext/>
        <w:keepLines/>
      </w:pPr>
      <w:r>
        <w:rPr>
          <w:rFonts w:ascii="Aptos" w:hAnsi="Aptos" w:eastAsia="Aptos"/>
          <w:color w:val="000000"/>
          <w:sz w:val="21"/>
        </w:rPr>
        <w:t>Absolute Percent Error (APE).</w:t>
      </w:r>
    </w:p>
    <w:p>
      <w:pPr>
        <w:pStyle w:val="ListBullet"/>
        <w:keepNext/>
        <w:keepLines/>
      </w:pPr>
      <w:r>
        <w:rPr>
          <w:rFonts w:ascii="Aptos" w:hAnsi="Aptos" w:eastAsia="Aptos"/>
          <w:color w:val="000000"/>
          <w:sz w:val="21"/>
        </w:rPr>
        <w:t>Mean Absolute Percent Error (MAPE).</w:t>
      </w:r>
    </w:p>
    <w:p>
      <w:pPr>
        <w:pStyle w:val="ListBullet"/>
        <w:keepNext w:val="0"/>
        <w:keepLines/>
      </w:pPr>
      <w:r>
        <w:rPr>
          <w:rFonts w:ascii="Aptos" w:hAnsi="Aptos" w:eastAsia="Aptos"/>
          <w:color w:val="000000"/>
          <w:sz w:val="21"/>
        </w:rPr>
        <w:t>Revenue variance analysis.</w:t>
      </w:r>
    </w:p>
    <w:p>
      <w:r>
        <w:rPr>
          <w:rFonts w:ascii="Aptos" w:hAnsi="Aptos" w:eastAsia="Aptos"/>
          <w:i w:val="0"/>
          <w:color w:val="000000"/>
          <w:sz w:val="21"/>
        </w:rPr>
        <w:t>Where forecast errors exceed established thresholds, root cause analysis will be performed.</w:t>
      </w:r>
    </w:p>
    <w:p>
      <w:pPr>
        <w:pStyle w:val="Heading3"/>
      </w:pPr>
      <w:r>
        <w:t>8.5.4 Assumption Monitoring</w:t>
      </w:r>
    </w:p>
    <w:p>
      <w:r>
        <w:rPr>
          <w:rFonts w:ascii="Aptos" w:hAnsi="Aptos" w:eastAsia="Aptos"/>
          <w:i w:val="0"/>
          <w:color w:val="000000"/>
          <w:sz w:val="21"/>
        </w:rPr>
        <w:t>The model contains several judgmental assumptions which require periodic review.</w:t>
      </w:r>
    </w:p>
    <w:p>
      <w:r>
        <w:rPr>
          <w:rFonts w:ascii="Aptos" w:hAnsi="Aptos" w:eastAsia="Aptos"/>
          <w:i w:val="0"/>
          <w:color w:val="000000"/>
          <w:sz w:val="21"/>
        </w:rPr>
        <w:t>Key assumptions include:</w:t>
      </w:r>
    </w:p>
    <w:p>
      <w:pPr>
        <w:pStyle w:val="ListBullet"/>
        <w:keepNext/>
        <w:keepLines/>
      </w:pPr>
      <w:r>
        <w:rPr>
          <w:rFonts w:ascii="Aptos" w:hAnsi="Aptos" w:eastAsia="Aptos"/>
          <w:color w:val="000000"/>
          <w:sz w:val="21"/>
        </w:rPr>
        <w:t>Fixed fee-rate methodology.</w:t>
      </w:r>
    </w:p>
    <w:p>
      <w:pPr>
        <w:pStyle w:val="ListBullet"/>
        <w:keepNext/>
        <w:keepLines/>
      </w:pPr>
      <w:r>
        <w:rPr>
          <w:rFonts w:ascii="Aptos" w:hAnsi="Aptos" w:eastAsia="Aptos"/>
          <w:color w:val="000000"/>
          <w:sz w:val="21"/>
        </w:rPr>
        <w:t>Uniform 10% stress decline applied to AUM and AUC balances.</w:t>
      </w:r>
    </w:p>
    <w:p>
      <w:pPr>
        <w:pStyle w:val="ListBullet"/>
        <w:keepNext/>
        <w:keepLines/>
      </w:pPr>
      <w:r>
        <w:rPr>
          <w:rFonts w:ascii="Aptos" w:hAnsi="Aptos" w:eastAsia="Aptos"/>
          <w:color w:val="000000"/>
          <w:sz w:val="21"/>
        </w:rPr>
        <w:t>Use of trailing historical averages.</w:t>
      </w:r>
    </w:p>
    <w:p>
      <w:pPr>
        <w:pStyle w:val="ListBullet"/>
        <w:keepNext/>
        <w:keepLines/>
      </w:pPr>
      <w:r>
        <w:rPr>
          <w:rFonts w:ascii="Aptos" w:hAnsi="Aptos" w:eastAsia="Aptos"/>
          <w:color w:val="000000"/>
          <w:sz w:val="21"/>
        </w:rPr>
        <w:t>Stability of Asset Management Income yield.</w:t>
      </w:r>
    </w:p>
    <w:p>
      <w:pPr>
        <w:pStyle w:val="ListBullet"/>
        <w:keepNext w:val="0"/>
        <w:keepLines/>
      </w:pPr>
      <w:r>
        <w:rPr>
          <w:rFonts w:ascii="Aptos" w:hAnsi="Aptos" w:eastAsia="Aptos"/>
          <w:color w:val="000000"/>
          <w:sz w:val="21"/>
        </w:rPr>
        <w:t>Relationship between IA balances and S&amp;P 500 changes.</w:t>
      </w:r>
    </w:p>
    <w:p>
      <w:r>
        <w:rPr>
          <w:rFonts w:ascii="Aptos" w:hAnsi="Aptos" w:eastAsia="Aptos"/>
          <w:i w:val="0"/>
          <w:color w:val="000000"/>
          <w:sz w:val="21"/>
        </w:rPr>
        <w:t>Monitoring will evaluate whether observed business performance continues to support these assumptions.</w:t>
      </w:r>
    </w:p>
    <w:p>
      <w:pPr>
        <w:pStyle w:val="Heading3"/>
      </w:pPr>
      <w:r>
        <w:t>8.5.5 Coefficient Parameter Stability Monitoring</w:t>
      </w:r>
    </w:p>
    <w:p>
      <w:r>
        <w:rPr>
          <w:rFonts w:ascii="Aptos" w:hAnsi="Aptos" w:eastAsia="Aptos"/>
          <w:i w:val="0"/>
          <w:color w:val="000000"/>
          <w:sz w:val="21"/>
        </w:rPr>
        <w:t>Although the model does not utilize formally estimated regression coefficients, key model parameters will be monitored for stability.</w:t>
      </w:r>
    </w:p>
    <w:p>
      <w:r>
        <w:rPr>
          <w:rFonts w:ascii="Aptos" w:hAnsi="Aptos" w:eastAsia="Aptos"/>
          <w:i w:val="0"/>
          <w:color w:val="000000"/>
          <w:sz w:val="21"/>
        </w:rPr>
        <w:t>Parameters include:</w:t>
      </w:r>
    </w:p>
    <w:p>
      <w:pPr>
        <w:pStyle w:val="ListBullet"/>
        <w:keepNext/>
        <w:keepLines/>
      </w:pPr>
      <w:r>
        <w:rPr>
          <w:rFonts w:ascii="Aptos" w:hAnsi="Aptos" w:eastAsia="Aptos"/>
          <w:color w:val="000000"/>
          <w:sz w:val="21"/>
        </w:rPr>
        <w:t>Average AUM fee rates.</w:t>
      </w:r>
    </w:p>
    <w:p>
      <w:pPr>
        <w:pStyle w:val="ListBullet"/>
        <w:keepNext/>
        <w:keepLines/>
      </w:pPr>
      <w:r>
        <w:rPr>
          <w:rFonts w:ascii="Aptos" w:hAnsi="Aptos" w:eastAsia="Aptos"/>
          <w:color w:val="000000"/>
          <w:sz w:val="21"/>
        </w:rPr>
        <w:t>Average AUC fee rates.</w:t>
      </w:r>
    </w:p>
    <w:p>
      <w:pPr>
        <w:pStyle w:val="ListBullet"/>
        <w:keepNext/>
        <w:keepLines/>
      </w:pPr>
      <w:r>
        <w:rPr>
          <w:rFonts w:ascii="Aptos" w:hAnsi="Aptos" w:eastAsia="Aptos"/>
          <w:color w:val="000000"/>
          <w:sz w:val="21"/>
        </w:rPr>
        <w:t>Asset Management Income yield.</w:t>
      </w:r>
    </w:p>
    <w:p>
      <w:pPr>
        <w:pStyle w:val="ListBullet"/>
        <w:keepNext w:val="0"/>
        <w:keepLines/>
      </w:pPr>
      <w:r>
        <w:rPr>
          <w:rFonts w:ascii="Aptos" w:hAnsi="Aptos" w:eastAsia="Aptos"/>
          <w:color w:val="000000"/>
          <w:sz w:val="21"/>
        </w:rPr>
        <w:t>Stress calibration assumptions.</w:t>
      </w:r>
    </w:p>
    <w:p>
      <w:r>
        <w:rPr>
          <w:rFonts w:ascii="Aptos" w:hAnsi="Aptos" w:eastAsia="Aptos"/>
          <w:i w:val="0"/>
          <w:color w:val="000000"/>
          <w:sz w:val="21"/>
        </w:rPr>
        <w:t>Observed values will be compared against development-period values to assess whether recalibration is warranted.</w:t>
      </w:r>
    </w:p>
    <w:p>
      <w:pPr>
        <w:pStyle w:val="Heading3"/>
      </w:pPr>
      <w:r>
        <w:t>8.5.6 Overlay Monitoring</w:t>
      </w:r>
    </w:p>
    <w:p>
      <w:r>
        <w:rPr>
          <w:rFonts w:ascii="Aptos" w:hAnsi="Aptos" w:eastAsia="Aptos"/>
          <w:i w:val="0"/>
          <w:color w:val="000000"/>
          <w:sz w:val="21"/>
        </w:rPr>
        <w:t>Not Applicable. No model output overlay is proposed in the current methodology. If an overlay is introduced, its rationale, approval, amount, duration, monitoring, and removal criteria will be documented.</w:t>
      </w:r>
    </w:p>
    <w:p>
      <w:pPr>
        <w:pStyle w:val="Heading3"/>
      </w:pPr>
      <w:r>
        <w:t>8.5.7 Limitation Monitoring</w:t>
      </w:r>
    </w:p>
    <w:p>
      <w:r>
        <w:rPr>
          <w:rFonts w:ascii="Aptos" w:hAnsi="Aptos" w:eastAsia="Aptos"/>
          <w:i w:val="0"/>
          <w:color w:val="000000"/>
          <w:sz w:val="21"/>
        </w:rPr>
        <w:t>Known model limitations identified in Section 2 will be reviewed during each monitoring cycle.</w:t>
      </w:r>
    </w:p>
    <w:p>
      <w:r>
        <w:rPr>
          <w:rFonts w:ascii="Aptos" w:hAnsi="Aptos" w:eastAsia="Aptos"/>
          <w:i w:val="0"/>
          <w:color w:val="000000"/>
          <w:sz w:val="21"/>
        </w:rPr>
        <w:t>Particular attention will be given to:</w:t>
      </w:r>
    </w:p>
    <w:p>
      <w:pPr>
        <w:pStyle w:val="ListBullet"/>
        <w:keepNext/>
        <w:keepLines/>
      </w:pPr>
      <w:r>
        <w:rPr>
          <w:rFonts w:ascii="Aptos" w:hAnsi="Aptos" w:eastAsia="Aptos"/>
          <w:color w:val="000000"/>
          <w:sz w:val="21"/>
        </w:rPr>
        <w:t>Continued appropriateness of the uniform stress decline assumption.</w:t>
      </w:r>
    </w:p>
    <w:p>
      <w:pPr>
        <w:pStyle w:val="ListBullet"/>
        <w:keepNext/>
        <w:keepLines/>
      </w:pPr>
      <w:r>
        <w:rPr>
          <w:rFonts w:ascii="Aptos" w:hAnsi="Aptos" w:eastAsia="Aptos"/>
          <w:color w:val="000000"/>
          <w:sz w:val="21"/>
        </w:rPr>
        <w:t>Continued validity of IT AUM/AUC reclassification assumptions.</w:t>
      </w:r>
    </w:p>
    <w:p>
      <w:pPr>
        <w:pStyle w:val="ListBullet"/>
        <w:keepNext/>
        <w:keepLines/>
      </w:pPr>
      <w:r>
        <w:rPr>
          <w:rFonts w:ascii="Aptos" w:hAnsi="Aptos" w:eastAsia="Aptos"/>
          <w:color w:val="000000"/>
          <w:sz w:val="21"/>
        </w:rPr>
        <w:t>Stability of fee-rate assumptions.</w:t>
      </w:r>
    </w:p>
    <w:p>
      <w:pPr>
        <w:pStyle w:val="ListBullet"/>
        <w:keepNext w:val="0"/>
        <w:keepLines/>
      </w:pPr>
      <w:r>
        <w:rPr>
          <w:rFonts w:ascii="Aptos" w:hAnsi="Aptos" w:eastAsia="Aptos"/>
          <w:color w:val="000000"/>
          <w:sz w:val="21"/>
        </w:rPr>
        <w:t>Sensitivity of linear trend extrapolation methodologies.</w:t>
      </w:r>
    </w:p>
    <w:p>
      <w:r>
        <w:rPr>
          <w:rFonts w:ascii="Aptos" w:hAnsi="Aptos" w:eastAsia="Aptos"/>
          <w:i w:val="0"/>
          <w:color w:val="000000"/>
          <w:sz w:val="21"/>
        </w:rPr>
        <w:t>If limitations become more significant due to changing business conditions, corrective action may be required.</w:t>
      </w:r>
    </w:p>
    <w:p>
      <w:pPr>
        <w:pStyle w:val="Heading3"/>
      </w:pPr>
      <w:r>
        <w:t>8.5.8 Monitoring Data and Controls</w:t>
      </w:r>
    </w:p>
    <w:p>
      <w:pPr>
        <w:pStyle w:val="ToConfirm"/>
      </w:pPr>
      <w:r>
        <w:rPr>
          <w:rFonts w:ascii="Aptos" w:hAnsi="Aptos" w:eastAsia="Aptos"/>
          <w:i/>
          <w:color w:val="4F4F4F"/>
          <w:sz w:val="20"/>
        </w:rPr>
        <w:t>[To be completed by Data Owner and Model Developer: identify the sources of actual balances, rates, revenue, and forecast vintages used for monitoring; document reconciliation, completeness, accuracy, review, approval, retention, and error-resolution controls.]</w:t>
      </w:r>
    </w:p>
    <w:p>
      <w:pPr>
        <w:pStyle w:val="Heading2"/>
      </w:pPr>
      <w:r>
        <w:t>8.6 Monitoring Metrics and Thresholds</w:t>
      </w:r>
    </w:p>
    <w:p>
      <w:r>
        <w:rPr>
          <w:rFonts w:ascii="Aptos" w:hAnsi="Aptos" w:eastAsia="Aptos"/>
          <w:i w:val="0"/>
          <w:color w:val="000000"/>
          <w:sz w:val="21"/>
        </w:rPr>
        <w:t>Monitoring metrics should be associated with predefined thresholds that distinguish expected behavior from behavior requiring investigation. Exceeding a threshold does not automatically indicate model failure but should trigger review and documentation.</w:t>
      </w:r>
    </w:p>
    <w:p>
      <w:r>
        <w:rPr>
          <w:rFonts w:ascii="Aptos" w:hAnsi="Aptos" w:eastAsia="Aptos"/>
          <w:i w:val="0"/>
          <w:color w:val="000000"/>
          <w:sz w:val="21"/>
        </w:rPr>
        <w:t>The following thresholds are used to identify potentially significant model performance issues.</w:t>
      </w:r>
    </w:p>
    <w:p>
      <w:pPr>
        <w:pStyle w:val="Placeholder"/>
        <w:jc w:val="center"/>
      </w:pPr>
      <w:r>
        <w:rPr>
          <w:rFonts w:ascii="Aptos" w:hAnsi="Aptos" w:eastAsia="Aptos"/>
          <w:i/>
          <w:color w:val="666666"/>
          <w:sz w:val="20"/>
        </w:rPr>
        <w:t>[Insert Table 8.1 Monitoring Metrics and Thresholds - Original location: existing MDD, Section 8.6 Monitoring Metrics and Thresholds; insert after the sentence 'The following thresholds are used to identify potentially significant model performance issues' and before the paragraph beginning 'Breaches do not automatically indicate model failure.']</w:t>
      </w:r>
    </w:p>
    <w:p>
      <w:r>
        <w:rPr>
          <w:rFonts w:ascii="Aptos" w:hAnsi="Aptos" w:eastAsia="Aptos"/>
          <w:i w:val="0"/>
          <w:color w:val="000000"/>
          <w:sz w:val="21"/>
        </w:rPr>
        <w:t>Breaches do not automatically indicate model failure but require investigation and documented explanation.</w:t>
      </w:r>
    </w:p>
    <w:p>
      <w:pPr>
        <w:pStyle w:val="Heading2"/>
      </w:pPr>
      <w:r>
        <w:t>8.7 Escalation Process</w:t>
      </w:r>
    </w:p>
    <w:p>
      <w:r>
        <w:rPr>
          <w:rFonts w:ascii="Aptos" w:hAnsi="Aptos" w:eastAsia="Aptos"/>
          <w:i w:val="0"/>
          <w:color w:val="000000"/>
          <w:sz w:val="21"/>
        </w:rPr>
        <w:t>When monitoring identifies a threshold breach or significant performance issue, the following escalation process will be followed:</w:t>
      </w:r>
    </w:p>
    <w:p>
      <w:pPr>
        <w:pStyle w:val="ListBullet"/>
        <w:keepNext/>
        <w:keepLines/>
      </w:pPr>
      <w:r>
        <w:rPr>
          <w:rFonts w:ascii="Aptos" w:hAnsi="Aptos" w:eastAsia="Aptos"/>
          <w:color w:val="000000"/>
          <w:sz w:val="21"/>
        </w:rPr>
        <w:t>Model Developer investigates the issue and documents root cause analysis.</w:t>
      </w:r>
    </w:p>
    <w:p>
      <w:pPr>
        <w:pStyle w:val="ListBullet"/>
        <w:keepNext/>
        <w:keepLines/>
      </w:pPr>
      <w:r>
        <w:rPr>
          <w:rFonts w:ascii="Aptos" w:hAnsi="Aptos" w:eastAsia="Aptos"/>
          <w:color w:val="000000"/>
          <w:sz w:val="21"/>
        </w:rPr>
        <w:t>Results are reviewed by the Model Owner.</w:t>
      </w:r>
    </w:p>
    <w:p>
      <w:pPr>
        <w:pStyle w:val="ListBullet"/>
        <w:keepNext/>
        <w:keepLines/>
      </w:pPr>
      <w:r>
        <w:rPr>
          <w:rFonts w:ascii="Aptos" w:hAnsi="Aptos" w:eastAsia="Aptos"/>
          <w:color w:val="000000"/>
          <w:sz w:val="21"/>
        </w:rPr>
        <w:t>If remediation is required, an action plan is developed and documented.</w:t>
      </w:r>
    </w:p>
    <w:p>
      <w:pPr>
        <w:pStyle w:val="ListBullet"/>
        <w:keepNext/>
        <w:keepLines/>
      </w:pPr>
      <w:r>
        <w:rPr>
          <w:rFonts w:ascii="Aptos" w:hAnsi="Aptos" w:eastAsia="Aptos"/>
          <w:color w:val="000000"/>
          <w:sz w:val="21"/>
        </w:rPr>
        <w:t>Material findings are communicated to Strategic Finance management.</w:t>
      </w:r>
    </w:p>
    <w:p>
      <w:pPr>
        <w:pStyle w:val="ListBullet"/>
        <w:keepNext/>
        <w:keepLines/>
      </w:pPr>
      <w:r>
        <w:rPr>
          <w:rFonts w:ascii="Aptos" w:hAnsi="Aptos" w:eastAsia="Aptos"/>
          <w:color w:val="000000"/>
          <w:sz w:val="21"/>
        </w:rPr>
        <w:t>Material model performance issues are reported to Model Risk Management.</w:t>
      </w:r>
    </w:p>
    <w:p>
      <w:pPr>
        <w:pStyle w:val="ListBullet"/>
        <w:keepNext w:val="0"/>
        <w:keepLines/>
      </w:pPr>
      <w:r>
        <w:rPr>
          <w:rFonts w:ascii="Aptos" w:hAnsi="Aptos" w:eastAsia="Aptos"/>
          <w:color w:val="000000"/>
          <w:sz w:val="21"/>
        </w:rPr>
        <w:t>Where appropriate, a recalibration, redevelopment, model overlay, or model retirement recommendation will be submitted.</w:t>
      </w:r>
    </w:p>
    <w:p>
      <w:pPr>
        <w:pStyle w:val="Heading2"/>
      </w:pPr>
      <w:r>
        <w:t>8.8 Governing Body and Review</w:t>
      </w:r>
    </w:p>
    <w:p>
      <w:r>
        <w:rPr>
          <w:rFonts w:ascii="Aptos" w:hAnsi="Aptos" w:eastAsia="Aptos"/>
          <w:i w:val="0"/>
          <w:color w:val="000000"/>
          <w:sz w:val="21"/>
        </w:rPr>
        <w:t>Strategic Finance management reviews model performance and monitoring results on an ongoing basis. Material model issues, significant deterioration, and proposed material changes are communicated to Model Risk Management in accordance with the Bank's Model Risk Management Policy.</w:t>
      </w:r>
    </w:p>
    <w:p>
      <w:pPr>
        <w:pStyle w:val="ToConfirm"/>
      </w:pPr>
      <w:r>
        <w:rPr>
          <w:rFonts w:ascii="Aptos" w:hAnsi="Aptos" w:eastAsia="Aptos"/>
          <w:i/>
          <w:color w:val="4F4F4F"/>
          <w:sz w:val="20"/>
        </w:rPr>
        <w:t>[To be completed by Model Owner: confirm the formal governing body or committee name, meeting frequency, reporting package, approval authority, escalation path, and record-retention requirements.]</w:t>
      </w:r>
    </w:p>
    <w:p>
      <w:pPr>
        <w:pStyle w:val="Heading2"/>
      </w:pPr>
      <w:r>
        <w:t>8.9 Material Change Requirements</w:t>
      </w:r>
    </w:p>
    <w:p>
      <w:r>
        <w:rPr>
          <w:rFonts w:ascii="Aptos" w:hAnsi="Aptos" w:eastAsia="Aptos"/>
          <w:i w:val="0"/>
          <w:color w:val="000000"/>
          <w:sz w:val="21"/>
        </w:rPr>
        <w:t>A Material Change includes a change to model scope, purpose, or use; model design, structure, methodology, or technique; development data or a recalibration that materially changes outputs or coefficients; inputs or assumptions beyond routine updates; model code that materially changes outputs; the deployment platform; monitoring metrics or thresholds; or the ongoing monitoring plan documented in this MDD.</w:t>
      </w:r>
    </w:p>
    <w:p>
      <w:r>
        <w:rPr>
          <w:rFonts w:ascii="Aptos" w:hAnsi="Aptos" w:eastAsia="Aptos"/>
          <w:i w:val="0"/>
          <w:color w:val="000000"/>
          <w:sz w:val="21"/>
        </w:rPr>
        <w:t>Material Changes must be identified in the change-control log. The Model Owner must notify Model Risk Management, and Model Risk Management must review and approve the change before implementation.</w:t>
      </w:r>
    </w:p>
    <w:p>
      <w:pPr>
        <w:pStyle w:val="Heading2"/>
      </w:pPr>
      <w:r>
        <w:t>8.10 Monitoring Conclusion</w:t>
      </w:r>
    </w:p>
    <w:p>
      <w:r>
        <w:rPr>
          <w:rFonts w:ascii="Aptos" w:hAnsi="Aptos" w:eastAsia="Aptos"/>
          <w:i w:val="0"/>
          <w:color w:val="000000"/>
          <w:sz w:val="21"/>
        </w:rPr>
        <w:t>The Trust Fee Revenue model relies primarily on stable business relationships and judgmental assumptions rather than statistically estimated coefficients. Accordingly, the monitoring framework focuses on ensuring the ongoing validity of those assumptions, the stability of revenue-generating balances and rates, forecast accuracy, and consistency of model outputs with observed business performance.</w:t>
      </w:r>
    </w:p>
    <w:p>
      <w:r>
        <w:rPr>
          <w:rFonts w:ascii="Aptos" w:hAnsi="Aptos" w:eastAsia="Aptos"/>
          <w:i w:val="0"/>
          <w:color w:val="000000"/>
          <w:sz w:val="21"/>
        </w:rPr>
        <w:t>Monitoring results will be reviewed semi-annually by the Model Owner and Strategic Finance management. Findings, threshold breaches, remediation actions, and material model changes will be documented. Material changes to model methodology, assumptions, data sources, monitoring thresholds, or model use will be communicated to Model Risk Management and recorded in the model change control log in accordance with Model Risk Management Policy.</w:t>
      </w:r>
    </w:p>
    <w:p>
      <w:pPr>
        <w:pStyle w:val="Heading1"/>
      </w:pPr>
      <w:r>
        <w:t>9 Procedures</w:t>
      </w:r>
    </w:p>
    <w:p>
      <w:r>
        <w:rPr>
          <w:rFonts w:ascii="Aptos" w:hAnsi="Aptos" w:eastAsia="Aptos"/>
          <w:i w:val="0"/>
          <w:color w:val="000000"/>
          <w:sz w:val="21"/>
        </w:rPr>
        <w:t>The operating procedures must allow a person who does not run the model routinely to update and execute it correctly. The procedures below remain open because no operating procedure or controlled model-run checklist was provided for this draft.</w:t>
      </w:r>
    </w:p>
    <w:p>
      <w:pPr>
        <w:pStyle w:val="Heading2"/>
      </w:pPr>
      <w:r>
        <w:t>9.1 Model File and Supporting Documents</w:t>
      </w:r>
    </w:p>
    <w:p>
      <w:pPr>
        <w:pStyle w:val="ToConfirm"/>
      </w:pPr>
      <w:r>
        <w:rPr>
          <w:rFonts w:ascii="Aptos" w:hAnsi="Aptos" w:eastAsia="Aptos"/>
          <w:i/>
          <w:color w:val="4F4F4F"/>
          <w:sz w:val="20"/>
        </w:rPr>
        <w:t>[To be completed by Model Owner: provide the controlled model file or application name, version, storage location, supporting procedure name, shared-drive path, access requirements, and document owner.]</w:t>
      </w:r>
    </w:p>
    <w:p>
      <w:pPr>
        <w:pStyle w:val="Heading2"/>
      </w:pPr>
      <w:r>
        <w:t>9.2 Run Frequency and Trigger</w:t>
      </w:r>
    </w:p>
    <w:p>
      <w:pPr>
        <w:pStyle w:val="ToConfirm"/>
      </w:pPr>
      <w:r>
        <w:rPr>
          <w:rFonts w:ascii="Aptos" w:hAnsi="Aptos" w:eastAsia="Aptos"/>
          <w:i/>
          <w:color w:val="4F4F4F"/>
          <w:sz w:val="20"/>
        </w:rPr>
        <w:t>[To be completed by Model Owner: state the regular model-run frequency and any event-driven triggers, including CCAR cycles, forecast refreshes, assumption updates, or material business changes.]</w:t>
      </w:r>
    </w:p>
    <w:p>
      <w:pPr>
        <w:pStyle w:val="Heading2"/>
      </w:pPr>
      <w:r>
        <w:t>9.3 Required Inputs</w:t>
      </w:r>
    </w:p>
    <w:p>
      <w:pPr>
        <w:pStyle w:val="ToConfirm"/>
      </w:pPr>
      <w:r>
        <w:rPr>
          <w:rFonts w:ascii="Aptos" w:hAnsi="Aptos" w:eastAsia="Aptos"/>
          <w:i/>
          <w:color w:val="4F4F4F"/>
          <w:sz w:val="20"/>
        </w:rPr>
        <w:t>[To be completed by Data Owner and Model Developer: list each input, source, owner, required as-of date, file format, delivery method, validation check, and fallback procedure if the input is late or unavailable.]</w:t>
      </w:r>
    </w:p>
    <w:p>
      <w:pPr>
        <w:pStyle w:val="Heading2"/>
      </w:pPr>
      <w:r>
        <w:t>9.4 Step by Step Operating Procedure</w:t>
      </w:r>
    </w:p>
    <w:p>
      <w:pPr>
        <w:pStyle w:val="ToConfirm"/>
      </w:pPr>
      <w:r>
        <w:rPr>
          <w:rFonts w:ascii="Aptos" w:hAnsi="Aptos" w:eastAsia="Aptos"/>
          <w:i/>
          <w:color w:val="4F4F4F"/>
          <w:sz w:val="20"/>
        </w:rPr>
        <w:t>[To be completed by Model Developer: document the ordered steps for loading data, updating assumptions, refreshing calculations, producing baseline and stress forecasts, reviewing results, resolving errors, saving the output, and obtaining approval.]</w:t>
      </w:r>
    </w:p>
    <w:p>
      <w:pPr>
        <w:pStyle w:val="Heading2"/>
      </w:pPr>
      <w:r>
        <w:t>9.5 Output Distribution</w:t>
      </w:r>
    </w:p>
    <w:p>
      <w:pPr>
        <w:pStyle w:val="ToConfirm"/>
      </w:pPr>
      <w:r>
        <w:rPr>
          <w:rFonts w:ascii="Aptos" w:hAnsi="Aptos" w:eastAsia="Aptos"/>
          <w:i/>
          <w:color w:val="4F4F4F"/>
          <w:sz w:val="20"/>
        </w:rPr>
        <w:t>[To be completed by Model Owner: identify each output, intended recipient, delivery timing, approved file format, storage location, and restrictions on use.]</w:t>
      </w:r>
    </w:p>
    <w:p>
      <w:pPr>
        <w:pStyle w:val="Heading2"/>
      </w:pPr>
      <w:r>
        <w:t>9.6 Control Checks</w:t>
      </w:r>
    </w:p>
    <w:p>
      <w:pPr>
        <w:pStyle w:val="ToConfirm"/>
      </w:pPr>
      <w:r>
        <w:rPr>
          <w:rFonts w:ascii="Aptos" w:hAnsi="Aptos" w:eastAsia="Aptos"/>
          <w:i/>
          <w:color w:val="4F4F4F"/>
          <w:sz w:val="20"/>
        </w:rPr>
        <w:t>[To be completed by Model Owner and Model Developer: document source-to-model reconciliations, formula and version checks, reasonableness checks, baseline-to-stress comparisons, reviewer approval, exception handling, evidence retention, and segregation of duties.]</w:t>
      </w:r>
    </w:p>
    <w:p>
      <w:pPr>
        <w:pStyle w:val="Heading2"/>
      </w:pPr>
      <w:r>
        <w:t>9.7 Operating Checklist</w:t>
      </w:r>
    </w:p>
    <w:p>
      <w:pPr>
        <w:pStyle w:val="ToConfirm"/>
      </w:pPr>
      <w:r>
        <w:rPr>
          <w:rFonts w:ascii="Aptos" w:hAnsi="Aptos" w:eastAsia="Aptos"/>
          <w:i/>
          <w:color w:val="4F4F4F"/>
          <w:sz w:val="20"/>
        </w:rPr>
        <w:t>[To be completed by Model Developer: attach or cross-reference the controlled operating checklist used for each model run. The checklist should identify the preparer, reviewer, date, completed steps, exceptions, remediation, and final approval.]</w:t>
      </w:r>
    </w:p>
    <w:p>
      <w:pPr>
        <w:pStyle w:val="Heading1"/>
      </w:pPr>
      <w:r>
        <w:t>10 Governance</w:t>
      </w:r>
    </w:p>
    <w:p>
      <w:pPr>
        <w:pStyle w:val="Heading2"/>
      </w:pPr>
      <w:r>
        <w:t>10.1 Purpose of Governance</w:t>
      </w:r>
    </w:p>
    <w:p>
      <w:r>
        <w:rPr>
          <w:rFonts w:ascii="Aptos" w:hAnsi="Aptos" w:eastAsia="Aptos"/>
          <w:i w:val="0"/>
          <w:color w:val="000000"/>
          <w:sz w:val="21"/>
        </w:rPr>
        <w:t>The purpose of the governance framework is to ensure that the Trust Fee Model is developed, implemented, monitored, maintained, and retired in a controlled manner consistent with Model Risk Management requirements and supervisory expectations. Effective governance establishes accountability, supports independent challenge, promotes transparency, and ensures that model outputs are used appropriately throughout the model lifecycle.</w:t>
      </w:r>
    </w:p>
    <w:p>
      <w:pPr>
        <w:pStyle w:val="Heading2"/>
      </w:pPr>
      <w:r>
        <w:t>10.2 Applicable Policies and Standards</w:t>
      </w:r>
    </w:p>
    <w:p>
      <w:r>
        <w:rPr>
          <w:rFonts w:ascii="Aptos" w:hAnsi="Aptos" w:eastAsia="Aptos"/>
          <w:i w:val="0"/>
          <w:color w:val="000000"/>
          <w:sz w:val="21"/>
        </w:rPr>
        <w:t>The model is subject to the Bank's Model Risk Management Policy and applicable model development, validation, monitoring, change-management, and documentation standards.</w:t>
      </w:r>
    </w:p>
    <w:p>
      <w:pPr>
        <w:pStyle w:val="ToConfirm"/>
      </w:pPr>
      <w:r>
        <w:rPr>
          <w:rFonts w:ascii="Aptos" w:hAnsi="Aptos" w:eastAsia="Aptos"/>
          <w:i/>
          <w:color w:val="4F4F4F"/>
          <w:sz w:val="20"/>
        </w:rPr>
        <w:t>[To be completed by Model Owner: provide the complete names, current versions, owners, and storage locations of all applicable policies and standards. Confirm whether any SAS code is used; if so, cross-reference the required Azure DevOps procedures in the Model Development Standards.]</w:t>
      </w:r>
    </w:p>
    <w:p>
      <w:pPr>
        <w:pStyle w:val="Heading2"/>
      </w:pPr>
      <w:r>
        <w:t>10.3 Roles and Responsibilities</w:t>
      </w:r>
    </w:p>
    <w:p>
      <w:pPr>
        <w:pStyle w:val="Heading3"/>
      </w:pPr>
      <w:r>
        <w:t>Model Owner</w:t>
      </w:r>
    </w:p>
    <w:p>
      <w:r>
        <w:rPr>
          <w:rFonts w:ascii="Aptos" w:hAnsi="Aptos" w:eastAsia="Aptos"/>
          <w:i w:val="0"/>
          <w:color w:val="000000"/>
          <w:sz w:val="21"/>
        </w:rPr>
        <w:t>The Model Owner, is responsible for the overall governance, maintenance, and performance oversight of the Trust Fee Model. Responsibilities include ensuring monitoring activities are completed, documentation remains current, model assumptions remain appropriate, change-control records are maintained, and material issues are escalated in accordance with Model Risk Management requirements. The Model Owner is also responsible for coordinating validation activities, reviewing monitoring results, assessing model limitations, and approving any overlays or expert judgment adjustments applied to model outputs.</w:t>
      </w:r>
    </w:p>
    <w:p>
      <w:pPr>
        <w:pStyle w:val="Heading3"/>
      </w:pPr>
      <w:r>
        <w:t>Model Developer</w:t>
      </w:r>
    </w:p>
    <w:p>
      <w:r>
        <w:rPr>
          <w:rFonts w:ascii="Aptos" w:hAnsi="Aptos" w:eastAsia="Aptos"/>
          <w:i w:val="0"/>
          <w:color w:val="000000"/>
          <w:sz w:val="21"/>
        </w:rPr>
        <w:t>Model Developer, is responsible for maintaining model methodology documentation, executing approved model updates, supporting monitoring activities, investigating identified issues, performing analyses related to model performance, and supporting validation reviews. Model Developers may recommend methodology enhancements but do not independently approve material model changes.</w:t>
      </w:r>
    </w:p>
    <w:p>
      <w:pPr>
        <w:pStyle w:val="Heading3"/>
      </w:pPr>
      <w:r>
        <w:t>Governance Review</w:t>
      </w:r>
    </w:p>
    <w:p>
      <w:r>
        <w:rPr>
          <w:rFonts w:ascii="Aptos" w:hAnsi="Aptos" w:eastAsia="Aptos"/>
          <w:i w:val="0"/>
          <w:color w:val="000000"/>
          <w:sz w:val="21"/>
        </w:rPr>
        <w:t>Monitoring results, model performance assessments, material issues, and proposed model changes are reviewed by Strategic Finance management. Material model issues, material changes, or significant performance deterioration are communicated to MRM in accordance with the Bank's MRM policy.</w:t>
      </w:r>
    </w:p>
    <w:p>
      <w:pPr>
        <w:pStyle w:val="ToConfirm"/>
      </w:pPr>
      <w:r>
        <w:rPr>
          <w:rFonts w:ascii="Aptos" w:hAnsi="Aptos" w:eastAsia="Aptos"/>
          <w:i/>
          <w:color w:val="4F4F4F"/>
          <w:sz w:val="20"/>
        </w:rPr>
        <w:t>[To be completed by Model Owner: identify management committees that receive model information or output, describe each committee's authority and review frequency, and document the Board's role, if any.]</w:t>
      </w:r>
    </w:p>
    <w:p>
      <w:pPr>
        <w:pStyle w:val="Heading3"/>
      </w:pPr>
      <w:r>
        <w:t>Model Validation</w:t>
      </w:r>
    </w:p>
    <w:p>
      <w:pPr>
        <w:pStyle w:val="ToConfirm"/>
      </w:pPr>
      <w:r>
        <w:rPr>
          <w:rFonts w:ascii="Aptos" w:hAnsi="Aptos" w:eastAsia="Aptos"/>
          <w:i/>
          <w:color w:val="4F4F4F"/>
          <w:sz w:val="20"/>
        </w:rPr>
        <w:t>[To be completed by Model Owner and Model Risk Management: confirm whether independent validation is required or has been performed. If applicable, provide the validation date, validating party, report location, conclusion, findings, remediation, and approval status.]</w:t>
      </w:r>
    </w:p>
    <w:p>
      <w:pPr>
        <w:pStyle w:val="Heading3"/>
      </w:pPr>
      <w:r>
        <w:t>Internal Audit</w:t>
      </w:r>
    </w:p>
    <w:p>
      <w:pPr>
        <w:pStyle w:val="ToConfirm"/>
      </w:pPr>
      <w:r>
        <w:rPr>
          <w:rFonts w:ascii="Aptos" w:hAnsi="Aptos" w:eastAsia="Aptos"/>
          <w:i/>
          <w:color w:val="4F4F4F"/>
          <w:sz w:val="20"/>
        </w:rPr>
        <w:t>[To be completed by Model Owner: describe the role of Internal Audit for this model or state 'Not Applicable' with the reason. Cross-reference any relevant audit report and remediation record.]</w:t>
      </w:r>
    </w:p>
    <w:p>
      <w:pPr>
        <w:pStyle w:val="Heading2"/>
      </w:pPr>
      <w:r>
        <w:t>10.4 Change Management Governance</w:t>
      </w:r>
    </w:p>
    <w:p>
      <w:r>
        <w:rPr>
          <w:rFonts w:ascii="Aptos" w:hAnsi="Aptos" w:eastAsia="Aptos"/>
          <w:i w:val="0"/>
          <w:color w:val="000000"/>
          <w:sz w:val="21"/>
        </w:rPr>
        <w:t>Changes to methodology, assumptions, implementation logic, source data, monitoring thresholds, or intended use should be documented and evaluated through formal change-management procedures. Proposed changes should be assessed for materiality and reviewed by appropriate stakeholders before implementation. Governance review helps ensure that modifications do not introduce unintended consequences or unrecognized model risk.</w:t>
      </w:r>
    </w:p>
    <w:p>
      <w:pPr>
        <w:pStyle w:val="Heading3"/>
      </w:pPr>
      <w:r>
        <w:t>Material Change Definition</w:t>
      </w:r>
    </w:p>
    <w:p>
      <w:r>
        <w:rPr>
          <w:rFonts w:ascii="Aptos" w:hAnsi="Aptos" w:eastAsia="Aptos"/>
          <w:i w:val="0"/>
          <w:color w:val="000000"/>
          <w:sz w:val="21"/>
        </w:rPr>
        <w:t>Material changes are defined in accordance with the Model Risk Management Policy and include, but are not limited to, changes in model purpose, scope, methodology, assumptions, source data, implementation logic, monitoring framework, deployment platform, or intended use. Material changes require notification to MRM, appropriate approvals, and corresponding updates to model documentation and monitoring procedures prior to implementation.</w:t>
      </w:r>
    </w:p>
    <w:p>
      <w:r>
        <w:rPr>
          <w:rFonts w:ascii="Aptos" w:hAnsi="Aptos" w:eastAsia="Aptos"/>
          <w:i w:val="0"/>
          <w:color w:val="000000"/>
          <w:sz w:val="21"/>
        </w:rPr>
        <w:t>All model changes shall be documented within the model change-control log, including change description, rationale, implementation date, approval evidence, and materiality assessment.</w:t>
      </w:r>
    </w:p>
    <w:p>
      <w:pPr>
        <w:pStyle w:val="ToConfirm"/>
      </w:pPr>
      <w:r>
        <w:rPr>
          <w:rFonts w:ascii="Aptos" w:hAnsi="Aptos" w:eastAsia="Aptos"/>
          <w:i/>
          <w:color w:val="4F4F4F"/>
          <w:sz w:val="20"/>
        </w:rPr>
        <w:t>[To be completed by Model Owner: provide the storage location, owner, access control, and current version of the model change-control log.]</w:t>
      </w:r>
    </w:p>
    <w:p>
      <w:pPr>
        <w:pStyle w:val="Heading2"/>
      </w:pPr>
      <w:r>
        <w:t>10.5 Vendor Contingency</w:t>
      </w:r>
    </w:p>
    <w:p>
      <w:pPr>
        <w:pStyle w:val="ToConfirm"/>
      </w:pPr>
      <w:r>
        <w:rPr>
          <w:rFonts w:ascii="Aptos" w:hAnsi="Aptos" w:eastAsia="Aptos"/>
          <w:i/>
          <w:color w:val="4F4F4F"/>
          <w:sz w:val="20"/>
        </w:rPr>
        <w:t>[To be completed by Model Owner: confirm whether the model is developed internally. If it is not a vendor model, state 'Not Applicable' with that reason. If a vendor component exists, describe release-note monitoring, change assessment, support arrangements, and the contingency plan if the vendor product is unavailable or unsupported.]</w:t>
      </w:r>
    </w:p>
    <w:p>
      <w:pPr>
        <w:pStyle w:val="Heading2"/>
      </w:pPr>
      <w:r>
        <w:t>10.6 Governance Conclusion</w:t>
      </w:r>
    </w:p>
    <w:p>
      <w:r>
        <w:rPr>
          <w:rFonts w:ascii="Aptos" w:hAnsi="Aptos" w:eastAsia="Aptos"/>
          <w:i w:val="0"/>
          <w:color w:val="000000"/>
          <w:sz w:val="21"/>
        </w:rPr>
        <w:t>The Trust Fee Model governance framework establishes ownership, performance monitoring, change management, oversight review, and independent validation when required. These activities are intended to ensure that the model remains fit for its intended use in CCAR stress testing, capital planning, and related forecasting applications. Material issues, performance deterioration, and model changes are subject to escalation and review under the Bank's Model Risk Management framework.</w:t>
      </w:r>
    </w:p>
    <w:p>
      <w:pPr>
        <w:pStyle w:val="Heading1"/>
      </w:pPr>
      <w:r>
        <w:t>11 Appendix Information</w:t>
      </w:r>
    </w:p>
    <w:p>
      <w:pPr>
        <w:pStyle w:val="Heading2"/>
      </w:pPr>
      <w:r>
        <w:t>11.1 Reference</w:t>
      </w:r>
    </w:p>
    <w:p>
      <w:r>
        <w:rPr>
          <w:rFonts w:ascii="Aptos" w:hAnsi="Aptos" w:eastAsia="Aptos"/>
          <w:i w:val="0"/>
          <w:color w:val="000000"/>
          <w:sz w:val="21"/>
        </w:rPr>
        <w:t>Ivashina, Victoria, and David Scharfstein. 2010. "Bank Lending During the Financial Crisis of 2008." Journal of Financial Economics 97 (3): 319-338.</w:t>
      </w:r>
    </w:p>
    <w:p>
      <w:pPr>
        <w:pStyle w:val="Heading2"/>
      </w:pPr>
      <w:r>
        <w:t>11.2 Supporting Document Index</w:t>
      </w:r>
    </w:p>
    <w:p>
      <w:pPr>
        <w:pStyle w:val="ToConfirm"/>
      </w:pPr>
      <w:r>
        <w:rPr>
          <w:rFonts w:ascii="Aptos" w:hAnsi="Aptos" w:eastAsia="Aptos"/>
          <w:i/>
          <w:color w:val="4F4F4F"/>
          <w:sz w:val="20"/>
        </w:rPr>
        <w:t>[To be completed by Model Owner: list the controlled model workbook, operating procedure, data dictionary, development-testing evidence, implementation evidence, monitoring report, validation report, change-control log, and other supporting documents with their owners and locations.]</w:t>
      </w:r>
    </w:p>
    <w:p>
      <w:pPr>
        <w:pStyle w:val="Heading2"/>
      </w:pPr>
      <w:r>
        <w:t>11.3 Additional Supporting Information</w:t>
      </w:r>
    </w:p>
    <w:p>
      <w:pPr>
        <w:pStyle w:val="ToConfirm"/>
      </w:pPr>
      <w:r>
        <w:rPr>
          <w:rFonts w:ascii="Aptos" w:hAnsi="Aptos" w:eastAsia="Aptos"/>
          <w:i/>
          <w:color w:val="4F4F4F"/>
          <w:sz w:val="20"/>
        </w:rPr>
        <w:t>[To be completed by Model Owner and Data Owner: include or cross-reference any supplementary formulas, definitions, reconciliations, data-quality evidence, approvals, or other material needed to understand or reproduce the model.]</w:t>
      </w:r>
    </w:p>
    <w:p>
      <w:pPr>
        <w:pStyle w:val="Heading1"/>
      </w:pPr>
      <w:r>
        <w:t>12 FAQs</w:t>
      </w:r>
    </w:p>
    <w:p>
      <w:r>
        <w:rPr>
          <w:rFonts w:ascii="Aptos" w:hAnsi="Aptos" w:eastAsia="Aptos"/>
          <w:i w:val="0"/>
          <w:color w:val="000000"/>
          <w:sz w:val="21"/>
        </w:rPr>
        <w:t>Not Applicable. No frequently asked questions or corresponding answers have been identified for the Trust Fee Revenue Model. This section should be updated if recurring questions arise during implementation, use, monitoring, validation, or review.</w:t>
      </w:r>
    </w:p>
    <w:sectPr w:rsidR="00FC693F" w:rsidRPr="0006063C" w:rsidSect="00034616">
      <w:footerReference w:type="default" r:id="rId9"/>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24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120" w:after="6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45"/>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360"/>
    </w:pPr>
    <w:rPr>
      <w:rFonts w:ascii="Aptos" w:hAnsi="Aptos"/>
      <w:color w:val="000000"/>
      <w:sz w:val="26"/>
    </w:rPr>
  </w:style>
  <w:style w:type="paragraph" w:customStyle="1" w:styleId="Placeholder">
    <w:name w:val="Placeholder"/>
    <w:pPr>
      <w:keepLines/>
      <w:spacing w:before="160" w:after="160"/>
    </w:pPr>
    <w:rPr>
      <w:rFonts w:ascii="Aptos" w:hAnsi="Aptos"/>
      <w:i/>
      <w:color w:val="666666"/>
      <w:sz w:val="20"/>
    </w:rPr>
  </w:style>
  <w:style w:type="paragraph" w:customStyle="1" w:styleId="ToConfirm">
    <w:name w:val="To Confirm"/>
    <w:pPr>
      <w:spacing w:before="120" w:after="160"/>
    </w:pPr>
    <w:rPr>
      <w:rFonts w:ascii="Aptos" w:hAnsi="Aptos"/>
      <w:i/>
      <w:color w:val="4F4F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Fee Revenue Model Development Document</dc:title>
  <dc:subject>Template-aligned model development documentation</dc:subject>
  <dc:creator/>
  <cp:keywords>Trust Fee, MDD, CCAR, PPNR</cp:keywords>
  <dc:description>generated by python-docx</dc:description>
  <cp:lastModifiedBy/>
  <cp:revision>1</cp:revision>
  <dcterms:created xsi:type="dcterms:W3CDTF">2013-12-23T23:15:00Z</dcterms:created>
  <dcterms:modified xsi:type="dcterms:W3CDTF">2013-12-23T23:15:00Z</dcterms:modified>
  <cp:category/>
</cp:coreProperties>
</file>