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Combined Fee Reproduction</w:t>
      </w:r>
    </w:p>
    <w:p>
      <w:pPr>
        <w:pStyle w:val="Subtitle"/>
      </w:pPr>
      <w:r>
        <w:t>Reported and Reproduced Results</w:t>
      </w:r>
    </w:p>
    <w:p>
      <w:pPr>
        <w:keepNext w:val="0"/>
      </w:pPr>
      <w:r>
        <w:rPr>
          <w:rFonts w:ascii="Arial" w:hAnsi="Arial" w:eastAsia="Arial" w:cs="Arial"/>
          <w:b w:val="0"/>
          <w:color w:val="000000"/>
          <w:sz w:val="24"/>
        </w:rPr>
        <w:t>Commercial Card plus Small Business</w:t>
      </w:r>
    </w:p>
    <w:p>
      <w:pPr>
        <w:keepNext w:val="0"/>
      </w:pPr>
      <w:r>
        <w:rPr>
          <w:rFonts w:ascii="Arial" w:hAnsi="Arial" w:eastAsia="Arial" w:cs="Arial"/>
          <w:b w:val="0"/>
          <w:color w:val="000000"/>
          <w:sz w:val="19"/>
        </w:rPr>
        <w:t>Comparison date 15 September 2026</w:t>
      </w:r>
    </w:p>
    <w:p>
      <w:pPr>
        <w:keepNext w:val="0"/>
      </w:pPr>
      <w:r>
        <w:rPr>
          <w:rFonts w:ascii="Arial" w:hAnsi="Arial" w:eastAsia="Arial" w:cs="Arial"/>
          <w:b w:val="0"/>
          <w:color w:val="000000"/>
          <w:sz w:val="22"/>
        </w:rPr>
        <w:t>Most reported numbers can be reproduced at their displayed precision. The differences are concentrated in short-run stationarity, Unrate partial correlations, the 2023 partial-year EC mean, one rolling-window row, and two occurrences of the same short-run coefficient.</w:t>
      </w:r>
    </w:p>
    <w:p>
      <w:pPr>
        <w:keepNext w:val="0"/>
      </w:pPr>
      <w:r>
        <w:rPr>
          <w:rFonts w:ascii="Arial" w:hAnsi="Arial" w:eastAsia="Arial" w:cs="Arial"/>
          <w:b/>
          <w:color w:val="000000"/>
          <w:sz w:val="22"/>
        </w:rPr>
        <w:t>This comparison covers all 13 numerical tables and the associated numeric claims in the reference report. Of 223 recorded claims, 194 match and 29 differ under the comparison settings specified below. Repeated values in equations and prose are counted separately. Numerical agreement does not establish that a method or interpretation is correct.</w:t>
      </w:r>
    </w:p>
    <w:p>
      <w:pPr>
        <w:pStyle w:val="Heading2"/>
      </w:pPr>
      <w:r>
        <w:t>Scope and comparison settings</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8064"/>
      </w:tblGrid>
      <w:tr>
        <w:trPr>
          <w:cantSplit/>
          <w:tblHeader w:val="true"/>
        </w:trPr>
        <w:tc>
          <w:tcPr>
            <w:tcW w:type="dxa" w:w="216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Item</w:t>
            </w:r>
          </w:p>
        </w:tc>
        <w:tc>
          <w:tcPr>
            <w:tcW w:type="dxa" w:w="806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Definition</w:t>
            </w:r>
          </w:p>
        </w:tc>
      </w:tr>
      <w:tr>
        <w:trPr>
          <w:cantSplit/>
        </w:trPr>
        <w:tc>
          <w:tcPr>
            <w:tcW w:type="dxa" w:w="216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1"/>
              </w:rPr>
              <w:t>Target</w:t>
            </w:r>
          </w:p>
        </w:tc>
        <w:tc>
          <w:tcPr>
            <w:tcW w:type="dxa" w:w="80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1"/>
              </w:rPr>
              <w:t>Combined includes Small Business and Commercial Card only. Sponsorship and QualPay are excluded.</w:t>
            </w:r>
          </w:p>
        </w:tc>
      </w:tr>
      <w:tr>
        <w:trPr>
          <w:cantSplit/>
        </w:trPr>
        <w:tc>
          <w:tcPr>
            <w:tcW w:type="dxa" w:w="216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1"/>
              </w:rPr>
              <w:t>In sample IS</w:t>
            </w:r>
          </w:p>
        </w:tc>
        <w:tc>
          <w:tcPr>
            <w:tcW w:type="dxa" w:w="806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1"/>
              </w:rPr>
              <w:t>January 2011 through September 2023. The calendar window contains 153 months.</w:t>
            </w:r>
          </w:p>
        </w:tc>
      </w:tr>
      <w:tr>
        <w:trPr>
          <w:cantSplit/>
        </w:trPr>
        <w:tc>
          <w:tcPr>
            <w:tcW w:type="dxa" w:w="216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1"/>
              </w:rPr>
              <w:t>Out of time OOT</w:t>
            </w:r>
          </w:p>
        </w:tc>
        <w:tc>
          <w:tcPr>
            <w:tcW w:type="dxa" w:w="80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1"/>
              </w:rPr>
              <w:t>October 2023 through December 2025. The window contains 27 months.</w:t>
            </w:r>
          </w:p>
        </w:tc>
      </w:tr>
      <w:tr>
        <w:trPr>
          <w:cantSplit/>
        </w:trPr>
        <w:tc>
          <w:tcPr>
            <w:tcW w:type="dxa" w:w="216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1"/>
              </w:rPr>
              <w:t>Short run response</w:t>
            </w:r>
          </w:p>
        </w:tc>
        <w:tc>
          <w:tcPr>
            <w:tcW w:type="dxa" w:w="806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1"/>
              </w:rPr>
              <w:t>Combined percentage change from the same month a year earlier. The error correction predictor is EC_lag12.</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Reported means the value printed in the reference document, not a raw monthly data observation. Reproduced means a result calculated from the supplied data. Difference is reproduced minus reported, in the same units. MAPE values and differences are on the percentage scale. Inequality and approximate claims do not receive an arithmetic difference.</w:t>
      </w:r>
    </w:p>
    <w:p>
      <w:pPr>
        <w:keepNext w:val="0"/>
      </w:pPr>
      <w:r>
        <w:rPr>
          <w:rFonts w:ascii="Arial" w:hAnsi="Arial" w:eastAsia="Arial" w:cs="Arial"/>
          <w:b w:val="0"/>
          <w:color w:val="000000"/>
          <w:sz w:val="22"/>
        </w:rPr>
        <w:t>A match uses the reference precision: the tolerance is half a unit in its last displayed decimal, while counts must agree exactly. For a claim such as p &lt; 0.001, only that inequality is checked. KPSS boundary outputs are shown as &lt;=0.01 or &gt;=0.10 where applicable. Amber rows identify numerical differences.</w:t>
      </w:r>
    </w:p>
    <w:p>
      <w:pPr>
        <w:keepNext w:val="0"/>
      </w:pPr>
      <w:r>
        <w:rPr>
          <w:rFonts w:ascii="Arial" w:hAnsi="Arial" w:eastAsia="Arial" w:cs="Arial"/>
          <w:b w:val="0"/>
          <w:color w:val="000000"/>
          <w:sz w:val="22"/>
        </w:rPr>
        <w:t>Section 2.2 uses the full 153-month IS for standalone macro tests, retaining 2010 macro history before transformation. Other sections retain the labeled reconstruction settings. This report-only update replaces the earlier 141-month Section 2.2 comparison; the saved script and audit CSV remain unchanged. Their archived tally is 193 matches and 30 differences.</w:t>
      </w:r>
    </w:p>
    <w:p>
      <w:pPr>
        <w:pStyle w:val="Heading2"/>
      </w:pPr>
      <w:r>
        <w:t>Recorded target scope</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N186</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IS</w:t>
              <w:br/>
              <w:t>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N187</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OOT</w:t>
              <w:br/>
              <w:t>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pStyle w:val="Heading1"/>
      </w:pPr>
      <w:r>
        <w:t>Section 1 1 Raw level stationarity</w:t>
      </w:r>
    </w:p>
    <w:p>
      <w:pPr>
        <w:keepNext/>
      </w:pPr>
      <w:r>
        <w:rPr>
          <w:rFonts w:ascii="Arial" w:hAnsi="Arial" w:eastAsia="Arial" w:cs="Arial"/>
          <w:b w:val="0"/>
          <w:color w:val="000000"/>
          <w:sz w:val="19"/>
        </w:rPr>
        <w:t>Reference Section 1.1. Source page(s): 1.</w:t>
      </w:r>
    </w:p>
    <w:p>
      <w:pPr>
        <w:keepNext/>
      </w:pPr>
      <w:r>
        <w:rPr>
          <w:rFonts w:ascii="Arial" w:hAnsi="Arial" w:eastAsia="Arial" w:cs="Arial"/>
          <w:b w:val="0"/>
          <w:color w:val="000000"/>
          <w:sz w:val="22"/>
        </w:rPr>
        <w:t>ADF and KPSS tests use original levels over the full 153-month IS. ADF includes a constant and uses AIC lag selection. KPSS includes a constant and uses automatic bandwidth selection.</w:t>
      </w:r>
    </w:p>
    <w:p>
      <w:pPr>
        <w:keepNext/>
      </w:pPr>
      <w:r>
        <w:rPr>
          <w:rFonts w:ascii="Arial" w:hAnsi="Arial" w:eastAsia="Arial" w:cs="Arial"/>
          <w:b w:val="0"/>
          <w:color w:val="000000"/>
          <w:sz w:val="20"/>
        </w:rPr>
        <w:t>Numerical claims: 20. Matches: 20.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N001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Combined</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0.932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0.932318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+0.000318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N002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Combined</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N003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0.046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0.046040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+0.000040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N004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N005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CPI</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0.999088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+0.000088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N006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CPI</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N007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DPI</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0.998650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-0.000350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N008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DPI</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N009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SBOpt</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0.337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0.337305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+0.000305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N010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SBOpt</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0.043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0.042821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-0.000179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N011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0.995241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+0.000241</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N012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N013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IP</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0.028687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-0.000313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N014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N015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0.998594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-0.000406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N016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N017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DJ_TotalMkt</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0.958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0.958487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+0.000487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N018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DJ_TotalMkt</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&lt;=0.010000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N188</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Combined</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0.932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0.932318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+0.000318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N189</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LR candidates</w:t>
              <w:br/>
              <w:t>count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All numerical claims match. The reference classifies IP as ambiguous and excludes it. Its ADF p = 0.028687 and KPSS p &gt;= 0.10 instead give consistent support for level stationarity under these specifications. Excluding IP from the proposed I(1) candidate set is consistent with that result, but the label should change.</w:t>
      </w:r>
    </w:p>
    <w:p>
      <w:pPr>
        <w:keepNext w:val="0"/>
      </w:pPr>
      <w:r>
        <w:rPr>
          <w:rFonts w:ascii="Arial" w:hAnsi="Arial" w:eastAsia="Arial" w:cs="Arial"/>
          <w:b w:val="0"/>
          <w:color w:val="000000"/>
          <w:sz w:val="22"/>
        </w:rPr>
        <w:t>Failure to establish level stationarity does not by itself establish I(1). As an additional check, the first difference of CPI has ADF p = 0.259750 and KPSS p &lt;= 0.01 under the recorded specification. The six retained variables should therefore be described as candidate variables rather than all being conclusively verified as I(1).</w:t>
      </w:r>
    </w:p>
    <w:p>
      <w:pPr>
        <w:pStyle w:val="Heading1"/>
      </w:pPr>
      <w:r>
        <w:t>Section 1 2 Long run forward selection</w:t>
      </w:r>
    </w:p>
    <w:p>
      <w:pPr>
        <w:keepNext/>
      </w:pPr>
      <w:r>
        <w:rPr>
          <w:rFonts w:ascii="Arial" w:hAnsi="Arial" w:eastAsia="Arial" w:cs="Arial"/>
          <w:b w:val="0"/>
          <w:color w:val="000000"/>
          <w:sz w:val="19"/>
        </w:rPr>
        <w:t>Reference Section 1.2. Source page(s): 1, 2.</w:t>
      </w:r>
    </w:p>
    <w:p>
      <w:pPr>
        <w:keepNext/>
      </w:pPr>
      <w:r>
        <w:rPr>
          <w:rFonts w:ascii="Arial" w:hAnsi="Arial" w:eastAsia="Arial" w:cs="Arial"/>
          <w:b w:val="0"/>
          <w:color w:val="000000"/>
          <w:sz w:val="22"/>
        </w:rPr>
        <w:t>The reconstructed sequence is CPI, then SBOpt, then stop. Each trial includes an intercept and uses the 153 IS observations. The final model contains CPI and SBOpt in levels.</w:t>
      </w:r>
    </w:p>
    <w:p>
      <w:pPr>
        <w:keepNext/>
      </w:pPr>
      <w:r>
        <w:rPr>
          <w:rFonts w:ascii="Arial" w:hAnsi="Arial" w:eastAsia="Arial" w:cs="Arial"/>
          <w:b w:val="0"/>
          <w:color w:val="000000"/>
          <w:sz w:val="20"/>
        </w:rPr>
        <w:t>Numerical claims: 20. Matches: 20.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N019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CPI</w:t>
              <w:br/>
              <w:t>Added variable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8.578e-88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N020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CPI</w:t>
              <w:br/>
              <w:t>Residual ADF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0.009148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+0.000148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N021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SBOpt</w:t>
              <w:br/>
              <w:t>Added variable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0.029078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+0.000078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N022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SBOpt</w:t>
              <w:br/>
              <w:t>Residual ADF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0.008124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+0.000124</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N023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Intercept</w:t>
              <w:br/>
              <w:t>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-3766.52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-3766.515092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+0.004908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N024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Intercept</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2.480e-40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N025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CPI</w:t>
              <w:br/>
              <w:t>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19.436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19.435917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-0.000083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N026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CPI</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3.145e-88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N027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CPI</w:t>
              <w:br/>
              <w:t>VIF</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1.000288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+0.000288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N028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SBOpt</w:t>
              <w:br/>
              <w:t>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3.872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3.872185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+0.000185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N029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SBOpt</w:t>
              <w:br/>
              <w:t>p-value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0.029078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+0.000078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N030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SBOpt</w:t>
              <w:br/>
              <w:t>VIF</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1.000288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+0.000288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N190</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LR candidates</w:t>
              <w:br/>
              <w:t>count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N191</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Intercept</w:t>
              <w:br/>
              <w:t>Equation 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-3766.52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-3766.515092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+0.004908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N192</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CPI</w:t>
              <w:br/>
              <w:t>Equation 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19.44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19.435917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-0.004083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N193</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SBOpt</w:t>
              <w:br/>
              <w:t>Equation 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3.87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3.872185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+0.002185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N194</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Long run</w:t>
              <w:br/>
              <w:t>R squared</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.929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0.929452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+0.000452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N195</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Long run</w:t>
              <w:br/>
              <w:t>Adjusted R squared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.929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0.928511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-0.000489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N196</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Long run</w:t>
              <w:br/>
              <w:t>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N197</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EC</w:t>
              <w:br/>
              <w:t>Residual ADF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.0081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0.008124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+0.000024</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path is reproduced with added-variable p &lt; 0.05, maximum slope VIF &lt; 10, ordinary residual ADF p &lt; 0.05, and the largest adjusted R squared among eligible candidates. The residual gate and exact VIF cutoff are inferred settings, not fully specified instructions in the source. The selected rounds reproduce the source VIF and residual-stationarity flags. Full trial results are included in Appendix A.</w:t>
      </w:r>
    </w:p>
    <w:p>
      <w:pPr>
        <w:keepNext w:val="0"/>
      </w:pPr>
      <w:r>
        <w:rPr>
          <w:rFonts w:ascii="Arial" w:hAnsi="Arial" w:eastAsia="Arial" w:cs="Arial"/>
          <w:b w:val="0"/>
          <w:color w:val="000000"/>
          <w:sz w:val="22"/>
        </w:rPr>
        <w:t>Without the residual ADF gate, GDP_Wholesale wins the first round under the remaining scoring rules: adjusted R squared is 0.932646 versus 0.926685 for CPI. Its residual ADF p is 0.062588, which excludes it under the inferred gate.</w:t>
      </w:r>
    </w:p>
    <w:p>
      <w:pPr>
        <w:keepNext w:val="0"/>
      </w:pPr>
      <w:r>
        <w:rPr>
          <w:rFonts w:ascii="Arial" w:hAnsi="Arial" w:eastAsia="Arial" w:cs="Arial"/>
          <w:b w:val="0"/>
          <w:color w:val="000000"/>
          <w:sz w:val="22"/>
        </w:rPr>
        <w:t>The final ordinary residual ADF p = 0.008124 reproduces the printed value, but the formal Engle-Granger test gives p = 0.087167. These are not interchangeable tests. The formal test does not reject no cointegration at 5 percent, so the source assertion of confirmed genuine cointegration is stronger than this result supports.</w:t>
      </w:r>
    </w:p>
    <w:p>
      <w:pPr>
        <w:pStyle w:val="Heading1"/>
      </w:pPr>
      <w:r>
        <w:t>Section 2 1 Base short run equation</w:t>
      </w:r>
    </w:p>
    <w:p>
      <w:pPr>
        <w:keepNext/>
      </w:pPr>
      <w:r>
        <w:rPr>
          <w:rFonts w:ascii="Arial" w:hAnsi="Arial" w:eastAsia="Arial" w:cs="Arial"/>
          <w:b w:val="0"/>
          <w:color w:val="000000"/>
          <w:sz w:val="19"/>
        </w:rPr>
        <w:t>Reference Section 2.1. Source page(s): 2.</w:t>
      </w:r>
    </w:p>
    <w:p>
      <w:pPr>
        <w:keepNext/>
      </w:pPr>
      <w:r>
        <w:rPr>
          <w:rFonts w:ascii="Arial" w:hAnsi="Arial" w:eastAsia="Arial" w:cs="Arial"/>
          <w:b w:val="0"/>
          <w:color w:val="000000"/>
          <w:sz w:val="22"/>
        </w:rPr>
        <w:t>The base regression contains an intercept and EC_lag12, with Combined 12-month percentage change as the response. Its effective sample starts in January 2012 and contains 141 observations.</w:t>
      </w:r>
    </w:p>
    <w:p>
      <w:pPr>
        <w:keepNext/>
      </w:pPr>
      <w:r>
        <w:rPr>
          <w:rFonts w:ascii="Arial" w:hAnsi="Arial" w:eastAsia="Arial" w:cs="Arial"/>
          <w:b w:val="0"/>
          <w:color w:val="000000"/>
          <w:sz w:val="20"/>
        </w:rPr>
        <w:t>Numerical claims: 1. Matches: 1.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N198</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Base short run</w:t>
              <w:br/>
              <w:t>Durbin Watson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1.02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1.016513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-0.003487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This reproduces the reported Durbin-Watson number. It is a numerical comparison, not a general endorsement of a single Durbin-Watson threshold as a complete residual diagnostic.</w:t>
      </w:r>
    </w:p>
    <w:p>
      <w:pPr>
        <w:pStyle w:val="Heading1"/>
      </w:pPr>
      <w:r>
        <w:t>Section 2 2 Short run macro stationarity</w:t>
      </w:r>
    </w:p>
    <w:p>
      <w:pPr>
        <w:keepNext/>
      </w:pPr>
      <w:r>
        <w:rPr>
          <w:rFonts w:ascii="Arial" w:hAnsi="Arial" w:eastAsia="Arial" w:cs="Arial"/>
          <w:b w:val="0"/>
          <w:color w:val="000000"/>
          <w:sz w:val="19"/>
        </w:rPr>
        <w:t>Reference Section 2.2. Source page(s): 2.</w:t>
      </w:r>
    </w:p>
    <w:p>
      <w:pPr>
        <w:keepNext/>
      </w:pPr>
      <w:r>
        <w:rPr>
          <w:rFonts w:ascii="Arial" w:hAnsi="Arial" w:eastAsia="Arial" w:cs="Arial"/>
          <w:b w:val="0"/>
          <w:color w:val="000000"/>
          <w:sz w:val="22"/>
        </w:rPr>
        <w:t>The main comparison below uses January 2011 through September 2023, n = 153. Macro data from 2010 are retained to calculate the 2011 transformations. Unrate uses a 12-month percentage-point difference; the other seven macros use 12-month percentage change. These standalone tests do not require a contemporaneous observed value of the income response.</w:t>
      </w:r>
    </w:p>
    <w:p>
      <w:pPr>
        <w:keepNext/>
      </w:pPr>
      <w:r>
        <w:rPr>
          <w:rFonts w:ascii="Arial" w:hAnsi="Arial" w:eastAsia="Arial" w:cs="Arial"/>
          <w:b w:val="0"/>
          <w:color w:val="000000"/>
          <w:sz w:val="20"/>
        </w:rPr>
        <w:t>Numerical claims: 16. Matches: 7. Differences: 9.</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N045</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0.046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0.057227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+0.011227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N046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N047</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CPI</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0.265</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0.389935</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+0.124935</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N048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CPI</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0.014977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+0.004977</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N049</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DPI</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0.005562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+0.003562</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N050</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DPI</w:t>
              <w:br/>
              <w:t>KPSS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0.058</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0.062475</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+0.004475</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N051</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SBOpt</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0.081</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0.175264</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+0.094264</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N052</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SBOpt</w:t>
              <w:br/>
              <w:t>KPSS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0.039823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-0.060177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N053</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GDP_Wholesale</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0.319</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0.257448</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-0.061552</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N054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N055</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IP</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0.030907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+0.013907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N056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N057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w:t>
              <w:br/>
              <w:t>ADF p</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0.130513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+0.000513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N058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N059</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DJ_TotalMkt</w:t>
              <w:br/>
              <w:t>ADF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0.005</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0.007392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+0.002392</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N060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DJ_TotalMkt</w:t>
              <w:br/>
              <w:t>KPSS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&gt;=0.100000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pStyle w:val="Heading2"/>
      </w:pPr>
      <w:r>
        <w:t>Stationarity screening decisions</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2232"/>
        <w:gridCol w:w="2376"/>
        <w:gridCol w:w="2448"/>
      </w:tblGrid>
      <w:tr>
        <w:trPr>
          <w:cantSplit/>
          <w:tblHeader w:val="true"/>
        </w:trPr>
        <w:tc>
          <w:tcPr>
            <w:tcW w:type="dxa" w:w="31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Macro</w:t>
            </w:r>
          </w:p>
        </w:tc>
        <w:tc>
          <w:tcPr>
            <w:tcW w:type="dxa" w:w="223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 decision</w:t>
            </w:r>
          </w:p>
        </w:tc>
        <w:tc>
          <w:tcPr>
            <w:tcW w:type="dxa" w:w="237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IS 153 OR rule</w:t>
            </w:r>
          </w:p>
        </w:tc>
        <w:tc>
          <w:tcPr>
            <w:tcW w:type="dxa" w:w="244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Both tests support</w:t>
            </w:r>
          </w:p>
        </w:tc>
      </w:tr>
      <w:tr>
        <w:trPr>
          <w:cantSplit/>
        </w:trPr>
        <w:tc>
          <w:tcPr>
            <w:tcW w:type="dxa" w:w="316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w:t>
            </w:r>
          </w:p>
        </w:tc>
        <w:tc>
          <w:tcPr>
            <w:tcW w:type="dxa" w:w="2232"/>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No</w:t>
            </w:r>
          </w:p>
        </w:tc>
      </w:tr>
      <w:tr>
        <w:trPr>
          <w:cantSplit/>
        </w:trPr>
        <w:tc>
          <w:tcPr>
            <w:tcW w:type="dxa" w:w="316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CPI</w:t>
            </w:r>
          </w:p>
        </w:tc>
        <w:tc>
          <w:tcPr>
            <w:tcW w:type="dxa" w:w="2232"/>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FAIL</w:t>
            </w:r>
          </w:p>
        </w:tc>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Fail</w:t>
            </w:r>
          </w:p>
        </w:tc>
        <w:tc>
          <w:tcPr>
            <w:tcW w:type="dxa" w:w="24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No</w:t>
            </w:r>
          </w:p>
        </w:tc>
      </w:tr>
      <w:tr>
        <w:trPr>
          <w:cantSplit/>
        </w:trPr>
        <w:tc>
          <w:tcPr>
            <w:tcW w:type="dxa" w:w="316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DPI</w:t>
            </w:r>
          </w:p>
        </w:tc>
        <w:tc>
          <w:tcPr>
            <w:tcW w:type="dxa" w:w="2232"/>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Yes</w:t>
            </w:r>
          </w:p>
        </w:tc>
      </w:tr>
      <w:tr>
        <w:trPr>
          <w:cantSplit/>
        </w:trPr>
        <w:tc>
          <w:tcPr>
            <w:tcW w:type="dxa" w:w="3168"/>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SBOpt</w:t>
            </w:r>
          </w:p>
        </w:tc>
        <w:tc>
          <w:tcPr>
            <w:tcW w:type="dxa" w:w="2232"/>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Fail</w:t>
            </w:r>
          </w:p>
        </w:tc>
        <w:tc>
          <w:tcPr>
            <w:tcW w:type="dxa" w:w="2448"/>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No</w:t>
            </w:r>
          </w:p>
        </w:tc>
      </w:tr>
      <w:tr>
        <w:trPr>
          <w:cantSplit/>
        </w:trPr>
        <w:tc>
          <w:tcPr>
            <w:tcW w:type="dxa" w:w="316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w:t>
            </w:r>
          </w:p>
        </w:tc>
        <w:tc>
          <w:tcPr>
            <w:tcW w:type="dxa" w:w="2232"/>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No</w:t>
            </w:r>
          </w:p>
        </w:tc>
      </w:tr>
      <w:tr>
        <w:trPr>
          <w:cantSplit/>
        </w:trPr>
        <w:tc>
          <w:tcPr>
            <w:tcW w:type="dxa" w:w="316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w:t>
            </w:r>
          </w:p>
        </w:tc>
        <w:tc>
          <w:tcPr>
            <w:tcW w:type="dxa" w:w="2232"/>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Yes</w:t>
            </w:r>
          </w:p>
        </w:tc>
      </w:tr>
      <w:tr>
        <w:trPr>
          <w:cantSplit/>
        </w:trPr>
        <w:tc>
          <w:tcPr>
            <w:tcW w:type="dxa" w:w="316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w:t>
            </w:r>
          </w:p>
        </w:tc>
        <w:tc>
          <w:tcPr>
            <w:tcW w:type="dxa" w:w="2232"/>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No</w:t>
            </w:r>
          </w:p>
        </w:tc>
      </w:tr>
      <w:tr>
        <w:trPr>
          <w:cantSplit/>
        </w:trPr>
        <w:tc>
          <w:tcPr>
            <w:tcW w:type="dxa" w:w="316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DJ_TotalMkt</w:t>
            </w:r>
          </w:p>
        </w:tc>
        <w:tc>
          <w:tcPr>
            <w:tcW w:type="dxa" w:w="2232"/>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OK</w:t>
            </w:r>
          </w:p>
        </w:tc>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Pass</w:t>
            </w:r>
          </w:p>
        </w:tc>
        <w:tc>
          <w:tcPr>
            <w:tcW w:type="dxa" w:w="24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Yes</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reference OR screen passes a variable when ADF p &lt; 0.05 or KPSS p &gt; 0.05. Under the full IS, six macros pass and CPI plus SBOpt fail. DPI, IP and DJ_TotalMkt satisfy both conditions. A failure to reject a test null is not proof that the null is true. The screening labels should not be read as conclusive stationarity findings.</w:t>
      </w:r>
    </w:p>
    <w:p>
      <w:pPr>
        <w:pStyle w:val="Heading2"/>
      </w:pPr>
      <w:r>
        <w:t>Alternative windows for explaining the reference values</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21"/>
        <w:gridCol w:w="1901"/>
        <w:gridCol w:w="1901"/>
        <w:gridCol w:w="1901"/>
        <w:gridCol w:w="1901"/>
      </w:tblGrid>
      <w:tr>
        <w:trPr>
          <w:cantSplit/>
          <w:tblHeader w:val="true"/>
        </w:trPr>
        <w:tc>
          <w:tcPr>
            <w:tcW w:type="dxa" w:w="2621"/>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Macro</w:t>
            </w:r>
          </w:p>
        </w:tc>
        <w:tc>
          <w:tcPr>
            <w:tcW w:type="dxa" w:w="1901"/>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IS 141 ADF p</w:t>
            </w:r>
          </w:p>
        </w:tc>
        <w:tc>
          <w:tcPr>
            <w:tcW w:type="dxa" w:w="1901"/>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IS 141 KPSS p</w:t>
            </w:r>
          </w:p>
        </w:tc>
        <w:tc>
          <w:tcPr>
            <w:tcW w:type="dxa" w:w="1901"/>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Full 168 ADF p</w:t>
            </w:r>
          </w:p>
        </w:tc>
        <w:tc>
          <w:tcPr>
            <w:tcW w:type="dxa" w:w="1901"/>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Full 168 KPSS p</w:t>
            </w:r>
          </w:p>
        </w:tc>
      </w:tr>
      <w:tr>
        <w:trPr>
          <w:cantSplit/>
        </w:trPr>
        <w:tc>
          <w:tcPr>
            <w:tcW w:type="dxa" w:w="2621"/>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Unrate</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0.079624</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0.046525</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r>
      <w:tr>
        <w:trPr>
          <w:cantSplit/>
        </w:trPr>
        <w:tc>
          <w:tcPr>
            <w:tcW w:type="dxa" w:w="2621"/>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CPI</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0.371242</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&lt;=0.010000</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0.265465</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0.010188</w:t>
            </w:r>
          </w:p>
        </w:tc>
      </w:tr>
      <w:tr>
        <w:trPr>
          <w:cantSplit/>
        </w:trPr>
        <w:tc>
          <w:tcPr>
            <w:tcW w:type="dxa" w:w="2621"/>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DPI</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0.007174</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0.041813</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0.002384</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0.058487</w:t>
            </w:r>
          </w:p>
        </w:tc>
      </w:tr>
      <w:tr>
        <w:trPr>
          <w:cantSplit/>
        </w:trPr>
        <w:tc>
          <w:tcPr>
            <w:tcW w:type="dxa" w:w="2621"/>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SBOpt</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0.281308</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0.041655</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0.080984</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&gt;=0.100000</w:t>
            </w:r>
          </w:p>
        </w:tc>
      </w:tr>
      <w:tr>
        <w:trPr>
          <w:cantSplit/>
        </w:trPr>
        <w:tc>
          <w:tcPr>
            <w:tcW w:type="dxa" w:w="2621"/>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GDP_Wholesale</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0.315185</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0.318705</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r>
      <w:tr>
        <w:trPr>
          <w:cantSplit/>
        </w:trPr>
        <w:tc>
          <w:tcPr>
            <w:tcW w:type="dxa" w:w="2621"/>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IP</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0.038361</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&gt;=0.100000</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0.017207</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&gt;=0.100000</w:t>
            </w:r>
          </w:p>
        </w:tc>
      </w:tr>
      <w:tr>
        <w:trPr>
          <w:cantSplit/>
        </w:trPr>
        <w:tc>
          <w:tcPr>
            <w:tcW w:type="dxa" w:w="2621"/>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CorpProfits</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0.219076</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0.130221</w:t>
            </w:r>
          </w:p>
        </w:tc>
        <w:tc>
          <w:tcPr>
            <w:tcW w:type="dxa" w:w="1901"/>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&gt;=0.100000</w:t>
            </w:r>
          </w:p>
        </w:tc>
      </w:tr>
      <w:tr>
        <w:trPr>
          <w:cantSplit/>
        </w:trPr>
        <w:tc>
          <w:tcPr>
            <w:tcW w:type="dxa" w:w="2621"/>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DJ_TotalMkt</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0.005969</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&gt;=0.100000</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0.004506</w:t>
            </w:r>
          </w:p>
        </w:tc>
        <w:tc>
          <w:tcPr>
            <w:tcW w:type="dxa" w:w="1901"/>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&gt;=0.100000</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IS 141 means January 2012 through September 2023 after truncating macro history before transformation. Full 168 means January 2012 through December 2025 and includes OOT observations. The full-sample alternative matches 15 of the 16 reference p-values at the displayed precision. The exception is Unrate ADF: 0.046525 rounds to 0.047 rather than the reported 0.046. This numerical pattern supports a full-sample explanation, but does not establish the original implementation. Neither alternative replaces the 153-month main comparison above.</w:t>
      </w:r>
    </w:p>
    <w:p>
      <w:pPr>
        <w:pStyle w:val="Heading1"/>
      </w:pPr>
      <w:r>
        <w:t>Section 2 3 Partial correlations</w:t>
      </w:r>
    </w:p>
    <w:p>
      <w:pPr>
        <w:keepNext/>
      </w:pPr>
      <w:r>
        <w:rPr>
          <w:rFonts w:ascii="Arial" w:hAnsi="Arial" w:eastAsia="Arial" w:cs="Arial"/>
          <w:b w:val="0"/>
          <w:color w:val="000000"/>
          <w:sz w:val="19"/>
        </w:rPr>
        <w:t>Reference Section 2.3. Source page(s): 3.</w:t>
      </w:r>
    </w:p>
    <w:p>
      <w:pPr>
        <w:keepNext/>
      </w:pPr>
      <w:r>
        <w:rPr>
          <w:rFonts w:ascii="Arial" w:hAnsi="Arial" w:eastAsia="Arial" w:cs="Arial"/>
          <w:b w:val="0"/>
          <w:color w:val="000000"/>
          <w:sz w:val="22"/>
        </w:rPr>
        <w:t>For each macro and lag from 0 through 12, the response and candidate are each regressed on an intercept and EC_lag12 using exactly the same complete rows. Their residual Pearson correlation is calculated separately within IS and OOT. The long-run coefficients used to construct EC remain frozen at the IS estimates; the two auxiliary regressions are fitted within each respective window.</w:t>
      </w:r>
    </w:p>
    <w:p>
      <w:pPr>
        <w:keepNext/>
      </w:pPr>
      <w:r>
        <w:rPr>
          <w:rFonts w:ascii="Arial" w:hAnsi="Arial" w:eastAsia="Arial" w:cs="Arial"/>
          <w:b w:val="0"/>
          <w:color w:val="000000"/>
          <w:sz w:val="20"/>
        </w:rPr>
        <w:t>Numerical claims: 81. Matches: 66. Differences: 15.</w:t>
      </w:r>
    </w:p>
    <w:p>
      <w:pPr>
        <w:keepNext w:val="0"/>
      </w:pPr>
      <w:r>
        <w:rPr>
          <w:rFonts w:ascii="Arial" w:hAnsi="Arial" w:eastAsia="Arial" w:cs="Arial"/>
          <w:b w:val="0"/>
          <w:color w:val="000000"/>
          <w:sz w:val="22"/>
        </w:rPr>
        <w:t>These tables retain the reconstruction profile: truncate macro levels to January 2011 onward, transform, lag, and use candidate-specific complete observations. IS effective n is 141 minus the candidate lag; all OOT calculations use 27 months. This is inferred preprocessing that matches most reported values, not an assertion that the source fully documented it. The retained p-values use n minus 2 degrees of freedom.</w:t>
      </w:r>
    </w:p>
    <w:p>
      <w:pPr>
        <w:pStyle w:val="Heading2"/>
      </w:pPr>
      <w:r>
        <w:t>In sample comparison</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N061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Unrate_lag3</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-0.389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-0.389474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-0.000474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N062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Unrate_lag3</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N065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Unrate_lag4</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-0.315384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-0.000384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N066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Unrate_lag4</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0.000174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N069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Unrate_lag5</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-0.286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-0.285991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+0.000009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N070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Unrate_lag5</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0.000738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-0.000262</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N073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Unrate_lag6</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-0.300025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-0.000025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N074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Unrate_lag6</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0.000407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N077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Unrate_lag7</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-0.295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-0.295034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-0.000034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N078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Unrate_lag7</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0.000539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N081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Unrate_lag8</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-0.323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-0.323455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-0.000455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N082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Unrate_lag8</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0.000146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N085</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Unrate_lag9</w:t>
              <w:br/>
              <w:t>IS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-0.221</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-0.220413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+0.000587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N086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Unrate_lag9</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0.011099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+0.000099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N089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Unrate_lag10</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-0.149633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+0.000367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N090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Unrate_lag10</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0.088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0.088040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+0.000040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N093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DPI_lag10</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0.123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0.122654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-0.000346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N094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DPI_lag10</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0.163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0.162816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-0.000184</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N097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GDP_Wholesale_lag10</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0.209662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-0.000338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N098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GDP_Wholesale_lag10</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0.016240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+0.000240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N101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GDP_Wholesale_lag11</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0.124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0.123667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-0.000333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N102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GDP_Wholesale_lag11</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0.161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0.160978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-0.000022</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N105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IP_lag3</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0.412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0.411862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-0.000138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N106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IP_lag3</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5.198e-07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N109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IP_lag11</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0.161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0.160820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-0.000180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N110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IP_lag11</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0.067574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-0.000426</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N113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CorpProfits_lag2</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0.528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0.527581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-0.000419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N114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CorpProfits_lag2</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2.503e-11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N117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CorpProfits_lag3</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0.473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0.472501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-0.000499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N118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CorpProfits_lag3</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4.880e-09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N121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CorpProfits_lag4</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0.378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0.377774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-0.000226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N122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CorpProfits_lag4</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N125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CorpProfits_lag9</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0.424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0.424288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+0.000288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N126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CorpProfits_lag9</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3.979e-07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N129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CorpProfits_lag10</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0.401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0.400671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-0.000329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N130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CorpProfits_lag10</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0.000002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N133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CorpProfits_lag11</w:t>
              <w:br/>
              <w:t>IS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0.357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0.356923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-0.000077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N134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CorpProfits_lag11</w:t>
              <w:br/>
              <w:t>IS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0.000031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IS has 37 matches out of 38 printed values. Only the Unrate_lag9 correlation differs: the reproduced -0.220413 does not round to the reported -0.221.</w:t>
      </w:r>
    </w:p>
    <w:p>
      <w:pPr>
        <w:pStyle w:val="Heading2"/>
      </w:pPr>
      <w:r>
        <w:t>Out of time comparison</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N063</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Unrate_lag3</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-0.267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-0.260110</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+0.006890</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N064</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Unrate_lag3</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0.178</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0.190093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+0.012093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N067</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Unrate_lag4</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-0.296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-0.304660</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-0.008660</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N068</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Unrate_lag4</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0.133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0.122310</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-0.010690</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N071</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Unrate_lag5</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-0.366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-0.368194</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-0.002194</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N072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Unrate_lag5</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0.058803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-0.001197</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N075</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Unrate_lag6</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-0.452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-0.467963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-0.015963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N076</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Unrate_lag6</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0.018</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0.013833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-0.004167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N079</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Unrate_lag7</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-0.452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-0.441834</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+0.010166</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N080</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Unrate_lag7</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0.018</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0.021033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+0.003033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N083</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Unrate_lag8</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-0.649</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-0.640896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+0.008104</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N084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Unrate_lag8</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0.000316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N087</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Unrate_lag9</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-0.296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-0.379057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-0.083057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N088</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Unrate_lag9</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0.133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0.051187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-0.081813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N091</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Unrate_lag10</w:t>
              <w:br/>
              <w:t>OOT correlation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-0.625</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-0.551103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+0.073897</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N092</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Unrate_lag10</w:t>
              <w:br/>
              <w:t>OOT p</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&lt;0.001</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0.002889</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n/a</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N095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DPI_lag10</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0.439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0.438804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-0.000196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N096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DPI_lag10</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0.022037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+0.000037</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N099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GDP_Wholesale_lag10</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0.348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0.347795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-0.000205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N100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GDP_Wholesale_lag10</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0.075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0.075461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+0.000461</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N103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GDP_Wholesale_lag11</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0.437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0.437147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+0.000147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N104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GDP_Wholesale_lag11</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0.022602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-0.000398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N107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IP_lag3</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0.263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0.263376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+0.000376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N108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IP_lag3</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0.184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0.184388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+0.000388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N111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IP_lag11</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0.316947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-0.000053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N112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IP_lag11</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0.107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0.107219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+0.000219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N115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CorpProfits_lag2</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0.361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0.360602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-0.000398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N116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CorpProfits_lag2</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0.064631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-0.000369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N119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CorpProfits_lag3</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0.381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0.380654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-0.000346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N120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CorpProfits_lag3</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0.050136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+0.000136</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N123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CorpProfits_lag4</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0.256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0.255858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-0.000142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N124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CorpProfits_lag4</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0.198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0.197699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-0.000301</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N127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CorpProfits_lag9</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0.294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0.293818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-0.000182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N128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CorpProfits_lag9</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0.137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0.136872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-0.000128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N131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CorpProfits_lag10</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0.377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0.377336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+0.000336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N132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CorpProfits_lag10</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0.052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0.052339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+0.000339</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N135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CorpProfits_lag11</w:t>
              <w:br/>
              <w:t>OOT correlation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0.311978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-0.000022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N136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CorpProfits_lag11</w:t>
              <w:br/>
              <w:t>OOT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0.113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0.113146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+0.000146</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OOT has 24 matches out of 38 printed values. All 14 differences are in Unrate: eight correlations and six p-values. All 22 OOT numbers for the other reported macro families match. Preserving 2010 history leaves OOT correlations unchanged. Common Unrate transformations and simple rounding alternatives did not reproduce the eight reported OOT correlations. The original Unrate data vintage or source calculation code is needed to identify the cause; a data-version or transcription explanation remains unconfirmed.</w:t>
      </w:r>
    </w:p>
    <w:p>
      <w:pPr>
        <w:pStyle w:val="Heading2"/>
      </w:pPr>
      <w:r>
        <w:t>Screening counts and pool settings</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N199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screen</w:t>
              <w:br/>
              <w:t>survivors</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N200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screen</w:t>
              <w:br/>
              <w:t>total candidates</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104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104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N201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pool</w:t>
              <w:br/>
              <w:t>max lags per family</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N202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pool</w:t>
              <w:br/>
              <w:t>macro pool</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N203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pool</w:t>
              <w:br/>
              <w:t>target lag pool</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Candidates must have p &lt; 0.20 in both windows and the same correlation sign. The reconstruction excludes CPI as in the source. Applying the full-IS stationarity rule also excludes SBOpt, but SBOpt has no partial-correlation survivors in this run, so this additional exclusion does not change the retained list.</w:t>
      </w:r>
    </w:p>
    <w:p>
      <w:pPr>
        <w:keepNext w:val="0"/>
      </w:pPr>
      <w:r>
        <w:rPr>
          <w:rFonts w:ascii="Arial" w:hAnsi="Arial" w:eastAsia="Arial" w:cs="Arial"/>
          <w:b w:val="0"/>
          <w:color w:val="000000"/>
          <w:sz w:val="22"/>
        </w:rPr>
        <w:t>The two-lag family cap is reconstructed by ranking candidates within each family by absolute OOT correlation. Other rankings can reproduce the reported final model, so the original ranking algorithm is not uniquely identified. The nine retained macro candidates and 12 response lags are a later pool reduction, not the initial set of 104 tests.</w:t>
      </w:r>
    </w:p>
    <w:p>
      <w:pPr>
        <w:pStyle w:val="Heading2"/>
      </w:pPr>
      <w:r>
        <w:t>Separate corrections and sample sensitivity</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2880"/>
        <w:gridCol w:w="2880"/>
      </w:tblGrid>
      <w:tr>
        <w:trPr>
          <w:cantSplit/>
          <w:tblHeader w:val="true"/>
        </w:trPr>
        <w:tc>
          <w:tcPr>
            <w:tcW w:type="dxa" w:w="446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c>
          <w:tcPr>
            <w:tcW w:type="dxa" w:w="288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Reconstruction profile</w:t>
            </w:r>
          </w:p>
        </w:tc>
        <w:tc>
          <w:tcPr>
            <w:tcW w:type="dxa" w:w="288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Alternative</w:t>
            </w:r>
          </w:p>
        </w:tc>
      </w:tr>
      <w:tr>
        <w:trPr>
          <w:cantSplit/>
        </w:trPr>
        <w:tc>
          <w:tcPr>
            <w:tcW w:type="dxa" w:w="44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 lag4 OOT p</w:t>
            </w:r>
          </w:p>
        </w:tc>
        <w:tc>
          <w:tcPr>
            <w:tcW w:type="dxa" w:w="288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0.197699</w:t>
            </w:r>
          </w:p>
        </w:tc>
        <w:tc>
          <w:tcPr>
            <w:tcW w:type="dxa" w:w="288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0.207097</w:t>
            </w:r>
          </w:p>
        </w:tc>
      </w:tr>
      <w:tr>
        <w:trPr>
          <w:cantSplit/>
        </w:trPr>
        <w:tc>
          <w:tcPr>
            <w:tcW w:type="dxa" w:w="446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Survivors after p and stationarity screens</w:t>
            </w:r>
          </w:p>
        </w:tc>
        <w:tc>
          <w:tcPr>
            <w:tcW w:type="dxa" w:w="288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19 with n minus 2</w:t>
            </w:r>
          </w:p>
        </w:tc>
        <w:tc>
          <w:tcPr>
            <w:tcW w:type="dxa" w:w="288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18 with n minus 3</w:t>
            </w:r>
          </w:p>
        </w:tc>
      </w:tr>
      <w:tr>
        <w:trPr>
          <w:cantSplit/>
        </w:trPr>
        <w:tc>
          <w:tcPr>
            <w:tcW w:type="dxa" w:w="44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Unrate lag3 IS correlation</w:t>
            </w:r>
          </w:p>
        </w:tc>
        <w:tc>
          <w:tcPr>
            <w:tcW w:type="dxa" w:w="288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-0.389474 with n = 138</w:t>
            </w:r>
          </w:p>
        </w:tc>
        <w:tc>
          <w:tcPr>
            <w:tcW w:type="dxa" w:w="288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-0.387041 with n = 141</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usual partial-correlation t test controlling one variable uses n minus 3 degrees of freedom, under its conventional assumptions. Correcting degrees of freedom does not change correlations. CorpProfits_lag4 moves from p = 0.197699 to 0.207097 and fails the 0.20 OOT gate. This adjustment alone does not address time-series dependence or multiple screening tests.</w:t>
      </w:r>
    </w:p>
    <w:p>
      <w:pPr>
        <w:keepNext w:val="0"/>
      </w:pPr>
      <w:r>
        <w:rPr>
          <w:rFonts w:ascii="Arial" w:hAnsi="Arial" w:eastAsia="Arial" w:cs="Arial"/>
          <w:b w:val="0"/>
          <w:color w:val="000000"/>
          <w:sz w:val="22"/>
        </w:rPr>
        <w:t>The sample alternative retains 2010 macro history before transformation and lagging. The income response and EC_lag12 still limit the effective joint sample to January 2012 onward, so all candidate lags through 12 then have 141 IS rows, not 153. That alternative changes some IS numbers and does not resolve the OOT Unrate discrepancies. OOT is used in feature selection under the source rules, so it is not an untouched end-to-end holdout.</w:t>
      </w:r>
    </w:p>
    <w:p>
      <w:pPr>
        <w:pStyle w:val="Heading1"/>
      </w:pPr>
      <w:r>
        <w:t>Section 2 4 Short run forward selection and final model</w:t>
      </w:r>
    </w:p>
    <w:p>
      <w:pPr>
        <w:keepNext/>
      </w:pPr>
      <w:r>
        <w:rPr>
          <w:rFonts w:ascii="Arial" w:hAnsi="Arial" w:eastAsia="Arial" w:cs="Arial"/>
          <w:b w:val="0"/>
          <w:color w:val="000000"/>
          <w:sz w:val="19"/>
        </w:rPr>
        <w:t>Reference Section 2.4. Source page(s): 3, 4.</w:t>
      </w:r>
    </w:p>
    <w:p>
      <w:pPr>
        <w:keepNext/>
      </w:pPr>
      <w:r>
        <w:rPr>
          <w:rFonts w:ascii="Arial" w:hAnsi="Arial" w:eastAsia="Arial" w:cs="Arial"/>
          <w:b w:val="0"/>
          <w:color w:val="000000"/>
          <w:sz w:val="22"/>
        </w:rPr>
        <w:t>EC_lag12 is forced into the short-run model. Under the reconstructed capped candidate pool, forward selection adds y_lag1, y_lag6, then CorpProfits_lag3. The final model uses 135 observations and includes an intercept.</w:t>
      </w:r>
    </w:p>
    <w:p>
      <w:pPr>
        <w:keepNext/>
      </w:pPr>
      <w:r>
        <w:rPr>
          <w:rFonts w:ascii="Arial" w:hAnsi="Arial" w:eastAsia="Arial" w:cs="Arial"/>
          <w:b w:val="0"/>
          <w:color w:val="000000"/>
          <w:sz w:val="20"/>
        </w:rPr>
        <w:t>Numerical claims: 30. Matches: 28. Differences: 2.</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N031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Intercept</w:t>
              <w:br/>
              <w:t>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2.514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2.513864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-0.000136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N032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Intercept</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0.005210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+0.000210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N033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EC_lag12</w:t>
              <w:br/>
              <w:t>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-0.0546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-0.054608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-0.000008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N034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EC_lag12</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7.444e-15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N035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EC_lag12</w:t>
              <w:br/>
              <w:t>VIF</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1.224835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+0.004835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N036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y_lag1</w:t>
              <w:br/>
              <w:t>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0.366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0.365935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-0.000065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N037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y_lag1</w:t>
              <w:br/>
              <w:t>p-value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6.984e-07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N038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y_lag1</w:t>
              <w:br/>
              <w:t>VIF</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2.29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2.291355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+0.001355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N039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y_lag6</w:t>
              <w:br/>
              <w:t>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0.220251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+0.000251</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N040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y_lag6</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0.000038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N041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y_lag6</w:t>
              <w:br/>
              <w:t>VIF</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1.264738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+0.004738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N042</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CorpProfits_lag3</w:t>
              <w:br/>
              <w:t>Coefficient</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0.214</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0.213477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-0.000523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N043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CorpProfits_lag3</w:t>
              <w:br/>
              <w:t>p-value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0.023587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-0.000413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N044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CorpProfits_lag3</w:t>
              <w:br/>
              <w:t>VIF</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2.09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2.090603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+0.000603</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N137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y_lag1</w:t>
              <w:br/>
              <w:t>Adjusted R squared</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0.665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0.665033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+0.000033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N138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y_lag6</w:t>
              <w:br/>
              <w:t>Adjusted R squared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0.704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0.703816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-0.000184</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N139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CorpProfits_lag3</w:t>
              <w:br/>
              <w:t>Adjusted R squared</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0.713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0.713118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+0.000118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N204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Intercept</w:t>
              <w:br/>
              <w:t>Equation 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2.514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2.513864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-0.000136</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N205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EC_lag12</w:t>
              <w:br/>
              <w:t>Equation 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-0.0546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-0.054608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-0.000008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N206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y_lag1</w:t>
              <w:br/>
              <w:t>Equation coefficient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0.366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0.365935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-0.000065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N207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y_lag6</w:t>
              <w:br/>
              <w:t>Equation coefficient</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0.220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0.220251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+0.000251</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N208</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CorpProfits_lag3</w:t>
              <w:br/>
              <w:t>Equation coefficient</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0.214</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0.213477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-0.000523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N209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Short run</w:t>
              <w:br/>
              <w:t>R squared</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.722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0.721682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-0.000318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N210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Short run</w:t>
              <w:br/>
              <w:t>Adjusted R squared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.713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0.713118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+0.000118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N211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Short run</w:t>
              <w:br/>
              <w:t>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135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135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N212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Short run</w:t>
              <w:br/>
              <w:t>AIC</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940.5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940.541891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+0.041891</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N213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Short run</w:t>
              <w:br/>
              <w:t>Durbin Watson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2.075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2.074784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-0.000216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N214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Short run</w:t>
              <w:br/>
              <w:t>Jarque Bera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.935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0.934819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-0.000181</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N215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IS reconstruction</w:t>
              <w:br/>
              <w:t>MAPE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5.56%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5.557508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-0.002492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N216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IS reconstruction</w:t>
              <w:br/>
              <w:t>RMSE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110.4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110.428118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+0.028118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only numerical differences are the two printed occurrences of the CorpProfits_lag3 coefficient. Its reproduced value is 0.213477, which rounds to 0.213 at three decimals, not 0.214. The p-value, VIF and final model diagnostics match.</w:t>
      </w:r>
    </w:p>
    <w:p>
      <w:pPr>
        <w:keepNext w:val="0"/>
      </w:pPr>
      <w:r>
        <w:rPr>
          <w:rFonts w:ascii="Arial" w:hAnsi="Arial" w:eastAsia="Arial" w:cs="Arial"/>
          <w:b w:val="0"/>
          <w:color w:val="000000"/>
          <w:sz w:val="22"/>
        </w:rPr>
        <w:t>The source says no further variable qualifies after the third addition, which is reproduced for the inferred pool. Comparing adjusted R squared across rounds also requires attention to the changing sample: the base has 141 observations, the first addition 140, and the second and third 135. A common 129-observation candidate sample instead retains EC_lag12, y_lag1 and y_lag6 without CorpProfits_lag3. Neither this sensitivity nor an alternative cap ranking replaces the displayed reconstruction.</w:t>
      </w:r>
    </w:p>
    <w:p>
      <w:pPr>
        <w:pStyle w:val="Heading1"/>
      </w:pPr>
      <w:r>
        <w:t>Section 3 Out of time backtest</w:t>
      </w:r>
    </w:p>
    <w:p>
      <w:pPr>
        <w:keepNext/>
      </w:pPr>
      <w:r>
        <w:rPr>
          <w:rFonts w:ascii="Arial" w:hAnsi="Arial" w:eastAsia="Arial" w:cs="Arial"/>
          <w:b w:val="0"/>
          <w:color w:val="000000"/>
          <w:sz w:val="19"/>
        </w:rPr>
        <w:t>Reference Section 3. Source page(s): 4.</w:t>
      </w:r>
    </w:p>
    <w:p>
      <w:pPr>
        <w:keepNext/>
      </w:pPr>
      <w:r>
        <w:rPr>
          <w:rFonts w:ascii="Arial" w:hAnsi="Arial" w:eastAsia="Arial" w:cs="Arial"/>
          <w:b w:val="0"/>
          <w:color w:val="000000"/>
          <w:sz w:val="22"/>
        </w:rPr>
        <w:t>All four reported performance values match. The OOT window is October 2023 through December 2025, n = 27. Metrics are evaluated on reconstructed income levels, not on the percentage-change response.</w:t>
      </w:r>
    </w:p>
    <w:p>
      <w:pPr>
        <w:keepNext/>
      </w:pPr>
      <w:r>
        <w:rPr>
          <w:rFonts w:ascii="Arial" w:hAnsi="Arial" w:eastAsia="Arial" w:cs="Arial"/>
          <w:b w:val="0"/>
          <w:color w:val="000000"/>
          <w:sz w:val="20"/>
        </w:rPr>
        <w:t>Numerical claims: 4. Matches: 4.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N140</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Static one step</w:t>
              <w:br/>
              <w:t>RMSE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485.8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485.812932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+0.012932</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N141</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Static one step</w:t>
              <w:br/>
              <w:t>MAPE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19.15%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19.147335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-0.002665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N142</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Dynamic recursive</w:t>
              <w:br/>
              <w:t>RMSE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628.2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628.180125</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-0.019875</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N143</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Dynamic recursive</w:t>
              <w:br/>
              <w:t>MAPE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25.62%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25.624645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+0.004645</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Static one-step reconstruction uses the observed history available before each target month. The dynamic recursive version updates predicted income levels, income growth and EC after the forecast origin, without substituting future actual EC. The supplied macro paths are taken as given, so these are conditional forecasts rather than evaluations of macro-forecast accuracy. The source OOT period had already influenced feature selection.</w:t>
      </w:r>
    </w:p>
    <w:p>
      <w:pPr>
        <w:pStyle w:val="Heading1"/>
      </w:pPr>
      <w:r>
        <w:t>Section 4 Error correction diagnosis</w:t>
      </w:r>
    </w:p>
    <w:p>
      <w:pPr>
        <w:keepNext/>
      </w:pPr>
      <w:r>
        <w:rPr>
          <w:rFonts w:ascii="Arial" w:hAnsi="Arial" w:eastAsia="Arial" w:cs="Arial"/>
          <w:b w:val="0"/>
          <w:color w:val="000000"/>
          <w:sz w:val="19"/>
        </w:rPr>
        <w:t>Reference Section 4. Source page(s): 4.</w:t>
      </w:r>
    </w:p>
    <w:p>
      <w:pPr>
        <w:keepNext/>
      </w:pPr>
      <w:r>
        <w:rPr>
          <w:rFonts w:ascii="Arial" w:hAnsi="Arial" w:eastAsia="Arial" w:cs="Arial"/>
          <w:b w:val="0"/>
          <w:color w:val="000000"/>
          <w:sz w:val="22"/>
        </w:rPr>
        <w:t>EC is actual Combined income minus the frozen IS long-run macro baseline. This section summarizes current EC in income units, not EC_lag12 or percentage changes. IS includes all 153 level observations; OOT includes 27. Standard deviations use the sample convention with denominator n minus 1.</w:t>
      </w:r>
    </w:p>
    <w:p>
      <w:pPr>
        <w:keepNext/>
      </w:pPr>
      <w:r>
        <w:rPr>
          <w:rFonts w:ascii="Arial" w:hAnsi="Arial" w:eastAsia="Arial" w:cs="Arial"/>
          <w:b w:val="0"/>
          <w:color w:val="000000"/>
          <w:sz w:val="20"/>
        </w:rPr>
        <w:t>Numerical claims: 8. Matches: 7. Differences: 1.</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N144</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IS</w:t>
              <w:br/>
              <w:t>Mean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2.051e-13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N145</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IS</w:t>
              <w:br/>
              <w:t>Sample SD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120.312560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+0.312560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N146</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OOT</w:t>
              <w:br/>
              <w:t>Mean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-510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-510.048276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-0.048276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N147</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OOT</w:t>
              <w:br/>
              <w:t>Sample SD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265</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264.935329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-0.064671</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N148</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2023</w:t>
              <w:br/>
              <w:t>Mean</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-62</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-101.876363</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-39.876363</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N149</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w:t>
              <w:br/>
              <w:t>Mean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-399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-399.309223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-0.309223</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N150</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2025</w:t>
              <w:br/>
              <w:t>Mean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-723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-722.830306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+0.169694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N217</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EC IS</w:t>
              <w:br/>
              <w:t>Sample SD</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120.312560</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+0.312560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048"/>
        <w:gridCol w:w="936"/>
        <w:gridCol w:w="3240"/>
      </w:tblGrid>
      <w:tr>
        <w:trPr>
          <w:cantSplit/>
          <w:tblHeader w:val="true"/>
        </w:trPr>
        <w:tc>
          <w:tcPr>
            <w:tcW w:type="dxa" w:w="604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2023 period definition</w:t>
            </w:r>
          </w:p>
        </w:tc>
        <w:tc>
          <w:tcPr>
            <w:tcW w:type="dxa" w:w="93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Months</w:t>
            </w:r>
          </w:p>
        </w:tc>
        <w:tc>
          <w:tcPr>
            <w:tcW w:type="dxa" w:w="32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 mean EC</w:t>
            </w:r>
          </w:p>
        </w:tc>
      </w:tr>
      <w:tr>
        <w:trPr>
          <w:cantSplit/>
        </w:trPr>
        <w:tc>
          <w:tcPr>
            <w:tcW w:type="dxa" w:w="60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OOT portion October through December</w:t>
            </w:r>
          </w:p>
        </w:tc>
        <w:tc>
          <w:tcPr>
            <w:tcW w:type="dxa" w:w="936"/>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w:t>
            </w:r>
          </w:p>
        </w:tc>
        <w:tc>
          <w:tcPr>
            <w:tcW w:type="dxa" w:w="3240"/>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-101.876363</w:t>
            </w:r>
          </w:p>
        </w:tc>
      </w:tr>
      <w:tr>
        <w:trPr>
          <w:cantSplit/>
        </w:trPr>
        <w:tc>
          <w:tcPr>
            <w:tcW w:type="dxa" w:w="60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Full year January through December</w:t>
            </w:r>
          </w:p>
        </w:tc>
        <w:tc>
          <w:tcPr>
            <w:tcW w:type="dxa" w:w="936"/>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w:t>
            </w:r>
          </w:p>
        </w:tc>
        <w:tc>
          <w:tcPr>
            <w:tcW w:type="dxa" w:w="3240"/>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-61.543162</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reported 2023 partial value of -62 matches the full-year mean -61.543162, not the OOT three-month mean -101.876363. Either change the label to the full year or report approximately -102 for the partial OOT year.</w:t>
      </w:r>
    </w:p>
    <w:p>
      <w:pPr>
        <w:keepNext w:val="0"/>
      </w:pPr>
      <w:r>
        <w:rPr>
          <w:rFonts w:ascii="Arial" w:hAnsi="Arial" w:eastAsia="Arial" w:cs="Arial"/>
          <w:b w:val="0"/>
          <w:color w:val="000000"/>
          <w:sz w:val="22"/>
        </w:rPr>
        <w:t>OOT EC remains negative, but is not monotonically declining. Across its 26 month-to-month changes, 11 increase and 15 decrease. The appropriate description is an overall downward movement with monthly fluctuations. The frozen baseline exceeds actual income by about 510 income units on average during OOT; this describes a deviation and does not by itself identify its business cause.</w:t>
      </w:r>
    </w:p>
    <w:p>
      <w:pPr>
        <w:pStyle w:val="Heading1"/>
      </w:pPr>
      <w:r>
        <w:t>Section 5 1 CUSUM coefficient stability test</w:t>
      </w:r>
    </w:p>
    <w:p>
      <w:pPr>
        <w:keepNext/>
      </w:pPr>
      <w:r>
        <w:rPr>
          <w:rFonts w:ascii="Arial" w:hAnsi="Arial" w:eastAsia="Arial" w:cs="Arial"/>
          <w:b w:val="0"/>
          <w:color w:val="000000"/>
          <w:sz w:val="19"/>
        </w:rPr>
        <w:t>Reference Section 5.1. Source page(s): 4.</w:t>
      </w:r>
    </w:p>
    <w:p>
      <w:pPr>
        <w:keepNext/>
      </w:pPr>
      <w:r>
        <w:rPr>
          <w:rFonts w:ascii="Arial" w:hAnsi="Arial" w:eastAsia="Arial" w:cs="Arial"/>
          <w:b w:val="0"/>
          <w:color w:val="000000"/>
          <w:sz w:val="22"/>
        </w:rPr>
        <w:t>The reported numbers use a residual-based CUSUM test with a degrees-of-freedom adjustment of 3, reflecting the intercept and two regressors. The long-run level equation is re-estimated separately on IS, n = 153, and the full January 2011 to December 2025 sample, n = 180.</w:t>
      </w:r>
    </w:p>
    <w:p>
      <w:pPr>
        <w:keepNext/>
      </w:pPr>
      <w:r>
        <w:rPr>
          <w:rFonts w:ascii="Arial" w:hAnsi="Arial" w:eastAsia="Arial" w:cs="Arial"/>
          <w:b w:val="0"/>
          <w:color w:val="000000"/>
          <w:sz w:val="20"/>
        </w:rPr>
        <w:t>Numerical claims: 4. Matches: 4.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IS</w:t>
              <w:br/>
              <w:t>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0.951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0.950693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-0.000307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N152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IS</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0.327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0.326636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-0.000364</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Full sample</w:t>
              <w:br/>
              <w:t>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2.173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2.173068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+0.000068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N154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Full sample</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0.000158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-0.000042</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All values match. The IS result does not reject stability at 5 percent, whereas the full-sample result rejects it. Non-rejection is not proof of stability. The full-sample test is retrospective and is not calculated merely by appending the Section 4 frozen-baseline EC values.</w:t>
      </w:r>
    </w:p>
    <w:p>
      <w:pPr>
        <w:pStyle w:val="Heading1"/>
      </w:pPr>
      <w:r>
        <w:t>Section 5 2 Chow break tests</w:t>
      </w:r>
    </w:p>
    <w:p>
      <w:pPr>
        <w:keepNext/>
      </w:pPr>
      <w:r>
        <w:rPr>
          <w:rFonts w:ascii="Arial" w:hAnsi="Arial" w:eastAsia="Arial" w:cs="Arial"/>
          <w:b w:val="0"/>
          <w:color w:val="000000"/>
          <w:sz w:val="19"/>
        </w:rPr>
        <w:t>Reference Section 5.2. Source page(s): 5.</w:t>
      </w:r>
    </w:p>
    <w:p>
      <w:pPr>
        <w:keepNext/>
      </w:pPr>
      <w:r>
        <w:rPr>
          <w:rFonts w:ascii="Arial" w:hAnsi="Arial" w:eastAsia="Arial" w:cs="Arial"/>
          <w:b w:val="0"/>
          <w:color w:val="000000"/>
          <w:sz w:val="22"/>
        </w:rPr>
        <w:t>For each reported break date, the pooled model and the pre-break and post-break models all use the same level specification with an intercept, CPI and SBOpt. The pooled sample has 180 observations; the break month belongs to the post-break period. Each F test compares three coefficients, with denominator degrees of freedom 174.</w:t>
      </w:r>
    </w:p>
    <w:p>
      <w:pPr>
        <w:keepNext/>
      </w:pPr>
      <w:r>
        <w:rPr>
          <w:rFonts w:ascii="Arial" w:hAnsi="Arial" w:eastAsia="Arial" w:cs="Arial"/>
          <w:b w:val="0"/>
          <w:color w:val="000000"/>
          <w:sz w:val="20"/>
        </w:rPr>
        <w:t>Numerical claims: 16. Matches: 16.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2023-01-01</w:t>
              <w:br/>
              <w:t>F 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88.1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88.103789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+0.003789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N156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2023-01-01</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1.020e-34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2023-01-01</w:t>
              <w:br/>
              <w:t>Pre break 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144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144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N158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2023-01-01</w:t>
              <w:br/>
              <w:t>Post break 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N159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2023-10-01</w:t>
              <w:br/>
              <w:t>F 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85.39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85.390824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+0.000824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N160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2023-10-01</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5.177e-34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N161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2023-10-01</w:t>
              <w:br/>
              <w:t>Pre break 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N162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2023-10-01</w:t>
              <w:br/>
              <w:t>Post break 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N163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2024-01-01</w:t>
              <w:br/>
              <w:t>F 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85.44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85.438169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-0.001831</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N164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2024-01-01</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5.031e-34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N165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2024-01-01</w:t>
              <w:br/>
              <w:t>Pre break 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156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N166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2024-01-01</w:t>
              <w:br/>
              <w:t>Post break 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N167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2024-07-01</w:t>
              <w:br/>
              <w:t>F statistic</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66.24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66.243188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+0.003188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N168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2024-07-01</w:t>
              <w:br/>
              <w:t>p-value</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1.277e-28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N169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2024-07-01</w:t>
              <w:br/>
              <w:t>Pre break n</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162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162</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N170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2024-07-01</w:t>
              <w:br/>
              <w:t>Post break n</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All reported F statistics, p-value inequalities and pre/post counts match. These are conventional Chow tests; the results do not establish that the errors satisfy every classical test assumption. Testing several candidate dates and also running CUSUM does not make the resulting evidence statistically independent.</w:t>
      </w:r>
    </w:p>
    <w:p>
      <w:pPr>
        <w:pStyle w:val="Heading1"/>
      </w:pPr>
      <w:r>
        <w:t>Section 5 3 Rolling window coefficients</w:t>
      </w:r>
    </w:p>
    <w:p>
      <w:pPr>
        <w:keepNext/>
      </w:pPr>
      <w:r>
        <w:rPr>
          <w:rFonts w:ascii="Arial" w:hAnsi="Arial" w:eastAsia="Arial" w:cs="Arial"/>
          <w:b w:val="0"/>
          <w:color w:val="000000"/>
          <w:sz w:val="19"/>
        </w:rPr>
        <w:t>Reference Section 5.3. Source page(s): 5.</w:t>
      </w:r>
    </w:p>
    <w:p>
      <w:pPr>
        <w:keepNext/>
      </w:pPr>
      <w:r>
        <w:rPr>
          <w:rFonts w:ascii="Arial" w:hAnsi="Arial" w:eastAsia="Arial" w:cs="Arial"/>
          <w:b w:val="0"/>
          <w:color w:val="000000"/>
          <w:sz w:val="22"/>
        </w:rPr>
        <w:t>Each endpoint uses the 30 calendar months ending in that month, inclusive. The intercept and both slopes are re-estimated in every window. The target and CPI/SBOpt regressors are levels. There is no new forward selection and the coefficients are not frozen as in Section 4.</w:t>
      </w:r>
    </w:p>
    <w:p>
      <w:pPr>
        <w:keepNext/>
      </w:pPr>
      <w:r>
        <w:rPr>
          <w:rFonts w:ascii="Arial" w:hAnsi="Arial" w:eastAsia="Arial" w:cs="Arial"/>
          <w:b w:val="0"/>
          <w:color w:val="000000"/>
          <w:sz w:val="20"/>
        </w:rPr>
        <w:t>Numerical claims: 13. Matches: 11. Differences: 2.</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N171</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2022-06</w:t>
              <w:br/>
              <w:t>CPI</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26.9</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31.253766</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+4.353766</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N172</w:t>
            </w:r>
          </w:p>
        </w:tc>
        <w:tc>
          <w:tcPr>
            <w:tcW w:type="dxa" w:w="3384"/>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000000"/>
                <w:sz w:val="20"/>
              </w:rPr>
              <w:t>2022-06</w:t>
              <w:br/>
              <w:t>SBOpt</w:t>
            </w:r>
          </w:p>
        </w:tc>
        <w:tc>
          <w:tcPr>
            <w:tcW w:type="dxa" w:w="1368"/>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27.7</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26.877869</w:t>
            </w:r>
          </w:p>
        </w:tc>
        <w:tc>
          <w:tcPr>
            <w:tcW w:type="dxa" w:w="1642"/>
            <w:vAlign w:val="center"/>
            <w:tcMar>
              <w:top w:w="75" w:type="dxa"/>
              <w:bottom w:w="75" w:type="dxa"/>
              <w:left w:w="85" w:type="dxa"/>
              <w:right w:w="85" w:type="dxa"/>
            </w:tcMar>
            <w:shd w:fill="FFF1DD"/>
          </w:tcPr>
          <w:p>
            <w:pPr>
              <w:keepNext w:val="0"/>
              <w:spacing w:before="0" w:after="0" w:line="247" w:lineRule="auto"/>
              <w:jc w:val="right"/>
            </w:pPr>
            <w:r>
              <w:rPr>
                <w:rFonts w:ascii="Arial" w:hAnsi="Arial" w:eastAsia="Arial" w:cs="Arial"/>
                <w:b w:val="0"/>
                <w:color w:val="9E3A20"/>
                <w:sz w:val="20"/>
              </w:rPr>
              <w:t>-0.822131</w:t>
            </w:r>
          </w:p>
        </w:tc>
        <w:tc>
          <w:tcPr>
            <w:tcW w:type="dxa" w:w="1440"/>
            <w:vAlign w:val="center"/>
            <w:tcMar>
              <w:top w:w="75" w:type="dxa"/>
              <w:bottom w:w="75" w:type="dxa"/>
              <w:left w:w="85" w:type="dxa"/>
              <w:right w:w="85" w:type="dxa"/>
            </w:tcMar>
            <w:shd w:fill="FFF1DD"/>
          </w:tcPr>
          <w:p>
            <w:pPr>
              <w:keepNext w:val="0"/>
              <w:spacing w:before="0" w:after="0" w:line="247" w:lineRule="auto"/>
              <w:jc w:val="left"/>
            </w:pPr>
            <w:r>
              <w:rPr>
                <w:rFonts w:ascii="Arial" w:hAnsi="Arial" w:eastAsia="Arial" w:cs="Arial"/>
                <w:b w:val="0"/>
                <w:color w:val="9E3A20"/>
                <w:sz w:val="20"/>
              </w:rPr>
              <w:t>Different</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N173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2023-06</w:t>
              <w:br/>
              <w:t>CPI</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24.6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24.557376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-0.042624</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N174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2023-06</w:t>
              <w:br/>
              <w:t>SBOpt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17.4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17.373068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-0.026932</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N175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2023-09</w:t>
              <w:br/>
              <w:t>CPI</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8.921868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+0.021868</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N176</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2023-09</w:t>
              <w:br/>
              <w:t>SBOpt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-24.6</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-24.571987</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+0.028013</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N177</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2024-06</w:t>
              <w:br/>
              <w:t>CPI</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-1.261353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+0.038647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N178</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2024-06</w:t>
              <w:br/>
              <w:t>SBOpt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-34.8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-34.833178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-0.033178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N179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2025-06</w:t>
              <w:br/>
              <w:t>CPI</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-6.6</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-6.626093</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-0.026093</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N180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2025-06</w:t>
              <w:br/>
              <w:t>SBOpt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-15.4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-15.353032</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+0.046968</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N181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2025-12</w:t>
              <w:br/>
              <w:t>CPI</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-11.9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-11.931380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-0.031380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N182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2025-12</w:t>
              <w:br/>
              <w:t>SBOpt</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-11.4</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-11.351428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+0.048572</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N218</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rolling</w:t>
              <w:br/>
              <w:t>window months</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30</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Ten of the 12 printed slopes match. Both slopes at June 2022 differ. The stated window is January 2020 through June 2022; it gives CPI = 31.253766 and SBOpt = 26.877869, or 31.3 and 26.9 at the source precision. Testing 24-, 30- and 36-month windows with all 12 endpoints in 2022 did not reproduce the reported pair 26.9 and 27.7. The cause of this row remains unresolved.</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2880"/>
        <w:gridCol w:w="2880"/>
      </w:tblGrid>
      <w:tr>
        <w:trPr>
          <w:cantSplit/>
          <w:tblHeader w:val="true"/>
        </w:trPr>
        <w:tc>
          <w:tcPr>
            <w:tcW w:type="dxa" w:w="446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Window endpoint</w:t>
            </w:r>
          </w:p>
        </w:tc>
        <w:tc>
          <w:tcPr>
            <w:tcW w:type="dxa" w:w="288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CPI p</w:t>
            </w:r>
          </w:p>
        </w:tc>
        <w:tc>
          <w:tcPr>
            <w:tcW w:type="dxa" w:w="288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SBOpt p</w:t>
            </w:r>
          </w:p>
        </w:tc>
      </w:tr>
      <w:tr>
        <w:trPr>
          <w:cantSplit/>
        </w:trPr>
        <w:tc>
          <w:tcPr>
            <w:tcW w:type="dxa" w:w="44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2024-06</w:t>
            </w:r>
          </w:p>
        </w:tc>
        <w:tc>
          <w:tcPr>
            <w:tcW w:type="dxa" w:w="2880"/>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0.740352</w:t>
            </w:r>
          </w:p>
        </w:tc>
        <w:tc>
          <w:tcPr>
            <w:tcW w:type="dxa" w:w="2880"/>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0.055956</w:t>
            </w:r>
          </w:p>
        </w:tc>
      </w:tr>
      <w:tr>
        <w:trPr>
          <w:cantSplit/>
        </w:trPr>
        <w:tc>
          <w:tcPr>
            <w:tcW w:type="dxa" w:w="446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2025-06</w:t>
            </w:r>
          </w:p>
        </w:tc>
        <w:tc>
          <w:tcPr>
            <w:tcW w:type="dxa" w:w="2880"/>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0.159715</w:t>
            </w:r>
          </w:p>
        </w:tc>
        <w:tc>
          <w:tcPr>
            <w:tcW w:type="dxa" w:w="2880"/>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0.024418</w:t>
            </w:r>
          </w:p>
        </w:tc>
      </w:tr>
      <w:tr>
        <w:trPr>
          <w:cantSplit/>
        </w:trPr>
        <w:tc>
          <w:tcPr>
            <w:tcW w:type="dxa" w:w="446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2025-12</w:t>
            </w:r>
          </w:p>
        </w:tc>
        <w:tc>
          <w:tcPr>
            <w:tcW w:type="dxa" w:w="2880"/>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0.030092</w:t>
            </w:r>
          </w:p>
        </w:tc>
        <w:tc>
          <w:tcPr>
            <w:tcW w:type="dxa" w:w="2880"/>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0.103381</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Estimated coefficient sign changes are reproduced, but not every negative estimate is significant. For example, the June 2024 CPI slope is -1.261353 with conventional OLS p = 0.740352. A more precise description is that rolling estimates change materially and cross zero; the coefficient table alone does not prove a significant economic reversal. Later windows include OOT observations and are retrospective diagnostics.</w:t>
      </w:r>
    </w:p>
    <w:p>
      <w:pPr>
        <w:pStyle w:val="Heading1"/>
      </w:pPr>
      <w:r>
        <w:t>Section 6 1 Full OOT trend diagnostic</w:t>
      </w:r>
    </w:p>
    <w:p>
      <w:pPr>
        <w:keepNext/>
      </w:pPr>
      <w:r>
        <w:rPr>
          <w:rFonts w:ascii="Arial" w:hAnsi="Arial" w:eastAsia="Arial" w:cs="Arial"/>
          <w:b w:val="0"/>
          <w:color w:val="000000"/>
          <w:sz w:val="19"/>
        </w:rPr>
        <w:t>Reference Section 6.1. Source page(s): 5.</w:t>
      </w:r>
    </w:p>
    <w:p>
      <w:pPr>
        <w:keepNext/>
      </w:pPr>
      <w:r>
        <w:rPr>
          <w:rFonts w:ascii="Arial" w:hAnsi="Arial" w:eastAsia="Arial" w:cs="Arial"/>
          <w:b w:val="0"/>
          <w:color w:val="000000"/>
          <w:sz w:val="22"/>
        </w:rPr>
        <w:t>A linear trend is fitted to the 27 monthly EC observations from October 2023 through December 2025. The slope is expressed in income units per month. This is a retrospective fit, not an out-of-sample forecast.</w:t>
      </w:r>
    </w:p>
    <w:p>
      <w:pPr>
        <w:keepNext/>
      </w:pPr>
      <w:r>
        <w:rPr>
          <w:rFonts w:ascii="Arial" w:hAnsi="Arial" w:eastAsia="Arial" w:cs="Arial"/>
          <w:b w:val="0"/>
          <w:color w:val="000000"/>
          <w:sz w:val="20"/>
        </w:rPr>
        <w:t>Numerical claims: 3. Matches: 3.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N219</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Full OOT</w:t>
              <w:br/>
              <w:t>Trend slope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-29.44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-29.441591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-0.001591</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N220</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Full OOT</w:t>
              <w:br/>
              <w:t>Slope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1.196e-09</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N221</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Full OOT</w:t>
              <w:br/>
              <w:t>R squared</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.778</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0.778007</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+0.000007</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pStyle w:val="Heading1"/>
      </w:pPr>
      <w:r>
        <w:t>Section 6 2 Baseline plus overlay validation</w:t>
      </w:r>
    </w:p>
    <w:p>
      <w:pPr>
        <w:keepNext/>
      </w:pPr>
      <w:r>
        <w:rPr>
          <w:rFonts w:ascii="Arial" w:hAnsi="Arial" w:eastAsia="Arial" w:cs="Arial"/>
          <w:b w:val="0"/>
          <w:color w:val="000000"/>
          <w:sz w:val="19"/>
        </w:rPr>
        <w:t>Reference Section 6.2. Source page(s): 5.</w:t>
      </w:r>
    </w:p>
    <w:p>
      <w:pPr>
        <w:keepNext/>
      </w:pPr>
      <w:r>
        <w:rPr>
          <w:rFonts w:ascii="Arial" w:hAnsi="Arial" w:eastAsia="Arial" w:cs="Arial"/>
          <w:b w:val="0"/>
          <w:color w:val="000000"/>
          <w:sz w:val="22"/>
        </w:rPr>
        <w:t>The overlay trend is fitted on the first 18 OOT months, October 2023 through March 2025, then extrapolated over the final nine months, April through December 2025. The frozen long-run macro baseline is combined with this extrapolated EC adjustment to form an income-level prediction.</w:t>
      </w:r>
    </w:p>
    <w:p>
      <w:pPr>
        <w:keepNext/>
      </w:pPr>
      <w:r>
        <w:rPr>
          <w:rFonts w:ascii="Arial" w:hAnsi="Arial" w:eastAsia="Arial" w:cs="Arial"/>
          <w:b w:val="0"/>
          <w:color w:val="000000"/>
          <w:sz w:val="20"/>
        </w:rPr>
        <w:t>Numerical claims: 5. Matches: 5. Differences: 0.</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49"/>
        <w:gridCol w:w="3384"/>
        <w:gridCol w:w="1368"/>
        <w:gridCol w:w="1642"/>
        <w:gridCol w:w="1642"/>
        <w:gridCol w:w="1440"/>
      </w:tblGrid>
      <w:tr>
        <w:trPr>
          <w:cantSplit/>
          <w:tblHeader w:val="true"/>
        </w:trPr>
        <w:tc>
          <w:tcPr>
            <w:tcW w:type="dxa" w:w="74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ID</w:t>
            </w:r>
          </w:p>
        </w:tc>
        <w:tc>
          <w:tcPr>
            <w:tcW w:type="dxa" w:w="33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Result</w:t>
            </w:r>
          </w:p>
        </w:tc>
        <w:tc>
          <w:tcPr>
            <w:tcW w:type="dxa" w:w="136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Reported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Reproduced</w:t>
            </w:r>
          </w:p>
        </w:tc>
        <w:tc>
          <w:tcPr>
            <w:tcW w:type="dxa" w:w="1642"/>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Difference</w:t>
            </w:r>
          </w:p>
        </w:tc>
        <w:tc>
          <w:tcPr>
            <w:tcW w:type="dxa" w:w="1440"/>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Check</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N183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First 18 months</w:t>
              <w:br/>
              <w:t>Trend slope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-34.54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-34.535534</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+0.004466</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N184</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First 18 months</w:t>
              <w:br/>
              <w:t>Slope p</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&lt;0.0001</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0.000023</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n/a</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N185</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heldout9</w:t>
              <w:br/>
              <w:t>MAPE</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5.91%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5.906481</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-0.003519</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N222</w:t>
            </w:r>
          </w:p>
        </w:tc>
        <w:tc>
          <w:tcPr>
            <w:tcW w:type="dxa" w:w="338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overlay</w:t>
              <w:br/>
              <w:t>fit months</w:t>
            </w:r>
          </w:p>
        </w:tc>
        <w:tc>
          <w:tcPr>
            <w:tcW w:type="dxa" w:w="136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18</w:t>
            </w:r>
          </w:p>
        </w:tc>
        <w:tc>
          <w:tcPr>
            <w:tcW w:type="dxa" w:w="1642"/>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Match</w:t>
            </w:r>
          </w:p>
        </w:tc>
      </w:tr>
      <w:tr>
        <w:trPr>
          <w:cantSplit/>
        </w:trPr>
        <w:tc>
          <w:tcPr>
            <w:tcW w:type="dxa" w:w="749"/>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N223</w:t>
            </w:r>
          </w:p>
        </w:tc>
        <w:tc>
          <w:tcPr>
            <w:tcW w:type="dxa" w:w="338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overlay</w:t>
              <w:br/>
              <w:t>heldout months</w:t>
            </w:r>
          </w:p>
        </w:tc>
        <w:tc>
          <w:tcPr>
            <w:tcW w:type="dxa" w:w="136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9</w:t>
            </w:r>
          </w:p>
        </w:tc>
        <w:tc>
          <w:tcPr>
            <w:tcW w:type="dxa" w:w="1642"/>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20"/>
              </w:rPr>
              <w:t>0</w:t>
            </w:r>
          </w:p>
        </w:tc>
        <w:tc>
          <w:tcPr>
            <w:tcW w:type="dxa" w:w="1440"/>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Match</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All reported numbers match. The nine-month MAPE is 5.906481 percent and the additional, unreported RMSE is 155.131479 in income units. The last nine months are held out from trend-parameter fitting, but earlier model and feature choices used OOT information. The result is therefore a conditional nine-month holdout for the overlay parameters, not an untouched end-to-end validation. The claim that no OOT observation fits any coefficient does not apply to this overlay stage.</w:t>
      </w:r>
    </w:p>
    <w:p>
      <w:pPr>
        <w:pStyle w:val="Heading1"/>
      </w:pPr>
      <w:r>
        <w:t>Appendix A Long run forward trials</w:t>
      </w:r>
    </w:p>
    <w:p>
      <w:pPr>
        <w:keepNext w:val="0"/>
      </w:pPr>
      <w:r>
        <w:rPr>
          <w:rFonts w:ascii="Arial" w:hAnsi="Arial" w:eastAsia="Arial" w:cs="Arial"/>
          <w:b w:val="0"/>
          <w:color w:val="000000"/>
          <w:sz w:val="22"/>
        </w:rPr>
        <w:t>The source reports the selected rounds only. The following 15 trials explain how the reconstructed selection path is obtained; unselected-trial numbers have no reported counterpart. Maximum VIF excludes the intercept. All trials use n = 153.</w:t>
      </w:r>
    </w:p>
    <w:p>
      <w:pPr>
        <w:pStyle w:val="Heading2"/>
      </w:pPr>
      <w:r>
        <w:t>Round 1 Intercept only</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584"/>
        <w:gridCol w:w="1613"/>
        <w:gridCol w:w="979"/>
        <w:gridCol w:w="1728"/>
        <w:gridCol w:w="2304"/>
      </w:tblGrid>
      <w:tr>
        <w:trPr>
          <w:cantSplit/>
          <w:tblHeader w:val="true"/>
        </w:trPr>
        <w:tc>
          <w:tcPr>
            <w:tcW w:type="dxa" w:w="201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Candidate</w:t>
            </w:r>
          </w:p>
        </w:tc>
        <w:tc>
          <w:tcPr>
            <w:tcW w:type="dxa" w:w="15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Added p</w:t>
            </w:r>
          </w:p>
        </w:tc>
        <w:tc>
          <w:tcPr>
            <w:tcW w:type="dxa" w:w="1613"/>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Adj R squared</w:t>
            </w:r>
          </w:p>
        </w:tc>
        <w:tc>
          <w:tcPr>
            <w:tcW w:type="dxa" w:w="97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Max VIF</w:t>
            </w:r>
          </w:p>
        </w:tc>
        <w:tc>
          <w:tcPr>
            <w:tcW w:type="dxa" w:w="172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Residual ADF p</w:t>
            </w:r>
          </w:p>
        </w:tc>
        <w:tc>
          <w:tcPr>
            <w:tcW w:type="dxa" w:w="230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Decision</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CPI</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8.578e-88</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0.926685</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0.009148</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Selected</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DPI</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1.161e-57</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0.816378</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0.002906</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Lower eligible score</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SBOpt</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0.699722</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-0.005628</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0.933506</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p fails</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GDP_Wholesale</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1.417e-90</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0.932646</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0.062588</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Residual ADF fails</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CorpProfits</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4.013e-75</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0.892130</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0.039997</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Lower eligible score</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DJ_TotalMkt</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6.568e-54</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0.794149</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0.001290</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Lower eligible score</w:t>
            </w:r>
          </w:p>
        </w:tc>
      </w:tr>
    </w:tbl>
    <w:p>
      <w:pPr>
        <w:spacing w:after="60" w:before="0" w:line="240" w:lineRule="auto"/>
      </w:pPr>
      <w:r>
        <w:rPr>
          <w:rFonts w:ascii="Arial" w:hAnsi="Arial" w:eastAsia="Arial" w:cs="Arial"/>
          <w:b w:val="0"/>
          <w:color w:val="000000"/>
          <w:sz w:val="6"/>
        </w:rPr>
      </w:r>
    </w:p>
    <w:p>
      <w:pPr>
        <w:pStyle w:val="Heading2"/>
      </w:pPr>
      <w:r>
        <w:t>Round 2 Intercept and CPI</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584"/>
        <w:gridCol w:w="1613"/>
        <w:gridCol w:w="979"/>
        <w:gridCol w:w="1728"/>
        <w:gridCol w:w="2304"/>
      </w:tblGrid>
      <w:tr>
        <w:trPr>
          <w:cantSplit/>
          <w:tblHeader w:val="true"/>
        </w:trPr>
        <w:tc>
          <w:tcPr>
            <w:tcW w:type="dxa" w:w="201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Candidate</w:t>
            </w:r>
          </w:p>
        </w:tc>
        <w:tc>
          <w:tcPr>
            <w:tcW w:type="dxa" w:w="15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Added p</w:t>
            </w:r>
          </w:p>
        </w:tc>
        <w:tc>
          <w:tcPr>
            <w:tcW w:type="dxa" w:w="1613"/>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Adj R squared</w:t>
            </w:r>
          </w:p>
        </w:tc>
        <w:tc>
          <w:tcPr>
            <w:tcW w:type="dxa" w:w="97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Max VIF</w:t>
            </w:r>
          </w:p>
        </w:tc>
        <w:tc>
          <w:tcPr>
            <w:tcW w:type="dxa" w:w="172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Residual ADF p</w:t>
            </w:r>
          </w:p>
        </w:tc>
        <w:tc>
          <w:tcPr>
            <w:tcW w:type="dxa" w:w="230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Decision</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DPI</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0.061680</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0.927900</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10.689</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0.021829</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p and VIF fail</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SBOpt</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0.029078</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0.928511</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1.000</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0.008124</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Selected</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GDP_Wholesale</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0.000002</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0.936402</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34.759</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0.020628</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VIF fails</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CorpProfits</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0.005820</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0.929857</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14.511</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0.016275</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VIF fails</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DJ_TotalMkt</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0.443491</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0.926486</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6.462</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0.009463</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p fails</w:t>
            </w:r>
          </w:p>
        </w:tc>
      </w:tr>
    </w:tbl>
    <w:p>
      <w:pPr>
        <w:spacing w:after="60" w:before="0" w:line="240" w:lineRule="auto"/>
      </w:pPr>
      <w:r>
        <w:rPr>
          <w:rFonts w:ascii="Arial" w:hAnsi="Arial" w:eastAsia="Arial" w:cs="Arial"/>
          <w:b w:val="0"/>
          <w:color w:val="000000"/>
          <w:sz w:val="6"/>
        </w:rPr>
      </w:r>
    </w:p>
    <w:p>
      <w:pPr>
        <w:pStyle w:val="Heading2"/>
      </w:pPr>
      <w:r>
        <w:t>Round 3 Intercept CPI and SBOpt</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584"/>
        <w:gridCol w:w="1613"/>
        <w:gridCol w:w="979"/>
        <w:gridCol w:w="1728"/>
        <w:gridCol w:w="2304"/>
      </w:tblGrid>
      <w:tr>
        <w:trPr>
          <w:cantSplit/>
          <w:tblHeader w:val="true"/>
        </w:trPr>
        <w:tc>
          <w:tcPr>
            <w:tcW w:type="dxa" w:w="201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Candidate</w:t>
            </w:r>
          </w:p>
        </w:tc>
        <w:tc>
          <w:tcPr>
            <w:tcW w:type="dxa" w:w="158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Added p</w:t>
            </w:r>
          </w:p>
        </w:tc>
        <w:tc>
          <w:tcPr>
            <w:tcW w:type="dxa" w:w="1613"/>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Adj R squared</w:t>
            </w:r>
          </w:p>
        </w:tc>
        <w:tc>
          <w:tcPr>
            <w:tcW w:type="dxa" w:w="979"/>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Max VIF</w:t>
            </w:r>
          </w:p>
        </w:tc>
        <w:tc>
          <w:tcPr>
            <w:tcW w:type="dxa" w:w="172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Residual ADF p</w:t>
            </w:r>
          </w:p>
        </w:tc>
        <w:tc>
          <w:tcPr>
            <w:tcW w:type="dxa" w:w="2304"/>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Decision</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DPI</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0.001566</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0.932717</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13.051</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0.020531</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VIF fails</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GDP_Wholesale</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0.000031</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0.935979</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45.816</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0.020667</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VIF fails</w:t>
            </w:r>
          </w:p>
        </w:tc>
      </w:tr>
      <w:tr>
        <w:trPr>
          <w:cantSplit/>
        </w:trPr>
        <w:tc>
          <w:tcPr>
            <w:tcW w:type="dxa" w:w="201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CorpProfits</w:t>
            </w:r>
          </w:p>
        </w:tc>
        <w:tc>
          <w:tcPr>
            <w:tcW w:type="dxa" w:w="1584"/>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0.016212</w:t>
            </w:r>
          </w:p>
        </w:tc>
        <w:tc>
          <w:tcPr>
            <w:tcW w:type="dxa" w:w="1613"/>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0.930778</w:t>
            </w:r>
          </w:p>
        </w:tc>
        <w:tc>
          <w:tcPr>
            <w:tcW w:type="dxa" w:w="979"/>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15.066</w:t>
            </w:r>
          </w:p>
        </w:tc>
        <w:tc>
          <w:tcPr>
            <w:tcW w:type="dxa" w:w="1728"/>
            <w:vAlign w:val="center"/>
            <w:tcMar>
              <w:top w:w="75" w:type="dxa"/>
              <w:bottom w:w="75" w:type="dxa"/>
              <w:left w:w="85" w:type="dxa"/>
              <w:right w:w="85" w:type="dxa"/>
            </w:tcMar>
            <w:shd w:fill="FFFFFF"/>
          </w:tcPr>
          <w:p>
            <w:pPr>
              <w:keepNext w:val="0"/>
              <w:spacing w:before="0" w:after="0" w:line="247" w:lineRule="auto"/>
              <w:jc w:val="right"/>
            </w:pPr>
            <w:r>
              <w:rPr>
                <w:rFonts w:ascii="Arial" w:hAnsi="Arial" w:eastAsia="Arial" w:cs="Arial"/>
                <w:b w:val="0"/>
                <w:color w:val="000000"/>
                <w:sz w:val="19"/>
              </w:rPr>
              <w:t>0.012165</w:t>
            </w:r>
          </w:p>
        </w:tc>
        <w:tc>
          <w:tcPr>
            <w:tcW w:type="dxa" w:w="2304"/>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19"/>
              </w:rPr>
              <w:t>VIF fails</w:t>
            </w:r>
          </w:p>
        </w:tc>
      </w:tr>
      <w:tr>
        <w:trPr>
          <w:cantSplit/>
        </w:trPr>
        <w:tc>
          <w:tcPr>
            <w:tcW w:type="dxa" w:w="201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DJ_TotalMkt</w:t>
            </w:r>
          </w:p>
        </w:tc>
        <w:tc>
          <w:tcPr>
            <w:tcW w:type="dxa" w:w="1584"/>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0.574745</w:t>
            </w:r>
          </w:p>
        </w:tc>
        <w:tc>
          <w:tcPr>
            <w:tcW w:type="dxa" w:w="1613"/>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0.928183</w:t>
            </w:r>
          </w:p>
        </w:tc>
        <w:tc>
          <w:tcPr>
            <w:tcW w:type="dxa" w:w="979"/>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9.487</w:t>
            </w:r>
          </w:p>
        </w:tc>
        <w:tc>
          <w:tcPr>
            <w:tcW w:type="dxa" w:w="1728"/>
            <w:vAlign w:val="center"/>
            <w:tcMar>
              <w:top w:w="75" w:type="dxa"/>
              <w:bottom w:w="75" w:type="dxa"/>
              <w:left w:w="85" w:type="dxa"/>
              <w:right w:w="85" w:type="dxa"/>
            </w:tcMar>
            <w:shd w:fill="F1F5F8"/>
          </w:tcPr>
          <w:p>
            <w:pPr>
              <w:keepNext w:val="0"/>
              <w:spacing w:before="0" w:after="0" w:line="247" w:lineRule="auto"/>
              <w:jc w:val="right"/>
            </w:pPr>
            <w:r>
              <w:rPr>
                <w:rFonts w:ascii="Arial" w:hAnsi="Arial" w:eastAsia="Arial" w:cs="Arial"/>
                <w:b w:val="0"/>
                <w:color w:val="000000"/>
                <w:sz w:val="19"/>
              </w:rPr>
              <w:t>0.007565</w:t>
            </w:r>
          </w:p>
        </w:tc>
        <w:tc>
          <w:tcPr>
            <w:tcW w:type="dxa" w:w="2304"/>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19"/>
              </w:rPr>
              <w:t>p fails</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In round 1, SBOpt also fails the residual ADF gate in addition to its coefficient p-value. In round 3, all remaining candidates fail at least one eligibility gate, so selection stops. The candidate enumeration order does not choose the winner; each round compares all candidates against the same retained base.</w:t>
      </w:r>
    </w:p>
    <w:p>
      <w:pPr>
        <w:pStyle w:val="Heading1"/>
      </w:pPr>
      <w:r>
        <w:t>Appendix B Sources and verification</w:t>
      </w:r>
    </w:p>
    <w:p>
      <w:pPr>
        <w:keepNext/>
      </w:pPr>
      <w:r>
        <w:rPr>
          <w:rFonts w:ascii="Arial" w:hAnsi="Arial" w:eastAsia="Arial" w:cs="Arial"/>
          <w:b w:val="0"/>
          <w:color w:val="000000"/>
          <w:sz w:val="22"/>
        </w:rPr>
        <w:t>Reference document: Commercial_Card_and_Small_Business_Fee_Consolidated.docx. The comparison retains the reference section numbers and source page locations. The N-prefixed identifiers link each result to the saved numerical claim register.</w:t>
      </w:r>
    </w:p>
    <w:tbl>
      <w:tblPr>
        <w:tblW w:type="dxa" w:w="1022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848"/>
      </w:tblGrid>
      <w:tr>
        <w:trPr>
          <w:cantSplit/>
          <w:tblHeader w:val="true"/>
        </w:trPr>
        <w:tc>
          <w:tcPr>
            <w:tcW w:type="dxa" w:w="2376"/>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Source or check</w:t>
            </w:r>
          </w:p>
        </w:tc>
        <w:tc>
          <w:tcPr>
            <w:tcW w:type="dxa" w:w="7848"/>
            <w:vAlign w:val="center"/>
            <w:tcMar>
              <w:top w:w="75" w:type="dxa"/>
              <w:bottom w:w="75" w:type="dxa"/>
              <w:left w:w="85" w:type="dxa"/>
              <w:right w:w="85" w:type="dxa"/>
            </w:tcMar>
            <w:shd w:fill="233B53"/>
          </w:tcPr>
          <w:p>
            <w:pPr>
              <w:keepNext/>
              <w:spacing w:before="0" w:after="0" w:line="247" w:lineRule="auto"/>
              <w:jc w:val="center"/>
            </w:pPr>
            <w:r>
              <w:rPr>
                <w:rFonts w:ascii="Arial" w:hAnsi="Arial" w:eastAsia="Arial" w:cs="Arial"/>
                <w:b/>
                <w:color w:val="FFFFFF"/>
                <w:sz w:val="19"/>
              </w:rPr>
              <w:t>Recorded information</w:t>
            </w:r>
          </w:p>
        </w:tc>
      </w:tr>
      <w:tr>
        <w:trPr>
          <w:cantSplit/>
        </w:trPr>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Reference document SHA256</w:t>
            </w:r>
          </w:p>
        </w:tc>
        <w:tc>
          <w:tcPr>
            <w:tcW w:type="dxa" w:w="78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7e45500f8e39b562dddaa58354d2bbfc20251cf7ba2e0fa576d8edd0e9b4988f</w:t>
            </w:r>
          </w:p>
        </w:tc>
      </w:tr>
      <w:tr>
        <w:trPr>
          <w:cantSplit/>
        </w:trPr>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Income input</w:t>
            </w:r>
          </w:p>
        </w:tc>
        <w:tc>
          <w:tcPr>
            <w:tcW w:type="dxa" w:w="78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Cardfee.csv, exported from the supplied Cardfee.xlsx. Combined uses Commercial Card plus Small Business.</w:t>
            </w:r>
          </w:p>
        </w:tc>
      </w:tr>
      <w:tr>
        <w:trPr>
          <w:cantSplit/>
        </w:trPr>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Macro input</w:t>
            </w:r>
          </w:p>
        </w:tc>
        <w:tc>
          <w:tcPr>
            <w:tcW w:type="dxa" w:w="78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Macro_Data_201001-202612.csv, exported from the supplied macro workbook. 2010 history is available for macro transformations.</w:t>
            </w:r>
          </w:p>
        </w:tc>
      </w:tr>
      <w:tr>
        <w:trPr>
          <w:cantSplit/>
        </w:trPr>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Numerical run</w:t>
            </w:r>
          </w:p>
        </w:tc>
        <w:tc>
          <w:tcPr>
            <w:tcW w:type="dxa" w:w="78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Python 3.14.5; NumPy 2.3.5; pandas 2.3.3; SciPy 1.18.1; statsmodels 0.15.0.</w:t>
            </w:r>
          </w:p>
        </w:tc>
      </w:tr>
      <w:tr>
        <w:trPr>
          <w:cantSplit/>
        </w:trPr>
        <w:tc>
          <w:tcPr>
            <w:tcW w:type="dxa" w:w="2376"/>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Independent checks</w:t>
            </w:r>
          </w:p>
        </w:tc>
        <w:tc>
          <w:tcPr>
            <w:tcW w:type="dxa" w:w="7848"/>
            <w:vAlign w:val="center"/>
            <w:tcMar>
              <w:top w:w="75" w:type="dxa"/>
              <w:bottom w:w="75" w:type="dxa"/>
              <w:left w:w="85" w:type="dxa"/>
              <w:right w:w="85" w:type="dxa"/>
            </w:tcMar>
            <w:shd w:fill="FFFFFF"/>
          </w:tcPr>
          <w:p>
            <w:pPr>
              <w:keepNext w:val="0"/>
              <w:spacing w:before="0" w:after="0" w:line="247" w:lineRule="auto"/>
              <w:jc w:val="left"/>
            </w:pPr>
            <w:r>
              <w:rPr>
                <w:rFonts w:ascii="Arial" w:hAnsi="Arial" w:eastAsia="Arial" w:cs="Arial"/>
                <w:b w:val="0"/>
                <w:color w:val="000000"/>
                <w:sz w:val="20"/>
              </w:rPr>
              <w:t>All 10 saved checks passed, covering direct least squares, component totals, date alignment, residual orthogonality, recursive forecasts and unchanged inputs.</w:t>
            </w:r>
          </w:p>
        </w:tc>
      </w:tr>
      <w:tr>
        <w:trPr>
          <w:cantSplit/>
        </w:trPr>
        <w:tc>
          <w:tcPr>
            <w:tcW w:type="dxa" w:w="2376"/>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Word comparison update</w:t>
            </w:r>
          </w:p>
        </w:tc>
        <w:tc>
          <w:tcPr>
            <w:tcW w:type="dxa" w:w="7848"/>
            <w:vAlign w:val="center"/>
            <w:tcMar>
              <w:top w:w="75" w:type="dxa"/>
              <w:bottom w:w="75" w:type="dxa"/>
              <w:left w:w="85" w:type="dxa"/>
              <w:right w:w="85" w:type="dxa"/>
            </w:tcMar>
            <w:shd w:fill="F1F5F8"/>
          </w:tcPr>
          <w:p>
            <w:pPr>
              <w:keepNext w:val="0"/>
              <w:spacing w:before="0" w:after="0" w:line="247" w:lineRule="auto"/>
              <w:jc w:val="left"/>
            </w:pPr>
            <w:r>
              <w:rPr>
                <w:rFonts w:ascii="Arial" w:hAnsi="Arial" w:eastAsia="Arial" w:cs="Arial"/>
                <w:b w:val="0"/>
                <w:color w:val="000000"/>
                <w:sz w:val="20"/>
              </w:rPr>
              <w:t>Only Section 2.2 comparison values use the stored full-IS macro stationarity results instead of the archived 141-month values. No source data, script or archived CSV is overwritten.</w:t>
            </w:r>
          </w:p>
        </w:tc>
      </w:tr>
    </w:tbl>
    <w:p>
      <w:pPr>
        <w:spacing w:after="60" w:before="0" w:line="240" w:lineRule="auto"/>
      </w:pPr>
      <w:r>
        <w:rPr>
          <w:rFonts w:ascii="Arial" w:hAnsi="Arial" w:eastAsia="Arial" w:cs="Arial"/>
          <w:b w:val="0"/>
          <w:color w:val="000000"/>
          <w:sz w:val="6"/>
        </w:rPr>
      </w:r>
    </w:p>
    <w:p>
      <w:pPr>
        <w:keepNext w:val="0"/>
      </w:pPr>
      <w:r>
        <w:rPr>
          <w:rFonts w:ascii="Arial" w:hAnsi="Arial" w:eastAsia="Arial" w:cs="Arial"/>
          <w:b w:val="0"/>
          <w:color w:val="000000"/>
          <w:sz w:val="22"/>
        </w:rPr>
        <w:t>The source numeric register contains 223 claims. Every identifier is included once in the comparison tables in this document. Supplemental sensitivity tables and explanatory numbers are not additional source claims and do not enter the 194-match / 29-difference total.</w:t>
      </w:r>
    </w:p>
    <w:p>
      <w:pPr>
        <w:keepNext w:val="0"/>
      </w:pPr>
      <w:r>
        <w:rPr>
          <w:rFonts w:ascii="Arial" w:hAnsi="Arial" w:eastAsia="Arial" w:cs="Arial"/>
          <w:b w:val="0"/>
          <w:color w:val="000000"/>
          <w:sz w:val="22"/>
        </w:rPr>
        <w:t>The reported-number precision is the comparison tolerance, not an estimate of statistical uncertainty. Matching outputs and independent arithmetic checks cannot resolve undocumented preprocessing choices, establish model assumptions, or identify the cause of the remaining Unrate and June 2022 discrepancies.</w:t>
      </w:r>
    </w:p>
    <w:p>
      <w:pPr>
        <w:keepNext w:val="0"/>
      </w:pPr>
      <w:r>
        <w:rPr>
          <w:rFonts w:ascii="Arial" w:hAnsi="Arial" w:eastAsia="Arial" w:cs="Arial"/>
          <w:b w:val="0"/>
          <w:color w:val="000000"/>
          <w:sz w:val="20"/>
        </w:rPr>
        <w:t>Method references: statsmodels documentation for ADF, KPSS and Engle-Granger tests; Pingouin documentation for residual-based partial correlation; GNU Octave Statistics documentation for partial-correlation degrees of freedom. These references support method definitions, not the source-specific numerical results.</w:t>
      </w:r>
    </w:p>
    <w:p>
      <w:pPr>
        <w:keepNext w:val="0"/>
      </w:pPr>
      <w:r>
        <w:rPr>
          <w:rFonts w:ascii="Arial" w:hAnsi="Arial" w:eastAsia="Arial" w:cs="Arial"/>
          <w:b w:val="0"/>
          <w:color w:val="000000"/>
          <w:sz w:val="18"/>
        </w:rPr>
        <w:t xml:space="preserve">ADF: </w:t>
      </w:r>
      <w:hyperlink r:id="rId10">
        <w:r>
          <w:rPr>
            <w:color w:val="233B53"/>
            <w:sz w:val="18"/>
          </w:rPr>
          <w:t>https://www.statsmodels.org/stable/generated/statsmodels.tsa.stattools.adfuller.html</w:t>
        </w:r>
      </w:hyperlink>
    </w:p>
    <w:p>
      <w:pPr>
        <w:keepNext w:val="0"/>
      </w:pPr>
      <w:r>
        <w:rPr>
          <w:rFonts w:ascii="Arial" w:hAnsi="Arial" w:eastAsia="Arial" w:cs="Arial"/>
          <w:b w:val="0"/>
          <w:color w:val="000000"/>
          <w:sz w:val="18"/>
        </w:rPr>
        <w:t xml:space="preserve">KPSS: </w:t>
      </w:r>
      <w:hyperlink r:id="rId11">
        <w:r>
          <w:rPr>
            <w:color w:val="233B53"/>
            <w:sz w:val="18"/>
          </w:rPr>
          <w:t>https://www.statsmodels.org/stable/generated/statsmodels.tsa.stattools.kpss.html</w:t>
        </w:r>
      </w:hyperlink>
    </w:p>
    <w:p>
      <w:pPr>
        <w:keepNext w:val="0"/>
      </w:pPr>
      <w:r>
        <w:rPr>
          <w:rFonts w:ascii="Arial" w:hAnsi="Arial" w:eastAsia="Arial" w:cs="Arial"/>
          <w:b w:val="0"/>
          <w:color w:val="000000"/>
          <w:sz w:val="18"/>
        </w:rPr>
        <w:t xml:space="preserve">Engle Granger: </w:t>
      </w:r>
      <w:hyperlink r:id="rId12">
        <w:r>
          <w:rPr>
            <w:color w:val="233B53"/>
            <w:sz w:val="18"/>
          </w:rPr>
          <w:t>https://www.statsmodels.org/stable/generated/statsmodels.tsa.stattools.coint.html</w:t>
        </w:r>
      </w:hyperlink>
    </w:p>
    <w:p>
      <w:pPr>
        <w:keepNext w:val="0"/>
      </w:pPr>
      <w:r>
        <w:rPr>
          <w:rFonts w:ascii="Arial" w:hAnsi="Arial" w:eastAsia="Arial" w:cs="Arial"/>
          <w:b w:val="0"/>
          <w:color w:val="000000"/>
          <w:sz w:val="18"/>
        </w:rPr>
        <w:t xml:space="preserve">Partial correlation: </w:t>
      </w:r>
      <w:hyperlink r:id="rId13">
        <w:r>
          <w:rPr>
            <w:color w:val="233B53"/>
            <w:sz w:val="18"/>
          </w:rPr>
          <w:t>https://pingouin-stats.org/generated/pingouin.partial_corr.html</w:t>
        </w:r>
      </w:hyperlink>
    </w:p>
    <w:p>
      <w:pPr>
        <w:keepNext w:val="0"/>
      </w:pPr>
      <w:r>
        <w:rPr>
          <w:rFonts w:ascii="Arial" w:hAnsi="Arial" w:eastAsia="Arial" w:cs="Arial"/>
          <w:b w:val="0"/>
          <w:color w:val="000000"/>
          <w:sz w:val="18"/>
        </w:rPr>
        <w:t xml:space="preserve">Partial correlation degrees of freedom: </w:t>
      </w:r>
      <w:hyperlink r:id="rId14">
        <w:r>
          <w:rPr>
            <w:color w:val="233B53"/>
            <w:sz w:val="18"/>
          </w:rPr>
          <w:t>https://gnu-octave.github.io/statistics/partialcorr.html</w:t>
        </w:r>
      </w:hyperlink>
    </w:p>
    <w:sectPr w:rsidR="00FC693F" w:rsidRPr="0006063C" w:rsidSect="00034616">
      <w:footerReference w:type="default" r:id="rId9"/>
      <w:pgSz w:w="12240" w:h="15840"/>
      <w:pgMar w:top="936" w:right="1008" w:bottom="936" w:left="1008"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24" w:val="right"/>
      </w:tabs>
    </w:pPr>
    <w:r>
      <w:rPr>
        <w:rFonts w:ascii="Arial" w:hAnsi="Arial" w:eastAsia="Arial" w:cs="Arial"/>
        <w:b w:val="0"/>
        <w:color w:val="000000"/>
        <w:sz w:val="17"/>
      </w:rPr>
      <w:t>Combined Fee Reproduction Comparison</w:t>
      <w:tab/>
    </w:r>
    <w:r>
      <w:rPr>
        <w:rFonts w:ascii="Arial" w:hAnsi="Arial" w:eastAsia="Arial" w:cs="Arial"/>
        <w:b w:val="0"/>
        <w:color w:val="000000"/>
        <w:sz w:val="17"/>
      </w:rPr>
      <w:t xml:space="preserve">Page </w:t>
    </w:r>
    <w:r>
      <w:rPr>
        <w:rFonts w:ascii="Arial" w:hAnsi="Arial" w:eastAsia="Arial" w:cs="Arial"/>
        <w:b w:val="0"/>
        <w:color w:val="000000"/>
        <w:sz w:val="17"/>
      </w:rPr>
      <w:fldChar w:fldCharType="begin"/>
      <w:instrText xml:space="preserve"> PAGE </w:instrText>
      <w:fldChar w:fldCharType="separate"/>
      <w:t>1</w:t>
      <w:fldChar w:fldCharType="end"/>
    </w:r>
    <w:r>
      <w:rPr>
        <w:rFonts w:ascii="Arial" w:hAnsi="Arial" w:eastAsia="Arial" w:cs="Arial"/>
        <w:b w:val="0"/>
        <w:color w:val="000000"/>
        <w:sz w:val="17"/>
      </w:rPr>
      <w:t xml:space="preserve"> of </w:t>
    </w:r>
    <w:r>
      <w:rPr>
        <w:rFonts w:ascii="Arial" w:hAnsi="Arial" w:eastAsia="Arial" w:cs="Arial"/>
        <w:b w:val="0"/>
        <w:color w:val="000000"/>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59" w:lineRule="auto"/>
      <w:outlineLvl w:val="0"/>
    </w:pPr>
    <w:rPr>
      <w:rFonts w:asciiTheme="majorHAnsi" w:eastAsiaTheme="majorEastAsia" w:hAnsiTheme="majorHAnsi" w:cstheme="majorBidi" w:ascii="Arial" w:hAnsi="Arial" w:eastAsia="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line="259" w:lineRule="auto"/>
      <w:outlineLvl w:val="1"/>
    </w:pPr>
    <w:rPr>
      <w:rFonts w:asciiTheme="majorHAnsi" w:eastAsiaTheme="majorEastAsia" w:hAnsiTheme="majorHAnsi" w:cstheme="majorBidi"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60" w:after="120" w:line="259" w:lineRule="auto"/>
      <w:outlineLvl w:val="2"/>
    </w:pPr>
    <w:rPr>
      <w:rFonts w:asciiTheme="majorHAnsi" w:eastAsiaTheme="majorEastAsia" w:hAnsiTheme="majorHAnsi" w:cstheme="majorBidi" w:ascii="Arial" w:hAnsi="Arial" w:eastAsia="Arial" w:cs="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eastAsia="Arial" w:cs="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statsmodels.org/stable/generated/statsmodels.tsa.stattools.adfuller.html" TargetMode="External"/><Relationship Id="rId11" Type="http://schemas.openxmlformats.org/officeDocument/2006/relationships/hyperlink" Target="https://www.statsmodels.org/stable/generated/statsmodels.tsa.stattools.kpss.html" TargetMode="External"/><Relationship Id="rId12" Type="http://schemas.openxmlformats.org/officeDocument/2006/relationships/hyperlink" Target="https://www.statsmodels.org/stable/generated/statsmodels.tsa.stattools.coint.html" TargetMode="External"/><Relationship Id="rId13" Type="http://schemas.openxmlformats.org/officeDocument/2006/relationships/hyperlink" Target="https://pingouin-stats.org/generated/pingouin.partial_corr.html" TargetMode="External"/><Relationship Id="rId14" Type="http://schemas.openxmlformats.org/officeDocument/2006/relationships/hyperlink" Target="https://gnu-octave.github.io/statistics/partialcor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Combined Fee Reported and Reproduced Results</dc:title>
  <dc:subject>Numerical comparison of the Commercial Card and Small Business fee report</dc:subject>
  <dc:creator/>
  <cp:keywords>Combined fee, reproduction, numerical audit, IS, OOT</cp:keywords>
  <dc:description/>
  <cp:lastModifiedBy/>
  <cp:revision>1</cp:revision>
  <dcterms:created xsi:type="dcterms:W3CDTF">2013-12-23T23:15:00Z</dcterms:created>
  <dcterms:modified xsi:type="dcterms:W3CDTF">2013-12-23T23:15:00Z</dcterms:modified>
  <cp:category/>
</cp:coreProperties>
</file>