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Quarterly OCC Ratio Time Series Analysis</w:t>
      </w:r>
    </w:p>
    <w:p>
      <w:pPr>
        <w:spacing w:after="180"/>
      </w:pPr>
      <w:r>
        <w:rPr>
          <w:rFonts w:ascii="Arial" w:hAnsi="Arial"/>
          <w:color w:val="667085"/>
          <w:sz w:val="22"/>
        </w:rPr>
        <w:t>Quarterly OCC relative to headcount and total assets | 2011 Q1 to 2025 Q4</w:t>
      </w:r>
    </w:p>
    <w:p>
      <w:pPr>
        <w:spacing w:after="200"/>
      </w:pPr>
      <w:r>
        <w:t>This report recalculates OCC as the sum of the three monthly observations in each quarter. The preferred balance-sheet ratio divides that quarterly OCC amount by the arithmetic average of the three monthly asset balances; OCC/headcount uses quarter-end headcount. The main result remains asymmetric: OCC per employee rises strongly, while OCC relative to assets is dominated by a 2019 Q1 level break rather than a stable within-regime decline.</w:t>
      </w:r>
    </w:p>
    <w:p>
      <w:pPr>
        <w:pStyle w:val="Heading1"/>
      </w:pPr>
      <w:r>
        <w:t>Executive Summary</w:t>
      </w:r>
    </w:p>
    <w:p>
      <w:pPr>
        <w:pStyle w:val="ListBullet"/>
        <w:spacing w:after="60"/>
      </w:pPr>
      <w:r>
        <w:t>Quarterly OCC / average assets fell from 10.20 basis points in 2011 Q1 to 8.03 basis points in 2025 Q4. The full-sample slope is -0.206 basis points per year, but the pre-2019 slope is near zero and the post-2019 slope is statistically weak.</w:t>
      </w:r>
    </w:p>
    <w:p>
      <w:pPr>
        <w:pStyle w:val="ListBullet"/>
        <w:spacing w:after="60"/>
      </w:pPr>
      <w:r>
        <w:t>Quarterly OCC / headcount rose from 5,564 to 10,222 per employee, an increase of 83.7%. The fitted full-sample trend is +357 per employee per year, with R² = 0.967.</w:t>
      </w:r>
    </w:p>
    <w:p>
      <w:pPr>
        <w:pStyle w:val="ListBullet"/>
        <w:spacing w:after="60"/>
      </w:pPr>
      <w:r>
        <w:t>Between 2018 Q4 and 2019 Q1, average assets increased 41.9%, quarterly OCC increased only 12.1%, and headcount increased 15.8%. As a result, OCC/assets fell 21.0% and OCC/headcount fell 3.3% at the breakpoint.</w:t>
      </w:r>
    </w:p>
    <w:p>
      <w:pPr>
        <w:pStyle w:val="ListBullet"/>
        <w:spacing w:after="60"/>
      </w:pPr>
      <w:r>
        <w:t>The ratio identity explains the longer-run divergence: average assets per employee increased 133.5% from 2011 Q1 to 2025 Q4, more than offsetting the 21.3% decline in OCC/assets.</w:t>
      </w:r>
    </w:p>
    <w:p>
      <w:pPr>
        <w:pStyle w:val="ListBullet"/>
        <w:spacing w:after="60"/>
      </w:pPr>
      <w:r>
        <w:t>Since 2023 Q1, both ratios have generally moved upward. The estimated slopes are +0.328 basis points per year for OCC/assets and +597 per employee per year for OCC/headcount; both series flattened near the end of 2025.</w:t>
      </w:r>
    </w:p>
    <w:p>
      <w:pPr>
        <w:pStyle w:val="Heading1"/>
      </w:pPr>
      <w:r>
        <w:t>Data and Method</w:t>
      </w:r>
    </w:p>
    <w:p>
      <w:pPr>
        <w:keepLines w:val="0"/>
      </w:pPr>
      <w:r>
        <w:t>The analysis uses 60 quarterly observations from 2011 Q1 through 2025 Q4. The two primary ratios are defined as follows:</w:t>
      </w:r>
    </w:p>
    <w:p>
      <w:pPr>
        <w:pStyle w:val="ListBullet"/>
        <w:spacing w:after="60"/>
      </w:pPr>
      <w:r>
        <w:t>Quarterly OCC/assets = the sum of the three monthly OCC observations divided by the arithmetic average of the three monthly asset balances, expressed in basis points per quarter.</w:t>
      </w:r>
    </w:p>
    <w:p>
      <w:pPr>
        <w:pStyle w:val="ListBullet"/>
        <w:spacing w:after="60"/>
      </w:pPr>
      <w:r>
        <w:t>Quarterly OCC/headcount = the same three-month OCC sum divided by quarter-end SNV headcount, expressed as quarterly OCC per employee.</w:t>
      </w:r>
    </w:p>
    <w:p>
      <w:pPr>
        <w:keepLines w:val="0"/>
      </w:pPr>
      <w:r>
        <w:t>Quarter-end OCC is retained in the workbook only as a reference and is not the numerator used in this report. Quarter-end assets are also shown as a denominator sensitivity. Linear trends are estimated for the full sample, the period before 2019 Q1, the period from 2019 Q1 onward, and the period since 2023 Q1. Reported t-statistics use Newey-West standard errors with four quarterly lags.</w:t>
      </w:r>
    </w:p>
    <w:p>
      <w:pPr>
        <w:keepLines w:val="0"/>
      </w:pPr>
      <w:r>
        <w:t>“Slope per year” is the fitted quarterly slope multiplied by four. It is an annualized linear change in the stated ratio units—not a percentage growth rate and not a one-year forecast.</w:t>
      </w:r>
    </w:p>
    <w:p>
      <w:r>
        <w:br w:type="page"/>
      </w:r>
    </w:p>
    <w:p>
      <w:pPr>
        <w:pStyle w:val="Heading1"/>
      </w:pPr>
      <w:r>
        <w:t>OCC Relative to Total Assets</w:t>
      </w:r>
    </w:p>
    <w:p>
      <w:pPr>
        <w:keepLines w:val="0"/>
      </w:pPr>
      <w:r>
        <w:t>The full-sample series slopes downward, but the decline is not well described by one continuous linear process. OCC/average assets was 10.54 basis points in 2018 Q4 and 8.32 basis points in 2019 Q1. That 2.21 basis point drop creates most of the visual separation between the early and later regimes.</w:t>
      </w:r>
    </w:p>
    <w:p>
      <w:pPr>
        <w:jc w:val="center"/>
      </w:pPr>
      <w:r>
        <w:drawing>
          <wp:inline xmlns:a="http://schemas.openxmlformats.org/drawingml/2006/main" xmlns:pic="http://schemas.openxmlformats.org/drawingml/2006/picture">
            <wp:extent cx="6263640" cy="3062224"/>
            <wp:docPr id="1" name="Picture 1" descr="Quarterly three-month OCC sum divided by three-month average assets from 2011 Q1 to 2025 Q4, with a marked 2019 Q1 breakpoint and separate pre- and post-break trend lines."/>
            <wp:cNvGraphicFramePr>
              <a:graphicFrameLocks noChangeAspect="1"/>
            </wp:cNvGraphicFramePr>
            <a:graphic>
              <a:graphicData uri="http://schemas.openxmlformats.org/drawingml/2006/picture">
                <pic:pic>
                  <pic:nvPicPr>
                    <pic:cNvPr id="0" name="occ_asset_ratio.png"/>
                    <pic:cNvPicPr/>
                  </pic:nvPicPr>
                  <pic:blipFill>
                    <a:blip r:embed="rId10"/>
                    <a:stretch>
                      <a:fillRect/>
                    </a:stretch>
                  </pic:blipFill>
                  <pic:spPr>
                    <a:xfrm>
                      <a:off x="0" y="0"/>
                      <a:ext cx="6263640" cy="3062224"/>
                    </a:xfrm>
                    <a:prstGeom prst="rect"/>
                  </pic:spPr>
                </pic:pic>
              </a:graphicData>
            </a:graphic>
          </wp:inline>
        </w:drawing>
      </w:r>
    </w:p>
    <w:p>
      <w:pPr>
        <w:spacing w:before="60" w:after="160"/>
        <w:jc w:val="left"/>
      </w:pPr>
      <w:r>
        <w:rPr>
          <w:i/>
          <w:color w:val="667085"/>
          <w:sz w:val="17"/>
        </w:rPr>
        <w:t>Figure 1  Quarterly OCC as a share of three-month average assets</w:t>
      </w:r>
    </w:p>
    <w:tbl>
      <w:tblPr>
        <w:tblStyle w:val="TableGrid"/>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3096"/>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Period</w:t>
            </w:r>
          </w:p>
        </w:tc>
        <w:tc>
          <w:tcPr>
            <w:tcW w:type="dxa" w:w="1512"/>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Slope / year (bps)</w:t>
            </w:r>
          </w:p>
        </w:tc>
        <w:tc>
          <w:tcPr>
            <w:tcW w:type="dxa" w:w="936"/>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R²</w:t>
            </w:r>
          </w:p>
        </w:tc>
        <w:tc>
          <w:tcPr>
            <w:tcW w:type="dxa" w:w="936"/>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HAC t</w:t>
            </w:r>
          </w:p>
        </w:tc>
        <w:tc>
          <w:tcPr>
            <w:tcW w:type="dxa" w:w="2232"/>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Reading</w:t>
            </w:r>
          </w:p>
        </w:tc>
      </w:tr>
      <w:tr>
        <w:trPr>
          <w:trHeight w:hRule="atLeast" w:val="400"/>
        </w:trPr>
        <w:tc>
          <w:tcPr>
            <w:tcW w:type="dxa" w:w="309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6"/>
              </w:rPr>
              <w:t>Full sample 2011 Q1–2025 Q4</w:t>
            </w:r>
          </w:p>
        </w:tc>
        <w:tc>
          <w:tcPr>
            <w:tcW w:type="dxa" w:w="1512"/>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-0.206</w:t>
            </w:r>
          </w:p>
        </w:tc>
        <w:tc>
          <w:tcPr>
            <w:tcW w:type="dxa" w:w="93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0.721</w:t>
            </w:r>
          </w:p>
        </w:tc>
        <w:tc>
          <w:tcPr>
            <w:tcW w:type="dxa" w:w="93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-8.79</w:t>
            </w:r>
          </w:p>
        </w:tc>
        <w:tc>
          <w:tcPr>
            <w:tcW w:type="dxa" w:w="2232"/>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Downward in aggregate</w:t>
            </w:r>
          </w:p>
        </w:tc>
      </w:tr>
      <w:tr>
        <w:trPr>
          <w:trHeight w:hRule="atLeast" w:val="400"/>
        </w:trPr>
        <w:tc>
          <w:tcPr>
            <w:tcW w:type="dxa" w:w="309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6"/>
              </w:rPr>
              <w:t>Pre-break 2011 Q1–2018 Q4</w:t>
            </w:r>
          </w:p>
        </w:tc>
        <w:tc>
          <w:tcPr>
            <w:tcW w:type="dxa" w:w="1512"/>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-0.023</w:t>
            </w:r>
          </w:p>
        </w:tc>
        <w:tc>
          <w:tcPr>
            <w:tcW w:type="dxa" w:w="93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0.025</w:t>
            </w:r>
          </w:p>
        </w:tc>
        <w:tc>
          <w:tcPr>
            <w:tcW w:type="dxa" w:w="93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-0.57</w:t>
            </w:r>
          </w:p>
        </w:tc>
        <w:tc>
          <w:tcPr>
            <w:tcW w:type="dxa" w:w="2232"/>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Essentially flat</w:t>
            </w:r>
          </w:p>
        </w:tc>
      </w:tr>
      <w:tr>
        <w:trPr>
          <w:trHeight w:hRule="atLeast" w:val="400"/>
        </w:trPr>
        <w:tc>
          <w:tcPr>
            <w:tcW w:type="dxa" w:w="309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6"/>
              </w:rPr>
              <w:t>Post-break 2019 Q1–2025 Q4</w:t>
            </w:r>
          </w:p>
        </w:tc>
        <w:tc>
          <w:tcPr>
            <w:tcW w:type="dxa" w:w="1512"/>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-0.078</w:t>
            </w:r>
          </w:p>
        </w:tc>
        <w:tc>
          <w:tcPr>
            <w:tcW w:type="dxa" w:w="93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0.129</w:t>
            </w:r>
          </w:p>
        </w:tc>
        <w:tc>
          <w:tcPr>
            <w:tcW w:type="dxa" w:w="93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-1.20</w:t>
            </w:r>
          </w:p>
        </w:tc>
        <w:tc>
          <w:tcPr>
            <w:tcW w:type="dxa" w:w="2232"/>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Weak negative slope</w:t>
            </w:r>
          </w:p>
        </w:tc>
      </w:tr>
      <w:tr>
        <w:trPr>
          <w:trHeight w:hRule="atLeast" w:val="400"/>
        </w:trPr>
        <w:tc>
          <w:tcPr>
            <w:tcW w:type="dxa" w:w="309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6"/>
              </w:rPr>
              <w:t>Recent 2023 Q1–2025 Q4</w:t>
            </w:r>
          </w:p>
        </w:tc>
        <w:tc>
          <w:tcPr>
            <w:tcW w:type="dxa" w:w="1512"/>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0.328</w:t>
            </w:r>
          </w:p>
        </w:tc>
        <w:tc>
          <w:tcPr>
            <w:tcW w:type="dxa" w:w="93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0.647</w:t>
            </w:r>
          </w:p>
        </w:tc>
        <w:tc>
          <w:tcPr>
            <w:tcW w:type="dxa" w:w="93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4.27</w:t>
            </w:r>
          </w:p>
        </w:tc>
        <w:tc>
          <w:tcPr>
            <w:tcW w:type="dxa" w:w="2232"/>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Positive recent slope</w:t>
            </w:r>
          </w:p>
        </w:tc>
      </w:tr>
    </w:tbl>
    <w:p>
      <w:pPr>
        <w:spacing w:before="60" w:after="160"/>
        <w:jc w:val="left"/>
      </w:pPr>
      <w:r>
        <w:rPr>
          <w:i/>
          <w:color w:val="667085"/>
          <w:sz w:val="17"/>
        </w:rPr>
        <w:t>Table 1  Linear trend estimates for OCC/assets</w:t>
      </w:r>
    </w:p>
    <w:p>
      <w:pPr>
        <w:keepLines w:val="0"/>
      </w:pPr>
      <w:r>
        <w:t>The pre-break slope is -0.023 basis points per year with R² = 0.025; it is economically small and statistically weak. The post-break slope is -0.078 basis points per year with R² = 0.129 and a HAC t-statistic of -1.20. The series then rises from its 2023 Q2 low of 7.01 basis points. This supports a level-break interpretation rather than one stable downward trend.</w:t>
      </w:r>
    </w:p>
    <w:p>
      <w:r>
        <w:br w:type="page"/>
      </w:r>
    </w:p>
    <w:p>
      <w:pPr>
        <w:pStyle w:val="Heading1"/>
      </w:pPr>
      <w:r>
        <w:t>OCC Relative to Headcount</w:t>
      </w:r>
    </w:p>
    <w:p>
      <w:pPr>
        <w:keepLines w:val="0"/>
      </w:pPr>
      <w:r>
        <w:t>Quarterly OCC/headcount has a much clearer upward trend. It rose strongly both before and after the acquisition breakpoint. Unlike the earlier quarter-end OCC calculation, the corrected three-month sum shows a small decline at the 2019 Q1 breakpoint itself; the long-run increase comes from persistent growth within each regime.</w:t>
      </w:r>
    </w:p>
    <w:p>
      <w:pPr>
        <w:jc w:val="center"/>
      </w:pPr>
      <w:r>
        <w:drawing>
          <wp:inline xmlns:a="http://schemas.openxmlformats.org/drawingml/2006/main" xmlns:pic="http://schemas.openxmlformats.org/drawingml/2006/picture">
            <wp:extent cx="6263640" cy="3062224"/>
            <wp:docPr id="2" name="Picture 2" descr="Quarterly three-month OCC sum per quarter-end employee from 2011 Q1 to 2025 Q4, with a marked 2019 Q1 breakpoint and separate pre- and post-break trend lines."/>
            <wp:cNvGraphicFramePr>
              <a:graphicFrameLocks noChangeAspect="1"/>
            </wp:cNvGraphicFramePr>
            <a:graphic>
              <a:graphicData uri="http://schemas.openxmlformats.org/drawingml/2006/picture">
                <pic:pic>
                  <pic:nvPicPr>
                    <pic:cNvPr id="0" name="occ_hc_ratio.png"/>
                    <pic:cNvPicPr/>
                  </pic:nvPicPr>
                  <pic:blipFill>
                    <a:blip r:embed="rId11"/>
                    <a:stretch>
                      <a:fillRect/>
                    </a:stretch>
                  </pic:blipFill>
                  <pic:spPr>
                    <a:xfrm>
                      <a:off x="0" y="0"/>
                      <a:ext cx="6263640" cy="3062224"/>
                    </a:xfrm>
                    <a:prstGeom prst="rect"/>
                  </pic:spPr>
                </pic:pic>
              </a:graphicData>
            </a:graphic>
          </wp:inline>
        </w:drawing>
      </w:r>
    </w:p>
    <w:p>
      <w:pPr>
        <w:spacing w:before="60" w:after="160"/>
        <w:jc w:val="left"/>
      </w:pPr>
      <w:r>
        <w:rPr>
          <w:i/>
          <w:color w:val="667085"/>
          <w:sz w:val="17"/>
        </w:rPr>
        <w:t>Figure 2  Quarterly OCC per quarter-end employee</w:t>
      </w:r>
    </w:p>
    <w:tbl>
      <w:tblPr>
        <w:tblStyle w:val="TableGrid"/>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3096"/>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Period</w:t>
            </w:r>
          </w:p>
        </w:tc>
        <w:tc>
          <w:tcPr>
            <w:tcW w:type="dxa" w:w="1512"/>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Slope / year</w:t>
            </w:r>
          </w:p>
        </w:tc>
        <w:tc>
          <w:tcPr>
            <w:tcW w:type="dxa" w:w="936"/>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R²</w:t>
            </w:r>
          </w:p>
        </w:tc>
        <w:tc>
          <w:tcPr>
            <w:tcW w:type="dxa" w:w="936"/>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HAC t</w:t>
            </w:r>
          </w:p>
        </w:tc>
        <w:tc>
          <w:tcPr>
            <w:tcW w:type="dxa" w:w="2232"/>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6"/>
              </w:rPr>
              <w:t>Reading</w:t>
            </w:r>
          </w:p>
        </w:tc>
      </w:tr>
      <w:tr>
        <w:trPr>
          <w:trHeight w:hRule="atLeast" w:val="400"/>
        </w:trPr>
        <w:tc>
          <w:tcPr>
            <w:tcW w:type="dxa" w:w="309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6"/>
              </w:rPr>
              <w:t>Full sample 2011 Q1–2025 Q4</w:t>
            </w:r>
          </w:p>
        </w:tc>
        <w:tc>
          <w:tcPr>
            <w:tcW w:type="dxa" w:w="1512"/>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356.984</w:t>
            </w:r>
          </w:p>
        </w:tc>
        <w:tc>
          <w:tcPr>
            <w:tcW w:type="dxa" w:w="93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0.967</w:t>
            </w:r>
          </w:p>
        </w:tc>
        <w:tc>
          <w:tcPr>
            <w:tcW w:type="dxa" w:w="93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20.98</w:t>
            </w:r>
          </w:p>
        </w:tc>
        <w:tc>
          <w:tcPr>
            <w:tcW w:type="dxa" w:w="2232"/>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Strong positive slope</w:t>
            </w:r>
          </w:p>
        </w:tc>
      </w:tr>
      <w:tr>
        <w:trPr>
          <w:trHeight w:hRule="atLeast" w:val="400"/>
        </w:trPr>
        <w:tc>
          <w:tcPr>
            <w:tcW w:type="dxa" w:w="309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6"/>
              </w:rPr>
              <w:t>Pre-break 2011 Q1–2018 Q4</w:t>
            </w:r>
          </w:p>
        </w:tc>
        <w:tc>
          <w:tcPr>
            <w:tcW w:type="dxa" w:w="1512"/>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289.696</w:t>
            </w:r>
          </w:p>
        </w:tc>
        <w:tc>
          <w:tcPr>
            <w:tcW w:type="dxa" w:w="93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0.922</w:t>
            </w:r>
          </w:p>
        </w:tc>
        <w:tc>
          <w:tcPr>
            <w:tcW w:type="dxa" w:w="93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10.46</w:t>
            </w:r>
          </w:p>
        </w:tc>
        <w:tc>
          <w:tcPr>
            <w:tcW w:type="dxa" w:w="2232"/>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Persistent increase</w:t>
            </w:r>
          </w:p>
        </w:tc>
      </w:tr>
      <w:tr>
        <w:trPr>
          <w:trHeight w:hRule="atLeast" w:val="400"/>
        </w:trPr>
        <w:tc>
          <w:tcPr>
            <w:tcW w:type="dxa" w:w="309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6"/>
              </w:rPr>
              <w:t>Post-break 2019 Q1–2025 Q4</w:t>
            </w:r>
          </w:p>
        </w:tc>
        <w:tc>
          <w:tcPr>
            <w:tcW w:type="dxa" w:w="1512"/>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414.542</w:t>
            </w:r>
          </w:p>
        </w:tc>
        <w:tc>
          <w:tcPr>
            <w:tcW w:type="dxa" w:w="93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0.887</w:t>
            </w:r>
          </w:p>
        </w:tc>
        <w:tc>
          <w:tcPr>
            <w:tcW w:type="dxa" w:w="93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18.05</w:t>
            </w:r>
          </w:p>
        </w:tc>
        <w:tc>
          <w:tcPr>
            <w:tcW w:type="dxa" w:w="2232"/>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Persistent increase</w:t>
            </w:r>
          </w:p>
        </w:tc>
      </w:tr>
      <w:tr>
        <w:trPr>
          <w:trHeight w:hRule="atLeast" w:val="400"/>
        </w:trPr>
        <w:tc>
          <w:tcPr>
            <w:tcW w:type="dxa" w:w="309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6"/>
              </w:rPr>
              <w:t>Recent 2023 Q1–2025 Q4</w:t>
            </w:r>
          </w:p>
        </w:tc>
        <w:tc>
          <w:tcPr>
            <w:tcW w:type="dxa" w:w="1512"/>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596.944</w:t>
            </w:r>
          </w:p>
        </w:tc>
        <w:tc>
          <w:tcPr>
            <w:tcW w:type="dxa" w:w="93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0.670</w:t>
            </w:r>
          </w:p>
        </w:tc>
        <w:tc>
          <w:tcPr>
            <w:tcW w:type="dxa" w:w="93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4.15</w:t>
            </w:r>
          </w:p>
        </w:tc>
        <w:tc>
          <w:tcPr>
            <w:tcW w:type="dxa" w:w="2232"/>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6"/>
              </w:rPr>
              <w:t>Positive, more volatile</w:t>
            </w:r>
          </w:p>
        </w:tc>
      </w:tr>
    </w:tbl>
    <w:p>
      <w:pPr>
        <w:spacing w:before="60" w:after="160"/>
        <w:jc w:val="left"/>
      </w:pPr>
      <w:r>
        <w:rPr>
          <w:i/>
          <w:color w:val="667085"/>
          <w:sz w:val="17"/>
        </w:rPr>
        <w:t>Table 2  Linear trend estimates for OCC/headcount</w:t>
      </w:r>
    </w:p>
    <w:p>
      <w:pPr>
        <w:keepLines w:val="0"/>
      </w:pPr>
      <w:r>
        <w:t>The fitted full-sample trend is +357 units of quarterly OCC per employee per year. The pre-break and post-break estimates are +290 and +415, respectively, and both have high explanatory power. OCC/headcount reached a sample high of 10,308 in 2025 Q1 and ended 2025 at 10,222. The late-2025 plateau is not evidence that the long-run trend has reversed.</w:t>
      </w:r>
    </w:p>
    <w:p>
      <w:r>
        <w:br w:type="page"/>
      </w:r>
    </w:p>
    <w:p>
      <w:pPr>
        <w:pStyle w:val="Heading1"/>
      </w:pPr>
      <w:r>
        <w:t>Why the Ratios Move Differently</w:t>
      </w:r>
    </w:p>
    <w:p>
      <w:pPr>
        <w:keepLines w:val="0"/>
      </w:pPr>
      <w:r>
        <w:t>The two ratios are linked by an accounting identity:</w:t>
      </w:r>
    </w:p>
    <w:p>
      <w:pPr>
        <w:spacing w:before="100" w:after="160"/>
        <w:jc w:val="center"/>
      </w:pPr>
      <w:r>
        <w:rPr>
          <w:b/>
          <w:color w:val="17365D"/>
          <w:sz w:val="24"/>
        </w:rPr>
        <w:t>Quarterly OCC / headcount  =  (quarterly OCC / average assets) × (average assets / headcount)</w:t>
      </w:r>
    </w:p>
    <w:p>
      <w:pPr>
        <w:keepLines w:val="0"/>
      </w:pPr>
      <w:r>
        <w:t>From 2011 Q1 to 2025 Q4, average assets per employee increased 133.5%, while quarterly OCC as a share of average assets declined 21.3%. The expansion in assets per employee was large enough to raise quarterly OCC per employee by 83.7%. This decomposition is the central economic interpretation of the data.</w:t>
      </w:r>
    </w:p>
    <w:p>
      <w:pPr>
        <w:jc w:val="center"/>
      </w:pPr>
      <w:r>
        <w:drawing>
          <wp:inline xmlns:a="http://schemas.openxmlformats.org/drawingml/2006/main" xmlns:pic="http://schemas.openxmlformats.org/drawingml/2006/picture">
            <wp:extent cx="6263640" cy="3062224"/>
            <wp:docPr id="3" name="Picture 3" descr="Indexed time series showing quarterly OCC per employee, average assets per employee, and quarterly OCC as a share of average assets, all set to 100 in 2011 Q1, with a marked 2019 Q1 breakpoint."/>
            <wp:cNvGraphicFramePr>
              <a:graphicFrameLocks noChangeAspect="1"/>
            </wp:cNvGraphicFramePr>
            <a:graphic>
              <a:graphicData uri="http://schemas.openxmlformats.org/drawingml/2006/picture">
                <pic:pic>
                  <pic:nvPicPr>
                    <pic:cNvPr id="0" name="ratio_decomposition.png"/>
                    <pic:cNvPicPr/>
                  </pic:nvPicPr>
                  <pic:blipFill>
                    <a:blip r:embed="rId12"/>
                    <a:stretch>
                      <a:fillRect/>
                    </a:stretch>
                  </pic:blipFill>
                  <pic:spPr>
                    <a:xfrm>
                      <a:off x="0" y="0"/>
                      <a:ext cx="6263640" cy="3062224"/>
                    </a:xfrm>
                    <a:prstGeom prst="rect"/>
                  </pic:spPr>
                </pic:pic>
              </a:graphicData>
            </a:graphic>
          </wp:inline>
        </w:drawing>
      </w:r>
    </w:p>
    <w:p>
      <w:pPr>
        <w:spacing w:before="60" w:after="160"/>
        <w:jc w:val="left"/>
      </w:pPr>
      <w:r>
        <w:rPr>
          <w:i/>
          <w:color w:val="667085"/>
          <w:sz w:val="17"/>
        </w:rPr>
        <w:t>Figure 3  Indexed decomposition of quarterly OCC per employee</w:t>
      </w:r>
    </w:p>
    <w:p>
      <w:pPr>
        <w:keepLines w:val="0"/>
      </w:pPr>
      <w:r>
        <w:t>The full-sample correlation between OCC/assets and OCC/headcount is -0.81, but that negative relationship is mainly a regime effect. Within the pre-2019 and post-2019 periods, the correlations are only 0.04 and -0.12. Since 2023 Q1, however, the two ratios have moved together closely, with a correlation of 0.99. Recent increases in OCC/headcount therefore reflect both a higher OCC share of assets and high assets per employee.</w:t>
      </w:r>
    </w:p>
    <w:p>
      <w:r>
        <w:br w:type="page"/>
      </w:r>
    </w:p>
    <w:p>
      <w:pPr>
        <w:pStyle w:val="Heading1"/>
      </w:pPr>
      <w:r>
        <w:t>The 2019 Acquisition Break</w:t>
      </w:r>
    </w:p>
    <w:p>
      <w:pPr>
        <w:keepLines w:val="0"/>
      </w:pPr>
      <w:r>
        <w:t>The transition from 2018 Q4 to 2019 Q1 changes the level and interpretation of both series. The simultaneous jumps in assets, quarterly OCC, and headcount are consistent with the identified acquisition or consolidation effect. Ratios reduce the scale effect, but they do not remove a potential change in business mix or reporting scope.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240"/>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7"/>
              </w:rPr>
              <w:t>Measure</w:t>
            </w:r>
          </w:p>
        </w:tc>
        <w:tc>
          <w:tcPr>
            <w:tcW w:type="dxa" w:w="1944"/>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7"/>
              </w:rPr>
              <w:t>2018 Q4</w:t>
            </w:r>
          </w:p>
        </w:tc>
        <w:tc>
          <w:tcPr>
            <w:tcW w:type="dxa" w:w="1944"/>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7"/>
              </w:rPr>
              <w:t>2019 Q1</w:t>
            </w:r>
          </w:p>
        </w:tc>
        <w:tc>
          <w:tcPr>
            <w:tcW w:type="dxa" w:w="1728"/>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7"/>
              </w:rPr>
              <w:t>Change</w:t>
            </w:r>
          </w:p>
        </w:tc>
      </w:tr>
      <w:tr>
        <w:trPr>
          <w:trHeight w:hRule="atLeast" w:val="400"/>
        </w:trPr>
        <w:tc>
          <w:tcPr>
            <w:tcW w:type="dxa" w:w="3240"/>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Average assets</w:t>
            </w:r>
          </w:p>
        </w:tc>
        <w:tc>
          <w:tcPr>
            <w:tcW w:type="dxa" w:w="1944"/>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32.51 bn</w:t>
            </w:r>
          </w:p>
        </w:tc>
        <w:tc>
          <w:tcPr>
            <w:tcW w:type="dxa" w:w="1944"/>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46.12 bn</w:t>
            </w:r>
          </w:p>
        </w:tc>
        <w:tc>
          <w:tcPr>
            <w:tcW w:type="dxa" w:w="172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+41.9%</w:t>
            </w:r>
          </w:p>
        </w:tc>
      </w:tr>
      <w:tr>
        <w:trPr>
          <w:trHeight w:hRule="atLeast" w:val="400"/>
        </w:trPr>
        <w:tc>
          <w:tcPr>
            <w:tcW w:type="dxa" w:w="3240"/>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Quarterly OCC sum</w:t>
            </w:r>
          </w:p>
        </w:tc>
        <w:tc>
          <w:tcPr>
            <w:tcW w:type="dxa" w:w="1944"/>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34.26 mm</w:t>
            </w:r>
          </w:p>
        </w:tc>
        <w:tc>
          <w:tcPr>
            <w:tcW w:type="dxa" w:w="1944"/>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38.39 mm</w:t>
            </w:r>
          </w:p>
        </w:tc>
        <w:tc>
          <w:tcPr>
            <w:tcW w:type="dxa" w:w="172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+12.1%</w:t>
            </w:r>
          </w:p>
        </w:tc>
      </w:tr>
      <w:tr>
        <w:trPr>
          <w:trHeight w:hRule="atLeast" w:val="400"/>
        </w:trPr>
        <w:tc>
          <w:tcPr>
            <w:tcW w:type="dxa" w:w="3240"/>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Headcount</w:t>
            </w:r>
          </w:p>
        </w:tc>
        <w:tc>
          <w:tcPr>
            <w:tcW w:type="dxa" w:w="1944"/>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4,466</w:t>
            </w:r>
          </w:p>
        </w:tc>
        <w:tc>
          <w:tcPr>
            <w:tcW w:type="dxa" w:w="1944"/>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5,173</w:t>
            </w:r>
          </w:p>
        </w:tc>
        <w:tc>
          <w:tcPr>
            <w:tcW w:type="dxa" w:w="172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+15.8%</w:t>
            </w:r>
          </w:p>
        </w:tc>
      </w:tr>
      <w:tr>
        <w:trPr>
          <w:trHeight w:hRule="atLeast" w:val="400"/>
        </w:trPr>
        <w:tc>
          <w:tcPr>
            <w:tcW w:type="dxa" w:w="3240"/>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OCC / average assets</w:t>
            </w:r>
          </w:p>
        </w:tc>
        <w:tc>
          <w:tcPr>
            <w:tcW w:type="dxa" w:w="1944"/>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10.54 bps</w:t>
            </w:r>
          </w:p>
        </w:tc>
        <w:tc>
          <w:tcPr>
            <w:tcW w:type="dxa" w:w="1944"/>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8.32 bps</w:t>
            </w:r>
          </w:p>
        </w:tc>
        <w:tc>
          <w:tcPr>
            <w:tcW w:type="dxa" w:w="172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-21.0%</w:t>
            </w:r>
          </w:p>
        </w:tc>
      </w:tr>
      <w:tr>
        <w:trPr>
          <w:trHeight w:hRule="atLeast" w:val="400"/>
        </w:trPr>
        <w:tc>
          <w:tcPr>
            <w:tcW w:type="dxa" w:w="3240"/>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OCC / headcount</w:t>
            </w:r>
          </w:p>
        </w:tc>
        <w:tc>
          <w:tcPr>
            <w:tcW w:type="dxa" w:w="1944"/>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7,671</w:t>
            </w:r>
          </w:p>
        </w:tc>
        <w:tc>
          <w:tcPr>
            <w:tcW w:type="dxa" w:w="1944"/>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7,422</w:t>
            </w:r>
          </w:p>
        </w:tc>
        <w:tc>
          <w:tcPr>
            <w:tcW w:type="dxa" w:w="172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-3.3%</w:t>
            </w:r>
          </w:p>
        </w:tc>
      </w:tr>
      <w:tr>
        <w:trPr>
          <w:trHeight w:hRule="atLeast" w:val="400"/>
        </w:trPr>
        <w:tc>
          <w:tcPr>
            <w:tcW w:type="dxa" w:w="3240"/>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Average assets / headcount</w:t>
            </w:r>
          </w:p>
        </w:tc>
        <w:tc>
          <w:tcPr>
            <w:tcW w:type="dxa" w:w="1944"/>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7.28 mm</w:t>
            </w:r>
          </w:p>
        </w:tc>
        <w:tc>
          <w:tcPr>
            <w:tcW w:type="dxa" w:w="1944"/>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8.92 mm</w:t>
            </w:r>
          </w:p>
        </w:tc>
        <w:tc>
          <w:tcPr>
            <w:tcW w:type="dxa" w:w="172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+22.5%</w:t>
            </w:r>
          </w:p>
        </w:tc>
      </w:tr>
    </w:tbl>
    <w:p>
      <w:pPr>
        <w:spacing w:before="60" w:after="160"/>
        <w:jc w:val="left"/>
      </w:pPr>
      <w:r>
        <w:rPr>
          <w:i/>
          <w:color w:val="667085"/>
          <w:sz w:val="17"/>
        </w:rPr>
        <w:t>Table 3  Quarter-over-quarter change at the acquisition breakpoint</w:t>
      </w:r>
    </w:p>
    <w:p>
      <w:pPr>
        <w:keepLines w:val="0"/>
      </w:pPr>
      <w:r>
        <w:t>Because average assets grew much faster than quarterly OCC, OCC/assets fell sharply at the breakpoint. Quarterly OCC also grew more slowly than headcount, so OCC/headcount fell modestly rather than rising. A trend estimated across the full sample therefore combines three effects: movement within each regime, the 2019 level shift, and changes in business composition.</w:t>
      </w:r>
    </w:p>
    <w:p>
      <w:pPr>
        <w:pStyle w:val="Heading2"/>
      </w:pPr>
      <w:r>
        <w:t>Recent Readings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728"/>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7"/>
              </w:rPr>
              <w:t>Quarter</w:t>
            </w:r>
          </w:p>
        </w:tc>
        <w:tc>
          <w:tcPr>
            <w:tcW w:type="dxa" w:w="2448"/>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7"/>
              </w:rPr>
              <w:t>OCC / assets (bps)</w:t>
            </w:r>
          </w:p>
        </w:tc>
        <w:tc>
          <w:tcPr>
            <w:tcW w:type="dxa" w:w="2088"/>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7"/>
              </w:rPr>
              <w:t>OCC / HC</w:t>
            </w:r>
          </w:p>
        </w:tc>
        <w:tc>
          <w:tcPr>
            <w:tcW w:type="dxa" w:w="2376"/>
            <w:shd w:fill="17365D"/>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b/>
                <w:color w:val="FFFFFF"/>
                <w:sz w:val="17"/>
              </w:rPr>
              <w:t>Assets / HC (mm)</w:t>
            </w:r>
          </w:p>
        </w:tc>
      </w:tr>
      <w:tr>
        <w:trPr>
          <w:trHeight w:hRule="atLeast" w:val="400"/>
        </w:trPr>
        <w:tc>
          <w:tcPr>
            <w:tcW w:type="dxa" w:w="172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2021 Q4</w:t>
            </w:r>
          </w:p>
        </w:tc>
        <w:tc>
          <w:tcPr>
            <w:tcW w:type="dxa" w:w="244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7.50</w:t>
            </w:r>
          </w:p>
        </w:tc>
        <w:tc>
          <w:tcPr>
            <w:tcW w:type="dxa" w:w="208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8,754</w:t>
            </w:r>
          </w:p>
        </w:tc>
        <w:tc>
          <w:tcPr>
            <w:tcW w:type="dxa" w:w="237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11.67</w:t>
            </w:r>
          </w:p>
        </w:tc>
      </w:tr>
      <w:tr>
        <w:trPr>
          <w:trHeight w:hRule="atLeast" w:val="400"/>
        </w:trPr>
        <w:tc>
          <w:tcPr>
            <w:tcW w:type="dxa" w:w="172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2022 Q4</w:t>
            </w:r>
          </w:p>
        </w:tc>
        <w:tc>
          <w:tcPr>
            <w:tcW w:type="dxa" w:w="244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7.51</w:t>
            </w:r>
          </w:p>
        </w:tc>
        <w:tc>
          <w:tcPr>
            <w:tcW w:type="dxa" w:w="208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8,990</w:t>
            </w:r>
          </w:p>
        </w:tc>
        <w:tc>
          <w:tcPr>
            <w:tcW w:type="dxa" w:w="237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11.97</w:t>
            </w:r>
          </w:p>
        </w:tc>
      </w:tr>
      <w:tr>
        <w:trPr>
          <w:trHeight w:hRule="atLeast" w:val="400"/>
        </w:trPr>
        <w:tc>
          <w:tcPr>
            <w:tcW w:type="dxa" w:w="172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2023 Q4</w:t>
            </w:r>
          </w:p>
        </w:tc>
        <w:tc>
          <w:tcPr>
            <w:tcW w:type="dxa" w:w="244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7.98</w:t>
            </w:r>
          </w:p>
        </w:tc>
        <w:tc>
          <w:tcPr>
            <w:tcW w:type="dxa" w:w="208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10,035</w:t>
            </w:r>
          </w:p>
        </w:tc>
        <w:tc>
          <w:tcPr>
            <w:tcW w:type="dxa" w:w="237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12.58</w:t>
            </w:r>
          </w:p>
        </w:tc>
      </w:tr>
      <w:tr>
        <w:trPr>
          <w:trHeight w:hRule="atLeast" w:val="400"/>
        </w:trPr>
        <w:tc>
          <w:tcPr>
            <w:tcW w:type="dxa" w:w="172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2024 Q4</w:t>
            </w:r>
          </w:p>
        </w:tc>
        <w:tc>
          <w:tcPr>
            <w:tcW w:type="dxa" w:w="244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7.85</w:t>
            </w:r>
          </w:p>
        </w:tc>
        <w:tc>
          <w:tcPr>
            <w:tcW w:type="dxa" w:w="208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10,062</w:t>
            </w:r>
          </w:p>
        </w:tc>
        <w:tc>
          <w:tcPr>
            <w:tcW w:type="dxa" w:w="237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12.82</w:t>
            </w:r>
          </w:p>
        </w:tc>
      </w:tr>
      <w:tr>
        <w:trPr>
          <w:trHeight w:hRule="atLeast" w:val="400"/>
        </w:trPr>
        <w:tc>
          <w:tcPr>
            <w:tcW w:type="dxa" w:w="172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2025 Q1</w:t>
            </w:r>
          </w:p>
        </w:tc>
        <w:tc>
          <w:tcPr>
            <w:tcW w:type="dxa" w:w="244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8.08</w:t>
            </w:r>
          </w:p>
        </w:tc>
        <w:tc>
          <w:tcPr>
            <w:tcW w:type="dxa" w:w="2088"/>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10,308</w:t>
            </w:r>
          </w:p>
        </w:tc>
        <w:tc>
          <w:tcPr>
            <w:tcW w:type="dxa" w:w="2376"/>
            <w:shd w:fill="FFFFFF"/>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12.76</w:t>
            </w:r>
          </w:p>
        </w:tc>
      </w:tr>
      <w:tr>
        <w:trPr>
          <w:trHeight w:hRule="atLeast" w:val="400"/>
        </w:trPr>
        <w:tc>
          <w:tcPr>
            <w:tcW w:type="dxa" w:w="172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left"/>
            </w:pPr>
            <w:r>
              <w:rPr>
                <w:color w:val="000000"/>
                <w:sz w:val="17"/>
              </w:rPr>
              <w:t>2025 Q4</w:t>
            </w:r>
          </w:p>
        </w:tc>
        <w:tc>
          <w:tcPr>
            <w:tcW w:type="dxa" w:w="244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8.03</w:t>
            </w:r>
          </w:p>
        </w:tc>
        <w:tc>
          <w:tcPr>
            <w:tcW w:type="dxa" w:w="2088"/>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10,222</w:t>
            </w:r>
          </w:p>
        </w:tc>
        <w:tc>
          <w:tcPr>
            <w:tcW w:type="dxa" w:w="2376"/>
            <w:shd w:fill="F2F6FA"/>
            <w:tcBorders>
              <w:top w:val="single" w:sz="6" w:color="B7C9E2"/>
              <w:left w:val="single" w:sz="6" w:color="B7C9E2"/>
              <w:bottom w:val="single" w:sz="6" w:color="B7C9E2"/>
              <w:right w:val="single" w:sz="6" w:color="B7C9E2"/>
              <w:insideH w:val="single" w:sz="6" w:color="B7C9E2"/>
              <w:insideV w:val="single" w:sz="6" w:color="B7C9E2"/>
            </w:tcBorders>
            <w:tcMar>
              <w:top w:w="75" w:type="dxa"/>
              <w:start w:w="90" w:type="dxa"/>
              <w:bottom w:w="75" w:type="dxa"/>
              <w:end w:w="90" w:type="dxa"/>
            </w:tcMar>
            <w:vAlign w:val="center"/>
          </w:tcPr>
          <w:p>
            <w:pPr>
              <w:jc w:val="center"/>
            </w:pPr>
            <w:r>
              <w:rPr>
                <w:color w:val="000000"/>
                <w:sz w:val="17"/>
              </w:rPr>
              <w:t>12.73</w:t>
            </w:r>
          </w:p>
        </w:tc>
      </w:tr>
    </w:tbl>
    <w:p>
      <w:pPr>
        <w:spacing w:before="60" w:after="160"/>
        <w:jc w:val="left"/>
      </w:pPr>
      <w:r>
        <w:rPr>
          <w:i/>
          <w:color w:val="667085"/>
          <w:sz w:val="17"/>
        </w:rPr>
        <w:t>Table 4  Selected recent observations</w:t>
      </w:r>
    </w:p>
    <w:p>
      <w:pPr>
        <w:keepLines w:val="0"/>
      </w:pPr>
      <w:r>
        <w:t>The strongest recent change occurred during 2023. From 2022 Q4 to 2023 Q4, OCC/assets rose 6.2% and OCC/headcount rose 11.6%. From 2024 Q4 to 2025 Q4, the ratios changed +2.3% and +1.6%, respectively. The recent pattern supports continued monitoring, but the late-2025 plateau does not establish a new downward regime.</w:t>
      </w:r>
    </w:p>
    <w:p>
      <w:r>
        <w:br w:type="page"/>
      </w:r>
    </w:p>
    <w:p>
      <w:pPr>
        <w:pStyle w:val="Heading1"/>
      </w:pPr>
      <w:r>
        <w:t>Interpretation and Monitoring Implications</w:t>
      </w:r>
    </w:p>
    <w:p>
      <w:pPr>
        <w:keepLines w:val="0"/>
      </w:pPr>
      <w:r>
        <w:t>The two ratios answer different management questions and should be monitored together.</w:t>
      </w:r>
    </w:p>
    <w:p>
      <w:pPr>
        <w:pStyle w:val="ListBullet"/>
        <w:spacing w:after="60"/>
      </w:pPr>
      <w:r>
        <w:t>Quarterly OCC/assets measures three-month OCC activity relative to the average balance sheet. It is useful for assessing whether OCC is becoming more or less intensive relative to assets.</w:t>
      </w:r>
    </w:p>
    <w:p>
      <w:pPr>
        <w:pStyle w:val="ListBullet"/>
        <w:spacing w:after="60"/>
      </w:pPr>
      <w:r>
        <w:t>Quarterly OCC/headcount measures three-month OCC supported per quarter-end employee. It is sensitive to operating leverage, staffing timing, and changes in assets per employee.</w:t>
      </w:r>
    </w:p>
    <w:p>
      <w:pPr>
        <w:pStyle w:val="ListBullet"/>
        <w:spacing w:after="60"/>
      </w:pPr>
      <w:r>
        <w:t>Average assets/headcount is the bridge between the two ratios. A rise in OCC/headcount does not imply that OCC has become a larger share of assets when assets per employee are rising faster.</w:t>
      </w:r>
    </w:p>
    <w:p>
      <w:pPr>
        <w:keepLines w:val="0"/>
      </w:pPr>
      <w:r>
        <w:t>For monitoring, the preferred dashboard should show all three series: quarterly OCC/average assets, quarterly OCC/headcount, and average assets/headcount. It should mark the 2019 Q1 break and avoid fitting one trend line across the entire history without a regime indicator. The updated workbook includes full-sample and segmented fits for both ratios.</w:t>
      </w:r>
    </w:p>
    <w:p>
      <w:pPr>
        <w:keepLines w:val="0"/>
      </w:pPr>
      <w:r>
        <w:t>A practical alert framework would compare each quarter with the same quarter one year earlier and with a four-quarter moving average. A simultaneous rise in OCC/assets and OCC/headcount is more informative than a change in either ratio alone. A rise in OCC/headcount accompanied by a flat or falling OCC/assets ratio points instead to balance-sheet growth per employee.</w:t>
      </w:r>
    </w:p>
    <w:p>
      <w:pPr>
        <w:pStyle w:val="Heading1"/>
      </w:pPr>
      <w:r>
        <w:t>Limitations</w:t>
      </w:r>
    </w:p>
    <w:p>
      <w:pPr>
        <w:pStyle w:val="ListBullet"/>
        <w:spacing w:after="60"/>
      </w:pPr>
      <w:r>
        <w:t>The acquisition interpretation is based on the identified 2019 Q1 event; the dataset does not separately quantify purchase accounting, business mix, or reporting-scope changes.</w:t>
      </w:r>
    </w:p>
    <w:p>
      <w:pPr>
        <w:pStyle w:val="ListBullet"/>
        <w:spacing w:after="60"/>
      </w:pPr>
      <w:r>
        <w:t>Headcount is observed only at quarter-end. Dividing a three-month OCC sum by quarter-end headcount is a practical intensity measure, but it is not the same as using average full-time-equivalent staffing during the quarter.</w:t>
      </w:r>
    </w:p>
    <w:p>
      <w:pPr>
        <w:pStyle w:val="ListBullet"/>
        <w:spacing w:after="60"/>
      </w:pPr>
      <w:r>
        <w:t>The trend regressions are descriptive. They do not control for macroeconomic conditions, portfolio mix, formal seasonal effects, or changes in OCC definitions.</w:t>
      </w:r>
    </w:p>
    <w:p>
      <w:pPr>
        <w:pStyle w:val="ListBullet"/>
        <w:spacing w:after="60"/>
      </w:pPr>
      <w:r>
        <w:t>Using quarter-end assets instead of three-month average assets changes OCC/assets by 0.059 basis points on average, with a maximum absolute difference of 0.231 basis points in 2012 Q4. The main conclusions are insensitive to the asset denominator choice.</w:t>
      </w:r>
    </w:p>
    <w:p>
      <w:pPr>
        <w:pStyle w:val="ListBullet"/>
        <w:spacing w:after="60"/>
      </w:pPr>
      <w:r>
        <w:t>Quarterly OCC is a three-month sum. It should not be compared directly with a single monthly OCC observation or described as a quarter-end stock.</w:t>
      </w:r>
    </w:p>
    <w:p>
      <w:pPr>
        <w:pStyle w:val="Heading1"/>
      </w:pPr>
      <w:r>
        <w:t>Conclusion</w:t>
      </w:r>
    </w:p>
    <w:p>
      <w:pPr>
        <w:keepLines w:val="0"/>
      </w:pPr>
      <w:r>
        <w:t>After correcting OCC to a three-month quarterly sum, quarterly OCC/headcount still has a clear upward long-run trend. Quarterly OCC/average assets is better characterized by a sharp 2019 level break, a weak post-break decline, and a recent recovery. The apparent contradiction is explained by growth in average assets per employee. The most useful interpretation is not that OCC has uniformly intensified across the balance sheet, but that each employee now supports materially more assets and quarterly OCC than in 2011. The recent rise in both ratios deserves attention, while the late-2025 plateau suggests stabilization rather than continued acceleration.</w:t>
      </w:r>
    </w:p>
    <w:p>
      <w:pPr>
        <w:spacing w:before="200" w:after="0"/>
      </w:pPr>
      <w:r>
        <w:rPr>
          <w:b/>
          <w:color w:val="667085"/>
          <w:sz w:val="17"/>
        </w:rPr>
        <w:t xml:space="preserve">Source and notes  </w:t>
      </w:r>
      <w:r>
        <w:rPr>
          <w:color w:val="667085"/>
          <w:sz w:val="17"/>
        </w:rPr>
        <w:t>Monthly OCC and asset data and quarterly headcount supplied in the workbook, 2011 Q1–2025 Q4. Quarterly OCC is the sum of three monthly observations; the preferred asset denominator is the three-month arithmetic average; headcount is quarter-end. Values may differ slightly because of rounding.</w:t>
      </w:r>
    </w:p>
    <w:sectPr w:rsidR="00FC693F" w:rsidRPr="0006063C" w:rsidSect="00034616">
      <w:footerReference w:type="default" r:id="rId9"/>
      <w:pgSz w:w="12240" w:h="15840"/>
      <w:pgMar w:top="936"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331" w:hanging="216"/>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Quarterly OCC Ratio Time Series Analysis</dc:title>
  <dc:subject>Quarterly OCC relative to headcount and total assets</dc:subject>
  <dc:creator/>
  <cp:keywords>OCC, assets, headcount, time series, structural break</cp:keywords>
  <dc:description>generated by python-docx</dc:description>
  <cp:lastModifiedBy/>
  <cp:revision>1</cp:revision>
  <dcterms:created xsi:type="dcterms:W3CDTF">2013-12-23T23:15:00Z</dcterms:created>
  <dcterms:modified xsi:type="dcterms:W3CDTF">2013-12-23T23:15:00Z</dcterms:modified>
  <cp:category/>
</cp:coreProperties>
</file>