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7F208" w14:textId="77777777" w:rsidR="00416E13" w:rsidRDefault="00000000">
      <w:pPr>
        <w:pStyle w:val="aa"/>
        <w:spacing w:line="600" w:lineRule="exact"/>
        <w:snapToGrid w:val="false"/>
      </w:pPr>
      <w:r>
        <w:rPr>
          <w:rFonts w:eastAsia="PingFang SC"/>
          <w:lang w:eastAsia="zh-CN"/>
        </w:rPr>
        <w:t>PNFP 奖金比率 ARDL 模型报告</w:t>
      </w:r>
    </w:p>
    <w:p w14:paraId="18CCEAFC" w14:textId="77777777" w:rsidR="00416E13" w:rsidRDefault="00000000">
      <w:pPr>
        <w:pStyle w:val="ac"/>
        <w:spacing w:line="300" w:lineRule="exact"/>
        <w:snapToGrid w:val="false"/>
      </w:pPr>
      <w:r>
        <w:rPr>
          <w:rFonts w:eastAsia="PingFang SC"/>
          <w:lang w:eastAsia="zh-CN"/>
        </w:rPr>
        <w:t>宏观变量筛选 滚动诊断与 S4 情景预测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样本内期间：2012Q2 至 2022Q4。样本外期间：2023Q1 至 2025Q4。更新日期：2026 年 10 月 5 日。</w:t>
      </w:r>
    </w:p>
    <w:p w14:paraId="533F5B01" w14:textId="77777777" w:rsidR="00416E13" w:rsidRDefault="00000000">
      <w:pPr>
        <w:pStyle w:val="1"/>
        <w:spacing w:line="380" w:lineRule="exact"/>
        <w:snapToGrid w:val="false"/>
      </w:pPr>
      <w:r>
        <w:rPr>
          <w:rFonts w:eastAsia="PingFang SC"/>
          <w:lang w:eastAsia="zh-CN"/>
        </w:rPr>
        <w:t>摘要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初始前向选择从 18 类符合条件的宏观变量中选入失业率和 HY。随后，HY 未通过滚动显著性审查，因此从最终模型中剔除；失业率成为唯一保留的宏观解释变量。变量清单仍保留全部 22 个序列。截距、自身一期滞后项以及 2020Q1–2021Q1 的疫情虚拟变量始终固定纳入模型。不按并购前后拆分样本，也不加入并购虚拟变量。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训练期调整后 R² 为 0.278。样本外单步预测的 RMSE 为 4.360 个百分点，低于包含相同虚拟变量的 AR(1) 基准模型的 5.056。失业率系数在全部 32 个六年滚动窗口中均为正，其中 27 个窗口显著。不过，移除五个疫情响应季度后，其显著性消失。因此，结果支持的是有条件的历史关联，而非完全稳定的因果关系。</w:t>
      </w:r>
    </w:p>
    <w:p w14:paraId="533F5B01" w14:textId="77777777" w:rsidR="00416E13" w:rsidRDefault="00000000">
      <w:pPr>
        <w:pStyle w:val="1"/>
        <w:spacing w:line="380" w:lineRule="exact"/>
        <w:snapToGrid w:val="false"/>
      </w:pPr>
      <w:r>
        <w:rPr>
          <w:rFonts w:eastAsia="PingFang SC"/>
          <w:lang w:eastAsia="zh-CN"/>
        </w:rPr>
        <w:t>数据与目标变量定义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3887"/>
        <w:gridCol w:w="2074"/>
      </w:tblGrid>
      <w:tr w:rsidR="00416E13" w14:paraId="2F5CD14D" w14:textId="77777777">
        <w:trPr>
          <w:cantSplit/>
          <w:tblHeader/>
          <w:jc w:val="center"/>
        </w:trPr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样本</w:t>
            </w:r>
          </w:p>
        </w:tc>
        <w:tc>
          <w:tcPr>
            <w:tcW w:w="38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期间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季度数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PNFP 原始历史数据</w:t>
            </w:r>
          </w:p>
        </w:tc>
        <w:tc>
          <w:tcPr>
            <w:tcW w:w="38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2011Q1 至 2025Q4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60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统一训练样本</w:t>
            </w:r>
          </w:p>
        </w:tc>
        <w:tc>
          <w:tcPr>
            <w:tcW w:w="38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2012Q2 至 2022Q4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43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样本外回测</w:t>
            </w:r>
          </w:p>
        </w:tc>
        <w:tc>
          <w:tcPr>
            <w:tcW w:w="38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2023Q1 至 2025Q4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0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固定结构全样本重估</w:t>
            </w:r>
          </w:p>
        </w:tc>
        <w:tc>
          <w:tcPr>
            <w:tcW w:w="38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2012Q2 至 2025Q4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55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R(t) = 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Bonus(t)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Compensation(t) − Bonus(t)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;     y(t) = 100 × R(t)</m:t>
        </m:r>
      </m:oMath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目标变量是比率水平，而不是同比增长率，也不是奖金占总薪酬的比例。公式中 Bonus 为奖金，Compensation 为总薪酬；模型误差均以该比率的百分点表示。统一样本起点兼顾单独检验的滞后奖金增长项，该检验需要此前五个季度的数据。更早的观测仍保留用于构造滞后项。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2150709"/>
            <wp:docPr id="1" name="Picture 1" descr="图 1  季度奖金比率。浅棕色标示疫情虚拟变量生效期，浅蓝色标示样本外期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1507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1  季度奖金比率。浅棕色标示疫情虚拟变量生效期，浅蓝色标示样本外期间。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宏观变量清单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更新后的清单包括 22 个季度宏观序列，采用 2026 年 8 月基准情景的变量定义。HY 参与初始前向选择，但在滚动显著性审查后被排除于最终模型之外。以下两张表中所有代码均带有后缀 _B.IUSA。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1"/>
        <w:gridCol w:w="4535"/>
        <w:gridCol w:w="2376"/>
        <w:gridCol w:w="1310"/>
      </w:tblGrid>
      <w:tr w:rsidR="00416E13" w14:paraId="2F5CD14D" w14:textId="77777777">
        <w:trPr>
          <w:cantSplit/>
          <w:tblHeader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代码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变量定义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单位与调整口径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最终候选池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FAHEFI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金融业平均时薪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美元/小时；SA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FPCNBULC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非农企业单位劳动成本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指数，2017=100；SA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FECICPQ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私人部门总薪酬 ECI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指数，2005年12月=100；SA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FRFED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联邦基金利率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年利率，%；NSA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FRGT2Y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两年期固定期限国债收益率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年利率，%；NSA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FRGT10Y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十年期固定期限国债收益率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年利率，%；NSA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FLBR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失业率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%；SA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FCBC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消费者信心指数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指数，1985=100；SA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FSBINQ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小企业标准化乐观指数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指数，1986=100；SA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FGDP$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实际国内生产总值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十亿链式2017年美元；SAAR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FGAP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实际 GDP 相对潜在 GDP 的产出缺口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%；SA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FBBACBQ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商业银行总资产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十亿美元；SA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FBBABLLCBQ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商业银行信贷中的贷款与租赁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十亿美元；SA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FCBOEVIXQ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CBOE 标普 500 波动率指数期内均值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指数；NSA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候选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7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FIRHYBOASQ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高收益债券期权调整利差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百分点；NSA</w:t>
            </w:r>
          </w:p>
        </w:tc>
        <w:tc>
          <w:tcPr>
            <w:tcW w:w="13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已剔除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季度数据口径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本次重跑直接使用更新后季度数据集提供的宏观水平值，不重新聚合月度数据、不插值，也不再次年化。随后计算季度对数变化或点数差分，用于平稳性筛选。这一步变换与构造季度水平值时的季内聚合是不同操作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SA 表示经过季节调整，NSA 表示未经季节调整，SAAR 表示经过季节调整并按年率表示。百分比形式的利率、以百分点计的利差，与相对百分比增长率应予以区分。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补充宏观变量定义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以下七个序列补全更新后的宏观变量清单。其取值为正的金额、数量和指数采用下述增长率变换规则。保留原有季度值，不再次取均值或额外年化。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126"/>
        <w:gridCol w:w="2922"/>
      </w:tblGrid>
      <w:tr w:rsidR="00416E13" w14:paraId="2F5CD14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代码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变量定义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单位与调整口径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FPCNBCPH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非农企业每小时薪酬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指数，2017=100；SA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FLBOPQ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非农职位空缺总数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百万个职位；SA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FYPEW52Q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金融保险业工资薪金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十亿美元；SAAR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FGDP52Q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金融保险业增加值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十亿美元；SAAR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FE52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金融保险业就业人数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百万人；SA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FYPCPIQ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人均收入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美元；SAAR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FECICCQ</w:t>
            </w:r>
          </w:p>
        </w:tc>
        <w:tc>
          <w:tcPr>
            <w:tcW w:w="51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全部非军事雇员总薪酬 ECI</w:t>
            </w:r>
          </w:p>
        </w:tc>
        <w:tc>
          <w:tcPr>
            <w:tcW w:w="2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指数，2005年12月=100；SA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本分析不独立重估季内聚合过程，因此不将所有输入水平值统称为简单季度均值。每个经济序列只纳入一次。两类 ECI 并非重复：一类覆盖私人部门，另一类覆盖全部非军事雇员。SAAR 序列已经年化，不再跨月求和或乘以四。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FYPCPIQ 是人均收入，不是 CPI。FGDP52Q 是以美元计量的金融保险业增加值，不是整体经济的实际 GDP。金融业平均时薪、非农部门每小时薪酬，以及金融保险业工资薪金总额，分别对应不同的覆盖人群和计量对象。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HY 在清单中保留但不进入最终模型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HY 对应 FIRHYBOASQ_B.IUSA，即美元高收益债券期权调整利差，单位为百分点。其水平值通过平稳性筛选，一期滞后项在初始前向选择第二轮中通过筛选：OLS p = 0.0184，HAC p = 0.0143，且满足全部入选诊断条件。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在初始双宏观变量模型中，HY 系数在全部 32 个 24 季度滚动窗口中均为负，但在 5% 水平下，OLS 口径仅有 1 个窗口显著，HAC 口径仅有 7 个。最后一个窗口的 OLS p = 0.1959，HAC p = 0.1212。这些结果均使用相同的更新数据重新计算。HY 被剔除是因为显著性缺乏持续性，并非未通过前向选择。报告后文的 HY 专项审查说明了窗口敏感性和这一判断的局限。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变量变换规则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正值金额、薪酬指数、就业人数和职位空缺先尝试季度对数增长率，再尝试四季度对数增长率。利率、信心指数以及可正可负的产出缺口先尝试水平值，再尝试季度点数差分。VIX 依次尝试水平值、对数水平和季度对数增长率。保留首个通过训练期平稳性规则的形式，不按模型拟合优度挑选变换。</w:t>
      </w:r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 w:eastAsia="Songti SC"/>
          </w:rPr>
          <m:t xml:space="preserve">季度对数增长率(t) = 100 × ln(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X(t)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X(t − 1)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</m:t>
        </m:r>
      </m:oMath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 w:eastAsia="Songti SC"/>
          </w:rPr>
          <m:t xml:space="preserve">同比对数增长率(t) = 100 × ln(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X(t)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X(t − 4)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</m:t>
        </m:r>
      </m:oMath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新增的七个序列采用正值数量的增长率变换规则。剔除 HY 后，另行将这七个序列改为“先水平、后差分”并重跑，仍选出相同的最终模型，其最终系数和预测结果完全一致。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平稳性检验与变换资格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两项检验均包含常数项，不含趋势项。ADF 最多设置四阶滞后，并由 AIC 选择；KPSS 采用自动带宽。只有同时满足 ADF p &lt; 0.05 和 KPSS p &gt; 0.05 的形式才有资格进入候选池。检验仅使用训练期数据。目标变量的水平形式通过检验。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800"/>
        <w:gridCol w:w="1800"/>
        <w:gridCol w:w="1440"/>
        <w:gridCol w:w="2216"/>
      </w:tblGrid>
      <w:tr w:rsidR="00416E13" w14:paraId="2F5CD14D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目标变量检验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统计量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p 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滞后阶数</w:t>
            </w:r>
          </w:p>
        </w:tc>
        <w:tc>
          <w:tcPr>
            <w:tcW w:w="2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有效样本数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ADF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-4.4166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0.0003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</w:t>
            </w:r>
          </w:p>
        </w:tc>
        <w:tc>
          <w:tcPr>
            <w:tcW w:w="2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KPSS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0.1443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</w:t>
            </w:r>
          </w:p>
        </w:tc>
        <w:tc>
          <w:tcPr>
            <w:tcW w:w="22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43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3"/>
        <w:gridCol w:w="2232"/>
        <w:gridCol w:w="1440"/>
        <w:gridCol w:w="1353"/>
        <w:gridCol w:w="1584"/>
      </w:tblGrid>
      <w:tr w:rsidR="00416E13" w14:paraId="2F5CD14D" w14:textId="77777777">
        <w:trPr>
          <w:cantSplit/>
          <w:tblHeader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宏观变量类别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展示形式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ADF p 值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KPSS p 值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状态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金融业平均时薪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0.0116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单位劳动成本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1.53e-15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私人部门薪酬 ECI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0.9247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0.0153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联邦基金利率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0.4322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两年期国债收益率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0.1113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十年期国债收益率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0.0006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0.0319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0.0874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已入选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消费者信心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0.0002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小企业乐观指数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1.35e-08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实际 GDP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1.27e-13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产出缺口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2.65e-13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商业银行总资产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1.84e-06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商业银行贷款与租赁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0.0001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VIX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0.0011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高收益债 OAS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0.0061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后续剔除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非农部门每小时薪酬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3.88e-13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非农职位空缺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0.0016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金融保险业工资薪金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4.03e-18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金融保险业增加值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1.88e-06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金融保险业就业人数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0.0001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人均收入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1.46e-12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&gt;0.100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通过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非军事雇员薪酬 ECI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0.8949</w:t>
            </w:r>
          </w:p>
        </w:tc>
        <w:tc>
          <w:tcPr>
            <w:tcW w:w="13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0.0137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未通过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宏观变量检验对应滞后输入期 2012Q1–2022Q3；在 ADF 因滞后而损失观测前，共有 43 个观测。初始测试的 45 种形式中，25 种通过，形成 18 类合格候选变量。HY 的水平值通过检验，但在滚动审查后被剔除，最终筛选保留 17 类候选。未通过的变量在表中展示首选形式，其所有备选形式也均未通过。未通过这一规则不等于确定了某一具体单整阶数。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最终模型筛选与估计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根据滚动审查剔除 HY 后，重新执行前向选择。截距、自身一期滞后项和疫情虚拟变量固定保留。新增变量须满足 OLS Student-t p &lt; 0.05、非截距项最大 VIF &lt; 10、1.5 ≤ DW ≤ 2.5，以及 Jarque–Bera p &gt; 0.05。通过者先按 p 值从小到大排序，再按调整后 R² 从高到低排序。无变量通过或已纳入两个宏观变量时停止。不进行向后剔除或滞后阶数搜索，全部试验使用相同的 43 个季度。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15"/>
        <w:gridCol w:w="1800"/>
        <w:gridCol w:w="2016"/>
        <w:gridCol w:w="1569"/>
      </w:tblGrid>
      <w:tr w:rsidR="00416E13" w14:paraId="2F5CD14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轮次</w:t>
            </w:r>
          </w:p>
        </w:tc>
        <w:tc>
          <w:tcPr>
            <w:tcW w:w="3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结果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新增项 p 值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调整后 R²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试验数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1</w:t>
            </w:r>
          </w:p>
        </w:tc>
        <w:tc>
          <w:tcPr>
            <w:tcW w:w="3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失业率水平的一期滞后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0.0030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0.277676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</w:t>
            </w:r>
          </w:p>
        </w:tc>
        <w:tc>
          <w:tcPr>
            <w:tcW w:w="38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无其他宏观变量通过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最低 0.1806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不适用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16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y(t) = 4.944700 + 0.329160 × y(t − 1)</m:t>
        </m:r>
      </m:oMath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        + 1.328645 × U(t − 1) − 5.041203 × D(t) + e(t)</m:t>
        </m:r>
      </m:oMath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U 是以百分数表示的季度失业率，不是小数形式，也不是失业率的增长率。D 在 2020Q1–2021Q1 取 1，其余季度取 0。最终模型不包含 HY。第二轮最接近入选的是金融业平均时薪增长，p = 0.1806；全部 16 个新增候选均未通过显著性门槛。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97"/>
        <w:gridCol w:w="1152"/>
        <w:gridCol w:w="1224"/>
        <w:gridCol w:w="1224"/>
        <w:gridCol w:w="2447"/>
      </w:tblGrid>
      <w:tr w:rsidR="00416E13" w14:paraId="2F5CD14D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变量项</w:t>
            </w:r>
          </w:p>
        </w:tc>
        <w:tc>
          <w:tcPr>
            <w:tcW w:w="14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标准误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p 值</w:t>
            </w:r>
          </w:p>
        </w:tc>
        <w:tc>
          <w:tcPr>
            <w:tcW w:w="24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95% 区间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截距</w:t>
            </w:r>
          </w:p>
        </w:tc>
        <w:tc>
          <w:tcPr>
            <w:tcW w:w="14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4.944700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3.4439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0.1590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0.1555</w:t>
            </w:r>
          </w:p>
        </w:tc>
        <w:tc>
          <w:tcPr>
            <w:tcW w:w="24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[-1.960, 11.850]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自身比率一期滞后</w:t>
            </w:r>
          </w:p>
        </w:tc>
        <w:tc>
          <w:tcPr>
            <w:tcW w:w="14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0.329160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0.1364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0.0206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0.0108</w:t>
            </w:r>
          </w:p>
        </w:tc>
        <w:tc>
          <w:tcPr>
            <w:tcW w:w="24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[0.080, 0.578]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失业率一期滞后</w:t>
            </w:r>
          </w:p>
        </w:tc>
        <w:tc>
          <w:tcPr>
            <w:tcW w:w="14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1.328645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0.4198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0.0030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0.0050</w:t>
            </w:r>
          </w:p>
        </w:tc>
        <w:tc>
          <w:tcPr>
            <w:tcW w:w="24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[0.425, 2.232]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疫情虚拟变量</w:t>
            </w:r>
          </w:p>
        </w:tc>
        <w:tc>
          <w:tcPr>
            <w:tcW w:w="149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-5.041203</w:t>
            </w:r>
          </w:p>
        </w:tc>
        <w:tc>
          <w:tcPr>
            <w:tcW w:w="1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2.6249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0.0621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0.0672</w:t>
            </w:r>
          </w:p>
        </w:tc>
        <w:tc>
          <w:tcPr>
            <w:tcW w:w="24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[-10.458, 0.375]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HAC 使用 Bartlett 核、四阶滞后、有限样本修正和 t 分布计算 p 值。OLS 入选规则不变。自身滞后项和虚拟变量无论 p 值大小均保留。疫情虚拟变量在训练期模型中未达到 5% 显著水平。报告中的统计推断以已选定的模型设定为条件，未对模型选择过程作调整。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模型诊断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512"/>
        <w:gridCol w:w="3945"/>
        <w:gridCol w:w="1511"/>
      </w:tblGrid>
      <w:tr w:rsidR="00416E13" w14:paraId="2F5CD14D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统计量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数值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统计量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数值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观测数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43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残差自由度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39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R²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0.329271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调整后 R²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0.277676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AIC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264.590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</w:rPr>
              <w:t>BIC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271.635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Durbin–Watson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1.9536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非截距项最大 VIF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1.2080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Jarque–Bera p 值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0.6905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Breusch–Pagan p 值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0.6749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BG 一阶 F 检验 p 值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0.9190</w:t>
            </w:r>
          </w:p>
        </w:tc>
        <w:tc>
          <w:tcPr>
            <w:tcW w:w="3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BG 四阶 F 检验 p 值</w:t>
            </w:r>
          </w:p>
        </w:tc>
        <w:tc>
          <w:tcPr>
            <w:tcW w:w="15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0.9175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DW 沿用既定筛选惯例；在包含滞后因变量的模型中，不将其单独作为检验依据。BG 检验在 5% 水平下未拒绝“无序列相关”的原假设。自身滞后系数的绝对值小于一。该平稳动态回归不构成协整证据，也不支持误差修正解释。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样本内拟合与样本外预测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9"/>
        <w:gridCol w:w="1008"/>
        <w:gridCol w:w="1972"/>
        <w:gridCol w:w="1973"/>
      </w:tblGrid>
      <w:tr w:rsidR="00416E13" w14:paraId="2F5CD14D" w14:textId="77777777">
        <w:trPr>
          <w:cantSplit/>
          <w:tblHeader/>
          <w:jc w:val="center"/>
        </w:trPr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评价口径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FFFFFF"/>
                <w:b/>
              </w:rPr>
              <w:t>n</w:t>
            </w:r>
          </w:p>
        </w:tc>
        <w:tc>
          <w:tcPr>
            <w:tcW w:w="1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FFFFFF"/>
                <w:b/>
              </w:rPr>
              <w:t>RMSE</w:t>
            </w:r>
          </w:p>
        </w:tc>
        <w:tc>
          <w:tcPr>
            <w:tcW w:w="1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FFFFFF"/>
                <w:b/>
              </w:rPr>
              <w:t>MAE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样本内拟合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43</w:t>
            </w:r>
          </w:p>
        </w:tc>
        <w:tc>
          <w:tcPr>
            <w:tcW w:w="1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4.781</w:t>
            </w:r>
          </w:p>
        </w:tc>
        <w:tc>
          <w:tcPr>
            <w:tcW w:w="1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3.797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样本外单步预测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</w:t>
            </w:r>
          </w:p>
        </w:tc>
        <w:tc>
          <w:tcPr>
            <w:tcW w:w="1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4.360</w:t>
            </w:r>
          </w:p>
        </w:tc>
        <w:tc>
          <w:tcPr>
            <w:tcW w:w="1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3.760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样本外条件递归预测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</w:t>
            </w:r>
          </w:p>
        </w:tc>
        <w:tc>
          <w:tcPr>
            <w:tcW w:w="1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5.026</w:t>
            </w:r>
          </w:p>
        </w:tc>
        <w:tc>
          <w:tcPr>
            <w:tcW w:w="1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4.405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0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样本外扩展窗口预测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</w:t>
            </w:r>
          </w:p>
        </w:tc>
        <w:tc>
          <w:tcPr>
            <w:tcW w:w="19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4.435</w:t>
            </w:r>
          </w:p>
        </w:tc>
        <w:tc>
          <w:tcPr>
            <w:tcW w:w="1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3.781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误差以奖金与非奖金薪酬比率的百分点表示。样本外单步预测固定使用截至 2022Q4 的估计系数，并使用上一季度的实际比率与失业率。本次重跑的数值变换选择和前向选择均未使用样本外因变量观测。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2286359"/>
            <wp:docPr id="2" name="Picture 2" descr="图 2  2012Q2–2022Q4 的训练期拟合。系数使用这 43 个季度估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f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286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2  2012Q2–2022Q4 的训练期拟合。系数使用这 43 个季度估计。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样本外条件递归预测从 2022Q4 的实际比率开始，之后用上一期预测比率替代自身滞后项，但仍使用实际发生的失业率路径。扩展窗口预测仅利用每期之前的观测重新估计系数，并固定已选定的模型结构。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2380439"/>
            <wp:docPr id="3" name="Picture 3" descr="图 3  2023Q1–2025Q4 的样本外实际值与预测值。全部 12 个季度的 D 均为 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t_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3804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3  2023Q1–2025Q4 的样本外实际值与预测值。全部 12 个季度的 D 均为 0。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这是基于修订后数据的历史回测。此前分析以及用于剔除 HY 的滚动证据已查看过样本外结果，因此该区段不属于完全未触碰的前瞻性验证。条件递归预测还假定后续宏观路径已知。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基准比较与敏感性分析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5"/>
        <w:gridCol w:w="1512"/>
        <w:gridCol w:w="1613"/>
        <w:gridCol w:w="1612"/>
      </w:tblGrid>
      <w:tr w:rsidR="00416E13" w14:paraId="2F5CD14D" w14:textId="77777777">
        <w:trPr>
          <w:cantSplit/>
          <w:tblHeader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模型设定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样本内 BIC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样本外 RMSE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样本外 MAE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含疫情虚拟变量的主 ARDL 模型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271.635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4.360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3.760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不含虚拟变量的失业率 ARDL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271.759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4.336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3.656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含疫情虚拟变量的 AR(1)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277.705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5.056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4.274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不含虚拟变量的 AR(1)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274.888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4.851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4.154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上一季度比率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未拟合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5.076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4.140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上年同季度比率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未拟合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7.651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6.712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525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训练期平均比率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未拟合</w:t>
            </w:r>
          </w:p>
        </w:tc>
        <w:tc>
          <w:tcPr>
            <w:tcW w:w="1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5.893</w:t>
            </w:r>
          </w:p>
        </w:tc>
        <w:tc>
          <w:tcPr>
            <w:tcW w:w="16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4.942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相较于包含相同虚拟变量的 AR(1) 模型，主模型的单步 RMSE 降低 13.8%。排除 HY 且不含虚拟变量的筛选也只选入失业率，样本外 RMSE 略低，但疫情虚拟变量仍按既定默认设定保留。虚拟变量的区间及是否纳入均未依据样本外误差进行优化。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奖金增长项补充检验</w:t>
      </w:r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BonusGrowth(t − 1) = 100 × ln(</m:t>
        </m:r>
        <m:f>
          <m:num>
            <m:r>
              <m:rPr>
                <m:sty m:val="p"/>
              </m:rPr>
              <w:rPr>
                <w:rFonts w:ascii="Cambria Math" w:hAnsi="Cambria Math"/>
              </w:rPr>
              <m:t xml:space="preserve">Bonus(t − 1)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Bonus(t − 5)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</m:t>
        </m:r>
      </m:oMath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可选的滞后奖金增长项通过平稳性规则，ADF p = 0.0267，KPSS p &gt;0.100。由于奖金已经位于目标变量的分子中，该项单独作为补充检验。排除当期奖金增长避免了同季度的成分重叠，但滞后奖金增长仍不能视为外生工具变量。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160"/>
        <w:gridCol w:w="2160"/>
        <w:gridCol w:w="2936"/>
      </w:tblGrid>
      <w:tr w:rsidR="00416E13" w14:paraId="2F5CD14D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奖金增长项系数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p 值</w:t>
            </w:r>
          </w:p>
        </w:tc>
        <w:tc>
          <w:tcPr>
            <w:tcW w:w="2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样本外 RMSE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0.002894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0.8237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0.8368</w:t>
            </w:r>
          </w:p>
        </w:tc>
        <w:tc>
          <w:tcPr>
            <w:tcW w:w="2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4.302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奖金增长项未通过训练期 5% 显著性规则，因此不予采用。其样本外 RMSE 略低，也不改变该规则。补充模型与主模型使用相同的 43 季度训练样本。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替代变换方案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剔除 HY 后，仅将新增七个序列的变换顺序从增长率优先改为“先水平、后差分”，仍得到 17 类合格候选，且仅选入失业率。最终系数和样本外预测完全一致。这是针对特定变换规则的比较，并非对所有可能变换的穷尽搜索。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经济含义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在控制自身滞后项与疫情虚拟变量后，上一季度失业率每上升一个百分点，与当季奖金相对非奖金薪酬比率高出 1.329 个百分点相关。这是比率层面的关联，并非对奖金金额增长的估计。分子、分母、支付时点以及遗漏的共同因素都可能起作用，不能将其解释为具有因果意义的逆周期奖金政策。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滚动系数诊断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在 2012Q2–2025Q4 范围内，以 24 个季度为窗口，每次向前移动一个季度，重新估计固定的最终模型。共得到 32 个窗口，结束期为 2018Q1 至 2025Q4。20 季度和 28 季度窗口用于敏感性检查，不重新筛选变量、变换或滞后阶数。超过 2022Q4 的窗口使用了样本外因变量观测，因此属于描述性诊断，而不是新的样本外预测。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2844274"/>
            <wp:docPr id="4" name="Picture 4" descr="图 4  失业率与自身滞后项的滚动系数及逐点 95% HAC 区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macro_la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844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4  失业率与自身滞后项的滚动系数及逐点 95% HAC 区间。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808"/>
        <w:gridCol w:w="1512"/>
        <w:gridCol w:w="1541"/>
        <w:gridCol w:w="1539"/>
      </w:tblGrid>
      <w:tr w:rsidR="00416E13" w14:paraId="2F5CD14D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变量项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系数范围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正 / 负</w:t>
            </w:r>
          </w:p>
        </w:tc>
        <w:tc>
          <w:tcPr>
            <w:tcW w:w="1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显著数</w:t>
            </w:r>
          </w:p>
        </w:tc>
        <w:tc>
          <w:tcPr>
            <w:tcW w:w="15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显著数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截距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-1.343 至 10.640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29 / 3</w:t>
            </w:r>
          </w:p>
        </w:tc>
        <w:tc>
          <w:tcPr>
            <w:tcW w:w="1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0/32</w:t>
            </w:r>
          </w:p>
        </w:tc>
        <w:tc>
          <w:tcPr>
            <w:tcW w:w="15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自身比率一期滞后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-0.035 至 0.486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31 / 1</w:t>
            </w:r>
          </w:p>
        </w:tc>
        <w:tc>
          <w:tcPr>
            <w:tcW w:w="1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10/32</w:t>
            </w:r>
          </w:p>
        </w:tc>
        <w:tc>
          <w:tcPr>
            <w:tcW w:w="15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失业率一期滞后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0.688 至 2.580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32 / 0</w:t>
            </w:r>
          </w:p>
        </w:tc>
        <w:tc>
          <w:tcPr>
            <w:tcW w:w="1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27/32</w:t>
            </w:r>
          </w:p>
        </w:tc>
        <w:tc>
          <w:tcPr>
            <w:tcW w:w="15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疫情虚拟变量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-11.266 至 -5.611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 / 24</w:t>
            </w:r>
          </w:p>
        </w:tc>
        <w:tc>
          <w:tcPr>
            <w:tcW w:w="1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18/24</w:t>
            </w:r>
          </w:p>
        </w:tc>
        <w:tc>
          <w:tcPr>
            <w:tcW w:w="15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23/24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显著性按 5% 水平统计。失业率系数在全部 32 个窗口中均为正，范围为 0.688 至 2.580；OLS 和 HAC 口径下各有 27 个窗口显著。自身滞后系数在一个窗口中为负，但其绝对值始终小于一。方向一致并不意味着系数大小恒定。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1"/>
        <w:gridCol w:w="1800"/>
        <w:gridCol w:w="1900"/>
        <w:gridCol w:w="1901"/>
      </w:tblGrid>
      <w:tr w:rsidR="00416E13" w14:paraId="2F5CD14D" w14:textId="77777777">
        <w:trPr>
          <w:cantSplit/>
          <w:tblHeader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最后一个六年窗口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p 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自身比率一期滞后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0.4863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0.0019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0.0001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2.4196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0.0001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5.63e-12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疫情虚拟变量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-8.5379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0.0056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1.14e-05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区间采用四阶 Bartlett HAC、有限样本修正及 t 分布。这些区间是逐点区间，未对变量选择或多个窗口作调整。相邻窗口高度重叠；27 个显著窗口不等于 27 次独立重复验证，应谨慎解释短窗口中极小的 HAC p 值。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控制项滚动结果与窗口敏感性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2844274"/>
            <wp:docPr id="5" name="Picture 5" descr="图 5  截距和疫情虚拟变量的滚动系数。在虚拟变量全为零的窗口中，其系数不可估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intercept_dumm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2844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5  截距和疫情虚拟变量的滚动系数。在虚拟变量全为零的窗口中，其系数不可估计。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若一个窗口内的虚拟变量始终为零，则估计时将其移除，其系数记为不可估计，而非零。在 24 季度分析中，有八个结束于 2020Q1 之前的窗口属于这种情形。疫情系数在全部 24 个可识别窗口中均为负，范围为 −11.266 至 −5.611 个百分点，但其训练期模型的 p 值仍高于 0.05。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088"/>
        <w:gridCol w:w="2592"/>
        <w:gridCol w:w="1440"/>
        <w:gridCol w:w="1469"/>
        <w:gridCol w:w="1467"/>
      </w:tblGrid>
      <w:tr w:rsidR="00416E13" w14:paraId="2F5CD14D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窗口长度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变量项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系数范围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为正窗口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显著数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显著数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20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失业率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-4.110 至 4.671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33/36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24/36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28/36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20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自身滞后项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-0.167 至 0.533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28/36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7/36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9/36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失业率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0.688 至 2.580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32/32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27/32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27/32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24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自身滞后项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-0.035 至 0.486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31/32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10/32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失业率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1.206 至 2.406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28/28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24/28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24/28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  <w:b/>
              </w:rPr>
              <w:t>28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自身滞后项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0.076 至 0.417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28/28</w:t>
            </w:r>
          </w:p>
        </w:tc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10/28</w:t>
            </w:r>
          </w:p>
        </w:tc>
        <w:tc>
          <w:tcPr>
            <w:tcW w:w="14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15/28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失业率系数在 36 个五年窗口中的三个窗口发生符号反转，但在所有六年和七年窗口中均为正。五年窗口的系数范围明显更宽。因此，稳定性对窗口中的数据量和样本构成敏感。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最早能够识别疫情系数的窗口只有一个或两个 D = 1 观测。最后一个 20 季度窗口中，仅 2021Q1 仍处于虚拟变量生效期。如此稀疏的事件观测可能带来极高杠杆值，使短窗口的不确定性估计不可靠。不会因为某个窗口未通过原筛选诊断就丢弃该窗口。滚动路径并非系数相等的正式整体检验。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影响度检查与全历史重估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影响度检查固定最终失业率模型的结构。删除观测仅用于选择后的敏感性分析，仍保留原始日历滞后关系，不重新定义主模型估计样本。由于删除后存在日历缺口，这些检查报告经典 OLS p 值，而不在 HAC 中将相邻保留行误当作相邻季度。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3"/>
        <w:gridCol w:w="936"/>
        <w:gridCol w:w="3096"/>
        <w:gridCol w:w="1857"/>
      </w:tblGrid>
      <w:tr w:rsidR="00416E13" w14:paraId="2F5CD14D" w14:textId="77777777">
        <w:trPr>
          <w:cantSplit/>
          <w:tblHeader/>
          <w:jc w:val="center"/>
        </w:trPr>
        <w:tc>
          <w:tcPr>
            <w:tcW w:w="4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敏感性检查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FFFFFF"/>
                <w:b/>
              </w:rPr>
              <w:t>n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失业率系数</w:t>
            </w:r>
          </w:p>
        </w:tc>
        <w:tc>
          <w:tcPr>
            <w:tcW w:w="18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主训练模型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1.3286</w:t>
            </w:r>
          </w:p>
        </w:tc>
        <w:tc>
          <w:tcPr>
            <w:tcW w:w="18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0.0030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移除 2020Q1–2021Q1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0.7414</w:t>
            </w:r>
          </w:p>
        </w:tc>
        <w:tc>
          <w:tcPr>
            <w:tcW w:w="18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0.1825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1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移除 2020Q2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1.1135</w:t>
            </w:r>
          </w:p>
        </w:tc>
        <w:tc>
          <w:tcPr>
            <w:tcW w:w="18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0.0148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删除五个 D = 1 的响应季度后，失业率系数降至 0.7414，p 值升至 0.1825，说明其显著性对这些观测敏感。这并未移除所有与疫情有关的滞后输入：2021Q2 仍使用 2021Q1 的失业率。仅删除 2020Q2 时，失业率仍显著，系数为 1.1135，p = 0.0148。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7"/>
        <w:gridCol w:w="2160"/>
        <w:gridCol w:w="1944"/>
        <w:gridCol w:w="2721"/>
      </w:tblGrid>
      <w:tr w:rsidR="00416E13" w14:paraId="2F5CD14D" w14:textId="77777777">
        <w:trPr>
          <w:cantSplit/>
          <w:tblHeader/>
          <w:jc w:val="center"/>
        </w:trPr>
        <w:tc>
          <w:tcPr>
            <w:tcW w:w="31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影响度最高的季度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Cook 距离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杠杆值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学生化残差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1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2020Q2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0.2503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0.3064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-1.531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1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2020Q3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0.2364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0.5290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0.916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1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2021Q1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0.1961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0.2235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1.690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固定结构重估至 2025Q4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全历史重估使用 55 个观测，并保留相同的已选变量。这是利用全部可用因变量观测得到的描述性估计，不是生成本报告样本外预测的模型。重估过程中不再选择新变量。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1728"/>
        <w:gridCol w:w="1440"/>
        <w:gridCol w:w="1440"/>
        <w:gridCol w:w="2720"/>
      </w:tblGrid>
      <w:tr w:rsidR="00416E13" w14:paraId="2F5CD14D" w14:textId="77777777">
        <w:trPr>
          <w:cantSplit/>
          <w:tblHeader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变量项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p 值</w:t>
            </w:r>
          </w:p>
        </w:tc>
        <w:tc>
          <w:tcPr>
            <w:tcW w:w="2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95% 区间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截距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4.057658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0.1437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0.1541</w:t>
            </w:r>
          </w:p>
        </w:tc>
        <w:tc>
          <w:tcPr>
            <w:tcW w:w="2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[-1.573, 9.688]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自身比率一期滞后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0.361785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0.0029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0.0009</w:t>
            </w:r>
          </w:p>
        </w:tc>
        <w:tc>
          <w:tcPr>
            <w:tcW w:w="2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[0.156, 0.567]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失业率一期滞后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1.386414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0.0007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0.0015</w:t>
            </w:r>
          </w:p>
        </w:tc>
        <w:tc>
          <w:tcPr>
            <w:tcW w:w="2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[0.555, 2.218]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疫情虚拟变量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-4.970885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0.0536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0.0521</w:t>
            </w:r>
          </w:p>
        </w:tc>
        <w:tc>
          <w:tcPr>
            <w:tcW w:w="2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[-9.989, 0.047]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全样本重估的调整后 R² 为 0.314，DW 为 1.970，JB p 为 0.569。疫情虚拟变量的 OLS 和 HAC p 值仍略高于 5% 门槛，按既定设计继续保留。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模型局限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样本较小，虚拟变量仅在五个季度生效，模型选择依赖数据。未进行并购调整，因此残余的结构变化仍未建模。在缺少分母信息时，该比率不能识别奖金金额的变化。本报告不声称进行了边界检验、误差修正建模、因果识别、同时稳定性检验或前瞻性验证。点预测不等于预测区间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逐季度样本外结果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下表列示全部 12 个留出响应季度。数值为奖金与非奖金薪酬比率的 100 倍。误差等于实际值减去单步预测值。展示时的四舍五入不参与任何指标计算。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584"/>
        <w:gridCol w:w="1728"/>
        <w:gridCol w:w="1728"/>
        <w:gridCol w:w="1728"/>
        <w:gridCol w:w="1712"/>
      </w:tblGrid>
      <w:tr w:rsidR="00416E13" w14:paraId="2F5CD14D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季度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实际值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单步预测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递归预测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扩展窗口预测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误差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2023Q1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10.208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15.615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15.615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15.615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-5.407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2023Q2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12.177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12.999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14.779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12.746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-0.822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2023Q3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7.335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13.647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14.504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13.352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-6.313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2023Q4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7.960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12.186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14.546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11.407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-4.227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2024Q1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10.435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12.614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14.782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11.544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-2.178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2024Q2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15.900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13.473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14.903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12.448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2.427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2024Q3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17.245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15.449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15.121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14.856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1.796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2024Q4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19.996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16.157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15.458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15.716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3.839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2025Q1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13.522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17.018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15.525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16.801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-3.497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2025Q2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23.414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14.887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15.546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14.341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8.527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2025Q3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23.326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18.232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15.642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18.150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5.094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2025Q4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17.386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18.380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15.851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18.557</w:t>
            </w:r>
          </w:p>
        </w:tc>
        <w:tc>
          <w:tcPr>
            <w:tcW w:w="17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-0.994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输入序列与季度处理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PNFP_Monthly_Quarterly.xlsx 提供季度总薪酬和奖金，其数值与对应三个月观测的合计一致。更新后的宏观数据集为清单中的 22 个序列分别提供 2011Q1 至 2025Q4 的 60 个季度水平值。HY 参与初始选择核查，在滚动显著性审查后被排除于最终模型筛选之外。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宏观输入使用所提供的季度水平值及标明的单位。分析不混用更早版本的宏观数据，也不重建月度观测；仅使用截至 2025Q4 的数据。增长率由季度水平值计算，点数差分保留原利率或指数的单位。计算保留输入数据的可用精度，不对中间结果四舍五入。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结果核验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独立最小二乘、OLS 和 statsmodels ARDL 计算在数值精度范围内复现了最终系数。变量变换及样本外单步预测经过独立复算。最终模型的 96 次滚动估计以及初始模型的 96 次滚动估计均与 RollingOLS 核对。全历史重估系数一致。疫情虚拟变量恰有五个生效季度，最终回归变量中不含 HY，全部 60 行季度输入均完整。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四项宏观变量入选条件沿用 PNFP 对 Cardfee 筛选惯例的既有实现。本报告保留统一样本、固定滞后阶数以及 ADF/KPSS 联合规则，不引入独立 Commercial Card 模型中的样本外偏相关筛选、叠加调整或误差修正结构。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初始前向选择核查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在滚动审查之前，第一轮将每个候选分别加入包含截距、自身滞后项和虚拟变量的基础模型；第二轮在该基础模型加上失业率后，逐一测试剩余候选。p 值列是新增项的 OLS Student-t p 值。下表展示全部 35 次初始试验。HY 在第二轮入选，随后因滚动审查结果被剔除。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25"/>
        <w:gridCol w:w="2016"/>
        <w:gridCol w:w="1296"/>
        <w:gridCol w:w="1368"/>
        <w:gridCol w:w="2087"/>
      </w:tblGrid>
      <w:tr w:rsidR="00416E13" w14:paraId="2F5CD14D" w14:textId="77777777">
        <w:trPr>
          <w:cantSplit/>
          <w:tblHeader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一期滞后候选变量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变换形式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第一轮 p 值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第二轮 p 值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结果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0.0030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不重复检验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第一轮入选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金融保险业就业人数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0.0272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0.5030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金融业平均时薪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0.0272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0.1806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商业银行总资产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0.0352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0.4074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VIX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0.0745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0.2668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人均收入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0.1040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0.2096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单位劳动成本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0.2899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0.4950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非农职位空缺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0.3896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0.2900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实际 GDP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0.4675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0.9508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消费者信心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0.4900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0.8657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产出缺口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0.5031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0.9525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小企业乐观指数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0.5758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0.6354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金融保险业工资薪金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0.7671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0.7711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高收益债 OAS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水平值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0.7892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0.0184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第二轮入选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商业银行贷款与租赁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0.7961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0.7360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非农部门每小时薪酬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0.8901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0.7060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十年期国债收益率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季度差分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0.8906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0.5785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2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金融保险业增加值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季度对数增长率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0.9331</w:t>
            </w:r>
          </w:p>
        </w:tc>
        <w:tc>
          <w:tcPr>
            <w:tcW w:w="13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0.7951</w:t>
            </w:r>
          </w:p>
        </w:tc>
        <w:tc>
          <w:tcPr>
            <w:tcW w:w="20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未入选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HY 在第二轮通过全部四项门槛。根据滚动结果将其剔除后，余下的 33 次试验仅选入失业率，其他第二轮候选均未满足 p &lt; 0.05。这是贪心前向选择，而非全局最优子集搜索。未通过平稳性规则的变量类别不进入这些试验。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未通过平稳性规则的变量类别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3"/>
        <w:gridCol w:w="3124"/>
        <w:gridCol w:w="3125"/>
      </w:tblGrid>
      <w:tr w:rsidR="00416E13" w14:paraId="2F5CD14D" w14:textId="77777777">
        <w:trPr>
          <w:cantSplit/>
          <w:tblHeader/>
          <w:jc w:val="center"/>
        </w:trPr>
        <w:tc>
          <w:tcPr>
            <w:tcW w:w="37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变量类别</w:t>
            </w:r>
          </w:p>
        </w:tc>
        <w:tc>
          <w:tcPr>
            <w:tcW w:w="31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首选形式 ADF / KPSS p 值</w:t>
            </w:r>
          </w:p>
        </w:tc>
        <w:tc>
          <w:tcPr>
            <w:tcW w:w="31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备选形式 ADF / KPSS p 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7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私人部门薪酬 ECI</w:t>
            </w:r>
          </w:p>
        </w:tc>
        <w:tc>
          <w:tcPr>
            <w:tcW w:w="31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0.9247 / 0.0153</w:t>
            </w:r>
          </w:p>
        </w:tc>
        <w:tc>
          <w:tcPr>
            <w:tcW w:w="31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0.9970 / 0.0109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7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联邦基金利率</w:t>
            </w:r>
          </w:p>
        </w:tc>
        <w:tc>
          <w:tcPr>
            <w:tcW w:w="31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0.4322 / &gt;0.100</w:t>
            </w:r>
          </w:p>
        </w:tc>
        <w:tc>
          <w:tcPr>
            <w:tcW w:w="31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0.5283 / &gt;0.100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7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两年期国债收益率</w:t>
            </w:r>
          </w:p>
        </w:tc>
        <w:tc>
          <w:tcPr>
            <w:tcW w:w="31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0.1113 / &gt;0.100</w:t>
            </w:r>
          </w:p>
        </w:tc>
        <w:tc>
          <w:tcPr>
            <w:tcW w:w="31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0.2094 / &gt;0.100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7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非军事雇员薪酬 ECI</w:t>
            </w:r>
          </w:p>
        </w:tc>
        <w:tc>
          <w:tcPr>
            <w:tcW w:w="31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0.8949 / 0.0137</w:t>
            </w:r>
          </w:p>
        </w:tc>
        <w:tc>
          <w:tcPr>
            <w:tcW w:w="31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0.9944 / &lt;0.010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两类 ECI 指数的首选形式为季度对数增长率，备选为同比对数增长率。联邦基金利率和两年期国债收益率的首选形式为水平值，备选为季度点数差分。KPSS 在查表边界处的 p 值按界限展示，而非精确概率。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HY 前向选择与滚动审查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初始模型在固定截距、自身滞后项和疫情虚拟变量的基础上，加入滞后的失业率和 HY。使用相同的 43 个训练季度及更新后的输入数据，两项新增变量均通过全部前向入选门槛：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7"/>
        <w:gridCol w:w="1512"/>
        <w:gridCol w:w="1728"/>
        <w:gridCol w:w="1569"/>
        <w:gridCol w:w="1656"/>
      </w:tblGrid>
      <w:tr w:rsidR="00416E13" w14:paraId="2F5CD14D" w14:textId="77777777">
        <w:trPr>
          <w:cantSplit/>
          <w:tblHeader/>
          <w:jc w:val="center"/>
        </w:trPr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轮次 / 新增项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最大 VIF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FFFFFF"/>
                <w:b/>
              </w:rPr>
              <w:t>DW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JB p 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1 / 失业率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0.0030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1.208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1.954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0.6905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35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 / HY</w:t>
            </w:r>
          </w:p>
        </w:tc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0.0184</w:t>
            </w: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1.711</w:t>
            </w:r>
          </w:p>
        </w:tc>
        <w:tc>
          <w:tcPr>
            <w:tcW w:w="15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1.899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0.3196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初始双宏观变量模型的训练期系数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1"/>
        <w:gridCol w:w="1800"/>
        <w:gridCol w:w="1900"/>
        <w:gridCol w:w="1901"/>
      </w:tblGrid>
      <w:tr w:rsidR="00416E13" w14:paraId="2F5CD14D" w14:textId="77777777">
        <w:trPr>
          <w:cantSplit/>
          <w:tblHeader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变量项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系数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p 值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p 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截距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14.0550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0.0069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0.0048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自身比率一期滞后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0.1723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0.2364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0.1467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失业率一期滞后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1.9318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0.0002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0.0001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高收益债 OAS 一期滞后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-2.1903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0.0184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0.0143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43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疫情虚拟变量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-5.5548</w:t>
            </w:r>
          </w:p>
        </w:tc>
        <w:tc>
          <w:tcPr>
            <w:tcW w:w="19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0.0309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0.0282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滚动显著性审查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固定结构的 24 季度重估形成 32 个窗口，结束期为 2018Q1–2025Q4。HY 系数始终为负，但在采用 t 分布推断的 OLS 和四阶 Bartlett HAC 口径下，显著窗口都较少。</w:t>
      </w:r>
    </w:p>
    <w:p>
      <w:pPr>
        <w:keepNext/>
        <w:spacing w:after="43"/>
      </w:pPr>
      <w:r>
        <w:drawing>
          <wp:inline xmlns:a="http://schemas.openxmlformats.org/drawingml/2006/main" xmlns:pic="http://schemas.openxmlformats.org/drawingml/2006/picture">
            <wp:extent cx="6344920" cy="1542472"/>
            <wp:docPr id="6" name="Picture 6" descr="图 6  初始模型 HY 系数及逐点 95% HAC 区间。灰色标示结束期落在样本外期间的窗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hy_re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15424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2C4899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sz w:val="18"/>
          <w:lang w:eastAsia="zh-CN"/>
        </w:rPr>
        <w:t>图 6  初始模型 HY 系数及逐点 95% HAC 区间。灰色标示结束期落在样本外期间的窗口。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383"/>
        <w:gridCol w:w="1872"/>
        <w:gridCol w:w="1829"/>
        <w:gridCol w:w="1828"/>
      </w:tblGrid>
      <w:tr w:rsidR="00416E13" w14:paraId="2F5CD14D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窗口长度</w:t>
            </w:r>
          </w:p>
        </w:tc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HY 系数范围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为负窗口</w:t>
            </w:r>
          </w:p>
        </w:tc>
        <w:tc>
          <w:tcPr>
            <w:tcW w:w="18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OLS 显著数</w:t>
            </w:r>
          </w:p>
        </w:tc>
        <w:tc>
          <w:tcPr>
            <w:tcW w:w="1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HAC 显著数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</w:t>
            </w:r>
          </w:p>
        </w:tc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-5.167 至 0.559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34/36</w:t>
            </w:r>
          </w:p>
        </w:tc>
        <w:tc>
          <w:tcPr>
            <w:tcW w:w="18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1/36</w:t>
            </w:r>
          </w:p>
        </w:tc>
        <w:tc>
          <w:tcPr>
            <w:tcW w:w="1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7/36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24</w:t>
            </w:r>
          </w:p>
        </w:tc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-4.245 至 -1.145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32/32</w:t>
            </w:r>
          </w:p>
        </w:tc>
        <w:tc>
          <w:tcPr>
            <w:tcW w:w="18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1/32</w:t>
            </w:r>
          </w:p>
        </w:tc>
        <w:tc>
          <w:tcPr>
            <w:tcW w:w="1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7/32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28</w:t>
            </w:r>
          </w:p>
        </w:tc>
        <w:tc>
          <w:tcPr>
            <w:tcW w:w="33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-3.328 至 -1.587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28/28</w:t>
            </w:r>
          </w:p>
        </w:tc>
        <w:tc>
          <w:tcPr>
            <w:tcW w:w="18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2/28</w:t>
            </w:r>
          </w:p>
        </w:tc>
        <w:tc>
          <w:tcPr>
            <w:tcW w:w="1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20/28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显著性采用 5% 水平。在最后一个 24 季度窗口中，HY = −1.8725，OLS p = 0.1959，HAC p = 0.1212。结果依赖窗口长度：28 个七年窗口中有 20 个达到 HAC 显著，因此 HY 并非在所有窗口或所有推断口径下都不显著。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结论：HY 通过前向选择，但未通过滚动显著性审查，因此从最终模型中剔除。这是针对显著性持续性偏弱作出的判断，并非基于预先设定的窗口通过率门槛，也不代表正式拒绝系数相等或证明其效应为零。重叠窗口包含样本外观测，因此该审查属于描述性分析，而非独立验证。</w:t>
      </w:r>
    </w:p>
    <w:p w14:paraId="533F5B01" w14:textId="77777777" w:rsidR="00416E13" w:rsidRDefault="00000000">
      <w:pPr>
        <w:pStyle w:val="1"/>
        <w:pageBreakBefore/>
        <w:spacing w:line="380" w:lineRule="exact"/>
        <w:snapToGrid w:val="false"/>
      </w:pPr>
      <w:r>
        <w:rPr>
          <w:rFonts w:eastAsia="PingFang SC"/>
          <w:lang w:eastAsia="zh-CN"/>
        </w:rPr>
        <w:t>S4 情景九季度条件预测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在所提供的 S4 失业率路径下，预测的奖金与非奖金薪酬比率从 2026Q1 的 16.5802% 升至 2028Q1 的 26.0425%。九季度算术平均值为 23.1513%。这些是最终不含 HY 模型的条件点预测。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预测方法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系数固定为报告主模型采用的 2012Q2–2022Q4 训练期估计值，不以全历史重估系数替代。疫情虚拟变量仍保留在模型设定中，但所有预测季度均取零。未来的自身比率滞后项使用上一期预测值，不将未来实际比率用于递推。</w:t>
      </w:r>
    </w:p>
    <w:p w14:paraId="0A15D4FD" w14:textId="77777777" w:rsidR="00416E13" w:rsidRDefault="00000000">
      <w:pPr>
        <w:pStyle w:val="Formula"/>
        <w:keepLines/>
        <w:spacing w:before="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ŷ(t) = 4.944700 + 0.329160 × ŷ(t − 1) + 1.328645 × U(t − 1)</m:t>
        </m:r>
      </m:oMath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其中 y = 100 × R，R = 奖金 /（总薪酬 − 奖金），U 为以百分数表示的失业率。首期自身滞后取实际 y(2025Q4) = 17.385772；首期失业率滞后取 U(2025Q4) = 4.450273224%。计算保留系数及输入的完整精度，仅展示值进行四舍五入。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9"/>
        <w:gridCol w:w="2707"/>
        <w:gridCol w:w="3024"/>
        <w:gridCol w:w="2792"/>
      </w:tblGrid>
      <w:tr w:rsidR="00416E13" w14:paraId="2F5CD14D" w14:textId="77777777">
        <w:trPr>
          <w:cantSplit/>
          <w:tblHeader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季度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S4 失业率 %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滞后一期失业率 %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预测比率 %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2026Q1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6.565449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4.450273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16.5802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2026Q2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7.899902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6.565449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19.1254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2026Q3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8.566341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7.899902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21.7362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2026Q4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8.936377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8.566341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23.4810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2027Q1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9.191204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8.936377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24.5470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2027Q2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9.358607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9.191204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25.2364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2027Q3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9.428866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9.358607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25.6858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2027Q4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9.455956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9.428866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25.9271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14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sz w:val="18"/>
                <w:color w:val="000000"/>
                <w:b/>
              </w:rPr>
              <w:t>2028Q1</w:t>
            </w:r>
          </w:p>
        </w:tc>
        <w:tc>
          <w:tcPr>
            <w:tcW w:w="270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9.427875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9.455956</w:t>
            </w:r>
          </w:p>
        </w:tc>
        <w:tc>
          <w:tcPr>
            <w:tcW w:w="2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26.0425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所给路径为 FLBR_S4.IUSA，即 2026 年 1 月的 S4 替代情景 4 下行情景，经季节调整。前九个数值依次对应 2026Q1–2028Q1。模型使用一期滞后，因此 2028Q1 的 9.427875% 最早影响 2028Q2，已超出本次预测区间；其他更晚的输入未使用。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九季度汇总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713"/>
        <w:gridCol w:w="5327"/>
      </w:tblGrid>
      <w:tr w:rsidR="00416E13" w14:paraId="2F5CD14D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指标</w:t>
            </w:r>
          </w:p>
        </w:tc>
        <w:tc>
          <w:tcPr>
            <w:tcW w:w="17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数值</w:t>
            </w:r>
          </w:p>
        </w:tc>
        <w:tc>
          <w:tcPr>
            <w:tcW w:w="53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FFFFFF"/>
                <w:b/>
                <w:lang w:eastAsia="zh-CN"/>
              </w:rPr>
              <w:t>解释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预测比率均值</w:t>
            </w:r>
          </w:p>
        </w:tc>
        <w:tc>
          <w:tcPr>
            <w:tcW w:w="17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23.1513%</w:t>
            </w:r>
          </w:p>
        </w:tc>
        <w:tc>
          <w:tcPr>
            <w:tcW w:w="53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九个季度比率的非加权均值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预测比率之和</w:t>
            </w:r>
          </w:p>
        </w:tc>
        <w:tc>
          <w:tcPr>
            <w:tcW w:w="17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sz w:val="18"/>
                <w:color w:val="000000"/>
              </w:rPr>
              <w:t>2.083616</w:t>
            </w:r>
          </w:p>
        </w:tc>
        <w:tc>
          <w:tcPr>
            <w:tcW w:w="53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EAF1F8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未乘以100的 R 值之和，并非期间汇总比率</w:t>
            </w:r>
          </w:p>
        </w:tc>
      </w:tr>
      <w:tr w:rsidR="00416E13" w14:paraId="036867E3" w14:textId="77777777">
        <w:trPr>
          <w:cantSplit/>
          <w:jc w:val="center"/>
        </w:trPr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b/>
                <w:lang w:eastAsia="zh-CN"/>
              </w:rPr>
              <w:t>奖金总额</w:t>
            </w:r>
          </w:p>
        </w:tc>
        <w:tc>
          <w:tcPr>
            <w:tcW w:w="17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center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未计算</w:t>
            </w:r>
          </w:p>
        </w:tc>
        <w:tc>
          <w:tcPr>
            <w:tcW w:w="53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8" w:type="dxa"/>
              <w:left w:w="100" w:type="dxa"/>
              <w:bottom w:w="78" w:type="dxa"/>
              <w:right w:w="100" w:type="dxa"/>
            </w:tcMar>
            <w:vAlign w:val="center"/>
            <w:shd w:val="clear" w:fill="FFFFFF"/>
          </w:tcPr>
          <w:p>
            <w:pPr>
              <w:spacing w:after="0" w:line="240" w:lineRule="exact"/>
              <w:jc w:val="left"/>
              <w:snapToGrid w:val="false"/>
            </w:pPr>
            <w:r>
              <w:rPr>
                <w:rFonts w:eastAsia="Songti SC"/>
                <w:sz w:val="18"/>
                <w:color w:val="000000"/>
                <w:lang w:eastAsia="zh-CN"/>
              </w:rPr>
              <w:t>需要各季度的非奖金薪酬金额</w:t>
            </w:r>
          </w:p>
        </w:tc>
      </w:tr>
    </w:tbl>
    <w:p w14:paraId="4093157F" w14:textId="77777777" w:rsidR="00416E13" w:rsidRDefault="00000000">
      <w:pPr>
        <w:keepLines/>
        <w:spacing w:after="40" w:line="80" w:lineRule="exact"/>
      </w:pPr>
      <w:r>
        <w:t/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九季度奖金总额需要将各季度预测 R 乘以对应季度的非奖金薪酬，再加总九个季度的金额。整个期间的汇总比率则为奖金总额除以非奖金薪酬总额。仅凭失业率路径，无法计算这两个量。</w:t>
      </w:r>
    </w:p>
    <w:p w14:paraId="7718CA2D" w14:textId="77777777" w:rsidR="00416E13" w:rsidRDefault="00000000">
      <w:pPr>
        <w:pStyle w:val="21"/>
        <w:spacing w:line="320" w:lineRule="exact"/>
        <w:snapToGrid w:val="false"/>
      </w:pPr>
      <w:r>
        <w:rPr>
          <w:rFonts w:eastAsia="PingFang SC"/>
          <w:lang w:eastAsia="zh-CN"/>
        </w:rPr>
        <w:t>解释与局限</w:t>
      </w:r>
    </w:p>
    <w:p w14:paraId="4093157F" w14:textId="77777777" w:rsidR="00416E13" w:rsidRDefault="00000000">
      <w:pPr>
        <w:keepLines/>
        <w:spacing w:line="280" w:lineRule="exact"/>
        <w:snapToGrid w:val="false"/>
      </w:pPr>
      <w:r>
        <w:rPr>
          <w:rFonts w:eastAsia="Songti SC"/>
          <w:lang w:eastAsia="zh-CN"/>
        </w:rPr>
        <w:t>预测比率上升反映了正的失业率系数以及滞后传递，不意味着经济下行会因果性地增加奖金金额。本次未估计预测区间。2026 年 1 月情景与现有的 2026 年 8 月历史数据版本结合使用，因此不是仅凭 2026 年 1 月当时可得信息作出的实时预测。前文关于滚动结果和疫情敏感性的局限仍然适用。</w:t>
      </w:r>
    </w:p>
    <w:sectPr w:rsidR="00416E13" w:rsidSect="00034616">
      <w:footerReference w:type="default" r:id="rId13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64E11" w14:textId="77777777" w:rsidR="00487BBD" w:rsidRDefault="00487BBD">
      <w:pPr>
        <w:spacing w:after="0" w:line="240" w:lineRule="auto"/>
      </w:pPr>
      <w:r>
        <w:separator/>
      </w:r>
    </w:p>
  </w:endnote>
  <w:endnote w:type="continuationSeparator" w:id="0">
    <w:p w14:paraId="78EFF235" w14:textId="77777777" w:rsidR="00487BBD" w:rsidRDefault="00487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789E5" w14:textId="77777777" w:rsidR="00416E13" w:rsidRDefault="00000000">
    <w:pPr>
      <w:pStyle w:val="a7"/>
      <w:jc w:val="center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6F578F">
      <w:rPr>
        <w:noProof/>
        <w:sz w:val="16"/>
      </w:rPr>
      <w:t>3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9990DA" w14:textId="77777777" w:rsidR="00487BBD" w:rsidRDefault="00487BBD">
      <w:pPr>
        <w:spacing w:after="0" w:line="240" w:lineRule="auto"/>
      </w:pPr>
      <w:r>
        <w:separator/>
      </w:r>
    </w:p>
  </w:footnote>
  <w:footnote w:type="continuationSeparator" w:id="0">
    <w:p w14:paraId="32D5224D" w14:textId="77777777" w:rsidR="00487BBD" w:rsidRDefault="00487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807211">
    <w:abstractNumId w:val="8"/>
  </w:num>
  <w:num w:numId="2" w16cid:durableId="1449542861">
    <w:abstractNumId w:val="6"/>
  </w:num>
  <w:num w:numId="3" w16cid:durableId="210654294">
    <w:abstractNumId w:val="5"/>
  </w:num>
  <w:num w:numId="4" w16cid:durableId="1139029298">
    <w:abstractNumId w:val="4"/>
  </w:num>
  <w:num w:numId="5" w16cid:durableId="253586268">
    <w:abstractNumId w:val="7"/>
  </w:num>
  <w:num w:numId="6" w16cid:durableId="218830494">
    <w:abstractNumId w:val="3"/>
  </w:num>
  <w:num w:numId="7" w16cid:durableId="1418214581">
    <w:abstractNumId w:val="2"/>
  </w:num>
  <w:num w:numId="8" w16cid:durableId="24522377">
    <w:abstractNumId w:val="1"/>
  </w:num>
  <w:num w:numId="9" w16cid:durableId="2615721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FA"/>
    <w:rsid w:val="00034616"/>
    <w:rsid w:val="0006063C"/>
    <w:rsid w:val="0015074B"/>
    <w:rsid w:val="002706A0"/>
    <w:rsid w:val="0029639D"/>
    <w:rsid w:val="00326F90"/>
    <w:rsid w:val="00416E13"/>
    <w:rsid w:val="00462FDA"/>
    <w:rsid w:val="00487BBD"/>
    <w:rsid w:val="005A6CD9"/>
    <w:rsid w:val="005C6056"/>
    <w:rsid w:val="006664B7"/>
    <w:rsid w:val="006F578F"/>
    <w:rsid w:val="008D7275"/>
    <w:rsid w:val="008E474C"/>
    <w:rsid w:val="00AA1D8D"/>
    <w:rsid w:val="00B47730"/>
    <w:rsid w:val="00B5184A"/>
    <w:rsid w:val="00C055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1130B"/>
  <w14:defaultImageDpi w14:val="300"/>
  <w15:docId w15:val="{21D3C71F-2D94-514D-ABAC-F43F9040459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Aptos" w:hAnsi="Aptos" w:eastAsia="Songti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hAnsiTheme="majorHAnsi" w:cstheme="majorBidi" w:eastAsia="Songti SC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hAnsiTheme="majorHAnsi" w:cstheme="majorBidi" w:eastAsia="Songti SC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Songti SC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Songti SC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Songti SC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Songti SC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Songti SC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Songti SC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Songti SC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hAnsiTheme="majorHAnsi" w:cstheme="majorBidi"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hAnsiTheme="majorHAnsi" w:cstheme="majorBidi"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hAnsiTheme="majorHAnsi" w:cstheme="majorBidi"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hAnsiTheme="majorHAnsi" w:cstheme="majorBidi" w:eastAsia="Songti SC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hAnsiTheme="majorHAnsi" w:cstheme="majorBidi"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/>
    </w:pPr>
    <w:rPr>
      <w:rFonts w:asciiTheme="majorHAnsi" w:hAnsiTheme="majorHAnsi" w:cstheme="majorBidi" w:eastAsia="Songti SC"/>
      <w:i/>
      <w:iCs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hAnsiTheme="majorHAnsi" w:cstheme="majorBidi"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eastAsia="Songti SC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eastAsia="Songti SC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Songti SC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 w:eastAsia="Songti SC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eastAsia="Songti SC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eastAsia="Songti SC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hAnsiTheme="majorHAnsi" w:cstheme="majorBidi"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hAnsiTheme="majorHAnsi" w:cstheme="majorBidi"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hAnsiTheme="majorHAnsi" w:cstheme="majorBidi"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hAnsiTheme="majorHAnsi" w:cstheme="majorBidi"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hAnsiTheme="majorHAnsi" w:cstheme="majorBidi"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hAnsiTheme="majorHAnsi" w:cstheme="majorBidi"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Songti SC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eastAsia="Songti SC"/>
      <w:b/>
      <w:bCs/>
    </w:rPr>
  </w:style>
  <w:style w:type="character" w:styleId="af9">
    <w:name w:val="Emphasis"/>
    <w:basedOn w:val="a2"/>
    <w:uiPriority w:val="20"/>
    <w:qFormat/>
    <w:rsid w:val="00FC693F"/>
    <w:rPr>
      <w:rFonts w:eastAsia="Songti SC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Songti SC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eastAsia="Songti SC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eastAsia="Songti SC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eastAsia="Songti SC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eastAsia="Songti SC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eastAsia="Songti SC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eastAsia="Songti SC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eastAsia="Songti SC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eastAsia="Songti SC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eastAsia="Songti SC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eastAsia="Songti SC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eastAsia="Songti SC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eastAsia="Songti SC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eastAsia="Songti SC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Songti SC"/>
        <w:b/>
        <w:bCs/>
      </w:rPr>
    </w:tblStylePr>
    <w:tblStylePr w:type="lastCol">
      <w:rPr>
        <w:rFonts w:asciiTheme="majorHAnsi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eastAsia="Songti SC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Songti SC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Songti SC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Songti SC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hAnsiTheme="majorHAnsi"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Songti SC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eastAsia="Songti SC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eastAsia="Songti SC"/>
        <w:b/>
        <w:bCs/>
      </w:rPr>
    </w:tblStylePr>
    <w:tblStylePr w:type="lastRow">
      <w:rPr>
        <w:rFonts w:eastAsia="Songti SC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eastAsia="Songti SC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Songti SC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Songti SC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Songti SC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eastAsia="Songti SC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eastAsia="Songti SC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Songti SC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Songti SC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Songti SC"/>
        <w:color w:val="000000" w:themeColor="text1"/>
      </w:rPr>
    </w:tblStylePr>
    <w:tblStylePr w:type="nwCell">
      <w:rPr>
        <w:rFonts w:eastAsia="Songti SC"/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Songti SC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Songti SC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Songti SC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Songti SC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Songti SC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Songti SC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eastAsia="Songti SC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Songti SC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eastAsia="Songti SC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eastAsia="Songti SC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eastAsia="Songti SC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eastAsia="Songti SC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eastAsia="Songti SC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eastAsia="Songti SC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eastAsia="Songti SC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Songti SC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Songti SC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Songti SC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60" w:after="140"/>
      <w:ind w:left="360"/>
    </w:pPr>
    <w:rPr>
      <w:rFonts w:ascii="Cambria Math" w:hAnsi="Cambria Math" w:eastAsia="Songti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2039</Words>
  <Characters>11624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PNFP 奖金比率 ARDL 模型报告</dc:title>
  <dc:subject>宏观变量筛选、滚动诊断与 S4 九季度预测</dc:subject>
  <dc:creator/>
  <cp:keywords/>
  <dc:description/>
  <cp:lastModifiedBy/>
  <cp:revision>11</cp:revision>
  <dcterms:created xsi:type="dcterms:W3CDTF">2013-12-23T23:15:00Z</dcterms:created>
  <dcterms:modified xsi:type="dcterms:W3CDTF">2026-10-01T14:31:00Z</dcterms:modified>
  <cp:category/>
  <dc:language>zh-CN</dc:language>
</cp:coreProperties>
</file>