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Combined Fee Reproduction</w:t>
      </w:r>
    </w:p>
    <w:p>
      <w:pPr>
        <w:pStyle w:val="Subtitle"/>
      </w:pPr>
      <w:r>
        <w:t>Reported and Reproduced Results</w:t>
      </w:r>
    </w:p>
    <w:p>
      <w:pPr>
        <w:keepNext w:val="0"/>
      </w:pPr>
      <w:r>
        <w:rPr>
          <w:rFonts w:ascii="Arial" w:hAnsi="Arial" w:eastAsia="Arial" w:cs="Arial"/>
          <w:b w:val="0"/>
          <w:color w:val="000000"/>
          <w:sz w:val="24"/>
        </w:rPr>
        <w:t>Commercial Card plus Small Business</w:t>
      </w:r>
    </w:p>
    <w:p>
      <w:pPr>
        <w:keepNext w:val="0"/>
      </w:pPr>
      <w:r>
        <w:rPr>
          <w:rFonts w:ascii="Arial" w:hAnsi="Arial" w:eastAsia="Arial" w:cs="Arial"/>
          <w:b w:val="0"/>
          <w:color w:val="000000"/>
          <w:sz w:val="19"/>
        </w:rPr>
        <w:t>Comparison date 15 September 2026</w:t>
      </w:r>
    </w:p>
    <w:p>
      <w:pPr>
        <w:keepNext w:val="0"/>
      </w:pPr>
      <w:r>
        <w:rPr>
          <w:rFonts w:ascii="Arial" w:hAnsi="Arial" w:eastAsia="Arial" w:cs="Arial"/>
          <w:b w:val="0"/>
          <w:color w:val="000000"/>
          <w:sz w:val="22"/>
        </w:rPr>
        <w:t>Most reported numbers can be reproduced at their displayed precision. The differences are concentrated in short-run stationarity, Unrate partial correlations, the 2023 partial-year EC mean, one rolling-window row, and two occurrences of the same short-run coefficient.</w:t>
      </w:r>
    </w:p>
    <w:p>
      <w:pPr>
        <w:keepNext w:val="0"/>
      </w:pPr>
      <w:r>
        <w:rPr>
          <w:rFonts w:ascii="Arial" w:hAnsi="Arial" w:eastAsia="Arial" w:cs="Arial"/>
          <w:b/>
          <w:color w:val="000000"/>
          <w:sz w:val="22"/>
        </w:rPr>
        <w:t>This comparison covers all 13 numerical tables and the associated numeric claims in the reference report. Of 223 recorded claims, 193 match and 30 differ using the IS-only comparison for Section 2.2. That section also retests its 16 claims on IS plus OOT, with 15 matches and one difference. Repeated values in equations and prose are counted separately. Numerical agreement does not establish that a method or interpretation is correct.</w:t>
      </w:r>
    </w:p>
    <w:p>
      <w:pPr>
        <w:pStyle w:val="Heading2"/>
      </w:pPr>
      <w:r>
        <w:t>Scope and comparison settings</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val="true"/>
        </w:trPr>
        <w:tc>
          <w:tcPr>
            <w:tcW w:type="dxa" w:w="216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Item</w:t>
            </w:r>
          </w:p>
        </w:tc>
        <w:tc>
          <w:tcPr>
            <w:tcW w:type="dxa" w:w="806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Definition</w:t>
            </w:r>
          </w:p>
        </w:tc>
      </w:tr>
      <w:tr>
        <w:trPr>
          <w:cantSplit/>
        </w:trPr>
        <w:tc>
          <w:tcPr>
            <w:tcW w:type="dxa" w:w="216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1"/>
              </w:rPr>
              <w:t>Target</w:t>
            </w:r>
          </w:p>
        </w:tc>
        <w:tc>
          <w:tcPr>
            <w:tcW w:type="dxa" w:w="806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1"/>
              </w:rPr>
              <w:t>Combined includes Small Business and Commercial Card only. Sponsorship and QualPay are excluded.</w:t>
            </w:r>
          </w:p>
        </w:tc>
      </w:tr>
      <w:tr>
        <w:trPr>
          <w:cantSplit/>
        </w:trPr>
        <w:tc>
          <w:tcPr>
            <w:tcW w:type="dxa" w:w="216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1"/>
              </w:rPr>
              <w:t>In sample IS</w:t>
            </w:r>
          </w:p>
        </w:tc>
        <w:tc>
          <w:tcPr>
            <w:tcW w:type="dxa" w:w="806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1"/>
              </w:rPr>
              <w:t>January 2011 through September 2023. The calendar window contains 153 months.</w:t>
            </w:r>
          </w:p>
        </w:tc>
      </w:tr>
      <w:tr>
        <w:trPr>
          <w:cantSplit/>
        </w:trPr>
        <w:tc>
          <w:tcPr>
            <w:tcW w:type="dxa" w:w="216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1"/>
              </w:rPr>
              <w:t>Out of time OOT</w:t>
            </w:r>
          </w:p>
        </w:tc>
        <w:tc>
          <w:tcPr>
            <w:tcW w:type="dxa" w:w="806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1"/>
              </w:rPr>
              <w:t>October 2023 through December 2025. The window contains 27 months.</w:t>
            </w:r>
          </w:p>
        </w:tc>
      </w:tr>
      <w:tr>
        <w:trPr>
          <w:cantSplit/>
        </w:trPr>
        <w:tc>
          <w:tcPr>
            <w:tcW w:type="dxa" w:w="216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1"/>
              </w:rPr>
              <w:t>Short run response</w:t>
            </w:r>
          </w:p>
        </w:tc>
        <w:tc>
          <w:tcPr>
            <w:tcW w:type="dxa" w:w="806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1"/>
              </w:rPr>
              <w:t>Combined percentage change from the same month a year earlier. The error correction predictor is EC_lag12.</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Reported means the value printed in the reference document, not a raw monthly data observation. Reproduced means a result calculated from the supplied data. Difference is reproduced minus reported, in the same units. MAPE values and differences are on the percentage scale. Inequality and approximate claims do not receive an arithmetic difference.</w:t>
      </w:r>
    </w:p>
    <w:p>
      <w:pPr>
        <w:keepNext w:val="0"/>
      </w:pPr>
      <w:r>
        <w:rPr>
          <w:rFonts w:ascii="Arial" w:hAnsi="Arial" w:eastAsia="Arial" w:cs="Arial"/>
          <w:b w:val="0"/>
          <w:color w:val="000000"/>
          <w:sz w:val="22"/>
        </w:rPr>
        <w:t>A match uses the reference precision: the tolerance is half a unit in its last displayed decimal, while counts must agree exactly. For a claim such as p &lt; 0.001, only that inequality is checked. KPSS boundary outputs are shown as &lt;=0.01 or &gt;=0.10 where applicable. Amber rows identify numerical differences.</w:t>
      </w:r>
    </w:p>
    <w:p>
      <w:pPr>
        <w:keepNext w:val="0"/>
      </w:pPr>
      <w:r>
        <w:rPr>
          <w:rFonts w:ascii="Arial" w:hAnsi="Arial" w:eastAsia="Arial" w:cs="Arial"/>
          <w:b w:val="0"/>
          <w:color w:val="000000"/>
          <w:sz w:val="22"/>
        </w:rPr>
        <w:t>Section 2.2 excludes 2010 macro history before transformation. Its effective samples are January 2012 through September 2023 for IS, n = 141, and January 2012 through December 2025 for IS plus OOT, n = 168. The calendar IS remains January 2011 through September 2023. The 16 IS-plus-OOT comparisons are a second evaluation of the same claims, not 16 new claims. Other sections retain their labeled reconstruction settings.</w:t>
      </w:r>
    </w:p>
    <w:p>
      <w:pPr>
        <w:pStyle w:val="Heading2"/>
      </w:pPr>
      <w:r>
        <w:t>Recorded target scope</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N186</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IS</w:t>
              <w:br/>
              <w:t>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153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153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N187</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OOT</w:t>
              <w:br/>
              <w:t>n</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27</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27</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pStyle w:val="Heading1"/>
      </w:pPr>
      <w:r>
        <w:t>Section 1 1 Raw level stationarity</w:t>
      </w:r>
    </w:p>
    <w:p>
      <w:pPr>
        <w:keepNext/>
      </w:pPr>
      <w:r>
        <w:rPr>
          <w:rFonts w:ascii="Arial" w:hAnsi="Arial" w:eastAsia="Arial" w:cs="Arial"/>
          <w:b w:val="0"/>
          <w:color w:val="000000"/>
          <w:sz w:val="19"/>
        </w:rPr>
        <w:t>Reference Section 1.1. Source page(s): 1.</w:t>
      </w:r>
    </w:p>
    <w:p>
      <w:pPr>
        <w:keepNext/>
      </w:pPr>
      <w:r>
        <w:rPr>
          <w:rFonts w:ascii="Arial" w:hAnsi="Arial" w:eastAsia="Arial" w:cs="Arial"/>
          <w:b w:val="0"/>
          <w:color w:val="000000"/>
          <w:sz w:val="22"/>
        </w:rPr>
        <w:t>ADF and KPSS tests use original levels over the full 153-month IS. ADF includes a constant and uses AIC lag selection. KPSS includes a constant and uses automatic bandwidth selection.</w:t>
      </w:r>
    </w:p>
    <w:p>
      <w:pPr>
        <w:keepNext/>
      </w:pPr>
      <w:r>
        <w:rPr>
          <w:rFonts w:ascii="Arial" w:hAnsi="Arial" w:eastAsia="Arial" w:cs="Arial"/>
          <w:b w:val="0"/>
          <w:color w:val="000000"/>
          <w:sz w:val="20"/>
        </w:rPr>
        <w:t>Numerical claims: 20. Matches: 20. Differences: 0.</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N001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Combined</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0.932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0.932318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+0.000318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N002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Combined</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&lt;=0.010000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N003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Unrate</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0.046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0.046040</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+0.000040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N004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Unrate</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&lt;=0.010000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N005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CPI</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0.999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0.999088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+0.000088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N006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CPI</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&lt;=0.010000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N007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DPI</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0.999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0.998650</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-0.000350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N008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DPI</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&lt;=0.010000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N009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SBOpt</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0.337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0.337305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+0.000305</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N010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SBOpt</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0.043</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0.042821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-0.000179</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N011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GDP_Wholesale</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0.995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0.995241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+0.000241</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N012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GDP_Wholesale</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&lt;=0.010000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N013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IP</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0.029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0.028687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-0.000313</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N014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IP</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&gt;=0.100000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N015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0.999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0.998594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-0.000406</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N016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&lt;=0.010000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N017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DJ_TotalMkt</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0.958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0.958487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+0.000487</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N018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DJ_TotalMkt</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&lt;=0.010000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N188</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Combined</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0.932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0.932318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+0.000318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N189</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LR candidates</w:t>
              <w:br/>
              <w:t>count</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All numerical claims match. The reference classifies IP as ambiguous and excludes it. Its ADF p = 0.028687 and KPSS p &gt;= 0.10 instead give consistent support for level stationarity under these specifications. Excluding IP from the proposed I(1) candidate set is consistent with that result, but the label should change.</w:t>
      </w:r>
    </w:p>
    <w:p>
      <w:pPr>
        <w:keepNext w:val="0"/>
      </w:pPr>
      <w:r>
        <w:rPr>
          <w:rFonts w:ascii="Arial" w:hAnsi="Arial" w:eastAsia="Arial" w:cs="Arial"/>
          <w:b w:val="0"/>
          <w:color w:val="000000"/>
          <w:sz w:val="22"/>
        </w:rPr>
        <w:t>Failure to establish level stationarity does not by itself establish I(1). As an additional check, the first difference of CPI has ADF p = 0.259750 and KPSS p &lt;= 0.01 under the recorded specification. The six retained variables should therefore be described as candidate variables rather than all being conclusively verified as I(1).</w:t>
      </w:r>
    </w:p>
    <w:p>
      <w:pPr>
        <w:pStyle w:val="Heading1"/>
      </w:pPr>
      <w:r>
        <w:t>Section 1 2 Long run forward selection</w:t>
      </w:r>
    </w:p>
    <w:p>
      <w:pPr>
        <w:keepNext/>
      </w:pPr>
      <w:r>
        <w:rPr>
          <w:rFonts w:ascii="Arial" w:hAnsi="Arial" w:eastAsia="Arial" w:cs="Arial"/>
          <w:b w:val="0"/>
          <w:color w:val="000000"/>
          <w:sz w:val="19"/>
        </w:rPr>
        <w:t>Reference Section 1.2. Source page(s): 1, 2.</w:t>
      </w:r>
    </w:p>
    <w:p>
      <w:pPr>
        <w:keepNext/>
      </w:pPr>
      <w:r>
        <w:rPr>
          <w:rFonts w:ascii="Arial" w:hAnsi="Arial" w:eastAsia="Arial" w:cs="Arial"/>
          <w:b w:val="0"/>
          <w:color w:val="000000"/>
          <w:sz w:val="22"/>
        </w:rPr>
        <w:t>The reconstructed sequence is CPI, then SBOpt, then stop. Each trial includes an intercept and uses the 153 IS observations. The final model contains CPI and SBOpt in levels.</w:t>
      </w:r>
    </w:p>
    <w:p>
      <w:pPr>
        <w:keepNext/>
      </w:pPr>
      <w:r>
        <w:rPr>
          <w:rFonts w:ascii="Arial" w:hAnsi="Arial" w:eastAsia="Arial" w:cs="Arial"/>
          <w:b w:val="0"/>
          <w:color w:val="000000"/>
          <w:sz w:val="20"/>
        </w:rPr>
        <w:t>Numerical claims: 20. Matches: 20. Differences: 0.</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N019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CPI</w:t>
              <w:br/>
              <w:t>Added variable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8.578e-88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N020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CPI</w:t>
              <w:br/>
              <w:t>Residual ADF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0.009148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+0.000148</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N021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SBOpt</w:t>
              <w:br/>
              <w:t>Added variable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0.029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0.029078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+0.000078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N022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SBOpt</w:t>
              <w:br/>
              <w:t>Residual ADF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0.008124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+0.000124</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N023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Intercept</w:t>
              <w:br/>
              <w:t>Coefficient</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-3766.52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-3766.515092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+0.004908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N024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Intercept</w:t>
              <w:br/>
              <w:t>p-value</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2.480e-40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N025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CPI</w:t>
              <w:br/>
              <w:t>Coefficient</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19.436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19.435917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-0.000083</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N026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CPI</w:t>
              <w:br/>
              <w:t>p-value</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3.145e-88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N027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CPI</w:t>
              <w:br/>
              <w:t>VIF</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1.0</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1.000288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+0.000288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N028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SBOpt</w:t>
              <w:br/>
              <w:t>Coefficient</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3.872</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3.872185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+0.000185</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N029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SBOpt</w:t>
              <w:br/>
              <w:t>p-value</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0.029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0.029078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+0.000078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N030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SBOpt</w:t>
              <w:br/>
              <w:t>VIF</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1.000288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+0.000288</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N190</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LR candidates</w:t>
              <w:br/>
              <w:t>count</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N191</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Intercept</w:t>
              <w:br/>
              <w:t>Equation coefficient</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-3766.52</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-3766.515092</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+0.004908</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N192</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CPI</w:t>
              <w:br/>
              <w:t>Equation coefficient</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19.44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19.435917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-0.004083</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N193</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SBOpt</w:t>
              <w:br/>
              <w:t>Equation coefficient</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3.87</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3.872185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+0.002185</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N194</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Long run</w:t>
              <w:br/>
              <w:t>R squared</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.929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0.929452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+0.000452</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N195</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Long run</w:t>
              <w:br/>
              <w:t>Adjusted R squared</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.929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0.928511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-0.000489</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N196</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Long run</w:t>
              <w:br/>
              <w:t>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153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153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N197</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EC</w:t>
              <w:br/>
              <w:t>Residual ADF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.0081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0.008124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+0.000024</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The path is reproduced with added-variable p &lt; 0.05, maximum slope VIF &lt; 10, ordinary residual ADF p &lt; 0.05, and the largest adjusted R squared among eligible candidates. The residual gate and exact VIF cutoff are inferred settings, not fully specified instructions in the source. The selected rounds reproduce the source VIF and residual-stationarity flags. Full trial results are included in Appendix A.</w:t>
      </w:r>
    </w:p>
    <w:p>
      <w:pPr>
        <w:keepNext w:val="0"/>
      </w:pPr>
      <w:r>
        <w:rPr>
          <w:rFonts w:ascii="Arial" w:hAnsi="Arial" w:eastAsia="Arial" w:cs="Arial"/>
          <w:b w:val="0"/>
          <w:color w:val="000000"/>
          <w:sz w:val="22"/>
        </w:rPr>
        <w:t>Without the residual ADF gate, GDP_Wholesale wins the first round under the remaining scoring rules: adjusted R squared is 0.932646 versus 0.926685 for CPI. Its residual ADF p is 0.062588, which excludes it under the inferred gate.</w:t>
      </w:r>
    </w:p>
    <w:p>
      <w:pPr>
        <w:keepNext w:val="0"/>
      </w:pPr>
      <w:r>
        <w:rPr>
          <w:rFonts w:ascii="Arial" w:hAnsi="Arial" w:eastAsia="Arial" w:cs="Arial"/>
          <w:b w:val="0"/>
          <w:color w:val="000000"/>
          <w:sz w:val="22"/>
        </w:rPr>
        <w:t>The final ordinary residual ADF p = 0.008124 reproduces the printed value, but the formal Engle-Granger test gives p = 0.087167. These are not interchangeable tests. The formal test does not reject no cointegration at 5 percent, so the source assertion of confirmed genuine cointegration is stronger than this result supports.</w:t>
      </w:r>
    </w:p>
    <w:p>
      <w:pPr>
        <w:pStyle w:val="Heading1"/>
      </w:pPr>
      <w:r>
        <w:t>Section 2 1 Base short run equation</w:t>
      </w:r>
    </w:p>
    <w:p>
      <w:pPr>
        <w:keepNext/>
      </w:pPr>
      <w:r>
        <w:rPr>
          <w:rFonts w:ascii="Arial" w:hAnsi="Arial" w:eastAsia="Arial" w:cs="Arial"/>
          <w:b w:val="0"/>
          <w:color w:val="000000"/>
          <w:sz w:val="19"/>
        </w:rPr>
        <w:t>Reference Section 2.1. Source page(s): 2.</w:t>
      </w:r>
    </w:p>
    <w:p>
      <w:pPr>
        <w:keepNext/>
      </w:pPr>
      <w:r>
        <w:rPr>
          <w:rFonts w:ascii="Arial" w:hAnsi="Arial" w:eastAsia="Arial" w:cs="Arial"/>
          <w:b w:val="0"/>
          <w:color w:val="000000"/>
          <w:sz w:val="22"/>
        </w:rPr>
        <w:t>The base regression contains an intercept and EC_lag12, with Combined 12-month percentage change as the response. Its effective sample starts in January 2012 and contains 141 observations.</w:t>
      </w:r>
    </w:p>
    <w:p>
      <w:pPr>
        <w:keepNext/>
      </w:pPr>
      <w:r>
        <w:rPr>
          <w:rFonts w:ascii="Arial" w:hAnsi="Arial" w:eastAsia="Arial" w:cs="Arial"/>
          <w:b w:val="0"/>
          <w:color w:val="000000"/>
          <w:sz w:val="20"/>
        </w:rPr>
        <w:t>Numerical claims: 1. Matches: 1. Differences: 0.</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N198</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Base short run</w:t>
              <w:br/>
              <w:t>Durbin Watson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1.02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1.016513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-0.003487</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This reproduces the reported Durbin-Watson number. It is a numerical comparison, not a general endorsement of a single Durbin-Watson threshold as a complete residual diagnostic.</w:t>
      </w:r>
    </w:p>
    <w:p>
      <w:pPr>
        <w:pStyle w:val="Heading1"/>
      </w:pPr>
      <w:r>
        <w:t>Section 2 2 Short run macro stationarity</w:t>
      </w:r>
    </w:p>
    <w:p>
      <w:pPr>
        <w:keepNext/>
      </w:pPr>
      <w:r>
        <w:rPr>
          <w:rFonts w:ascii="Arial" w:hAnsi="Arial" w:eastAsia="Arial" w:cs="Arial"/>
          <w:b w:val="0"/>
          <w:color w:val="000000"/>
          <w:sz w:val="19"/>
        </w:rPr>
        <w:t>Reference Section 2.2. Source page(s): 2.</w:t>
      </w:r>
    </w:p>
    <w:p>
      <w:pPr>
        <w:keepNext/>
      </w:pPr>
      <w:r>
        <w:rPr>
          <w:rFonts w:ascii="Arial" w:hAnsi="Arial" w:eastAsia="Arial" w:cs="Arial"/>
          <w:b w:val="0"/>
          <w:color w:val="000000"/>
          <w:sz w:val="22"/>
        </w:rPr>
        <w:t>Macro levels are first restricted to January 2011 onward, then transformed. No 2010 observation is used to calculate a 2011 value, so the first 12 transformed observations are missing. Unrate uses a 12-month percentage-point difference; the other seven macros use 12-month percentage change. ADF uses a constant and AIC lag selection. KPSS uses a constant and automatic bandwidth selection.</w:t>
      </w:r>
    </w:p>
    <w:p>
      <w:pPr>
        <w:keepNext/>
      </w:pPr>
      <w:r>
        <w:rPr>
          <w:rFonts w:ascii="Arial" w:hAnsi="Arial" w:eastAsia="Arial" w:cs="Arial"/>
          <w:b w:val="0"/>
          <w:color w:val="000000"/>
          <w:sz w:val="20"/>
        </w:rPr>
        <w:t>Numerical claims: 16. Matches: 6. Differences: 10.</w:t>
      </w:r>
    </w:p>
    <w:p>
      <w:pPr>
        <w:keepNext w:val="0"/>
      </w:pPr>
      <w:r>
        <w:rPr>
          <w:rFonts w:ascii="Arial" w:hAnsi="Arial" w:eastAsia="Arial" w:cs="Arial"/>
          <w:b w:val="0"/>
          <w:color w:val="000000"/>
          <w:sz w:val="19"/>
        </w:rPr>
        <w:t>Revision: the former 153-observation macro comparison is replaced by the original no-2010-history convention. Both test windows below have been recalculated from the saved macro levels.</w:t>
      </w:r>
    </w:p>
    <w:p>
      <w:pPr>
        <w:pStyle w:val="Heading2"/>
      </w:pPr>
      <w:r>
        <w:t>In sample comparison</w:t>
      </w:r>
    </w:p>
    <w:p>
      <w:pPr>
        <w:keepNext/>
      </w:pPr>
      <w:r>
        <w:rPr>
          <w:rFonts w:ascii="Arial" w:hAnsi="Arial" w:eastAsia="Arial" w:cs="Arial"/>
          <w:b w:val="0"/>
          <w:color w:val="000000"/>
          <w:sz w:val="20"/>
        </w:rPr>
        <w:t>Effective test period: January 2012 through September 2023, n = 141. Six of the 16 reported p-values match and ten differ. These IS-only results determine the overall 193-match / 30-difference total.</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N045</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w:t>
              <w:br/>
              <w:t>ADF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0.046</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0.079624</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+0.033624</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N046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Unrate</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&gt;=0.100000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N047</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CPI</w:t>
              <w:br/>
              <w:t>ADF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0.265</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0.371242</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+0.106242</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N048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CPI</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&lt;=0.010000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N049</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DPI</w:t>
              <w:br/>
              <w:t>ADF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0.002</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0.007174</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+0.005174</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N050</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DPI</w:t>
              <w:br/>
              <w:t>KPSS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0.058</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0.041813</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-0.016187</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N051</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SBOpt</w:t>
              <w:br/>
              <w:t>ADF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0.081</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0.281308</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+0.200308</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N052</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SBOpt</w:t>
              <w:br/>
              <w:t>KPSS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0.1</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0.041655</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-0.058345</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N053</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GDP_Wholesale</w:t>
              <w:br/>
              <w:t>ADF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0.319</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0.315185</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-0.003815</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N054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GDP_Wholesale</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&gt;=0.100000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N055</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IP</w:t>
              <w:br/>
              <w:t>ADF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0.017</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0.038361</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+0.021361</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N056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IP</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&gt;=0.100000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N057</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CorpProfits</w:t>
              <w:br/>
              <w:t>ADF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0.13</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0.219076</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+0.089076</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N058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&gt;=0.100000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N059</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DJ_TotalMkt</w:t>
              <w:br/>
              <w:t>ADF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0.005</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0.005969</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+0.000969</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N060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DJ_TotalMkt</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&gt;=0.100000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pStyle w:val="Heading2"/>
      </w:pPr>
      <w:r>
        <w:t>In sample plus out of time comparison</w:t>
      </w:r>
    </w:p>
    <w:p>
      <w:pPr>
        <w:keepNext/>
      </w:pPr>
      <w:r>
        <w:rPr>
          <w:rFonts w:ascii="Arial" w:hAnsi="Arial" w:eastAsia="Arial" w:cs="Arial"/>
          <w:b w:val="0"/>
          <w:color w:val="000000"/>
          <w:sz w:val="20"/>
        </w:rPr>
        <w:t>Effective test period: January 2012 through December 2025, n = 168. Fifteen of the same 16 reported p-values match and one differs. The repeated claim IDs identify the same source numbers tested on this second window.</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N045</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w:t>
              <w:br/>
              <w:t>ADF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0.046</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0.046525</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+0.000525</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N046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Unrate</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&gt;=0.100000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N047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CPI</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0.265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0.265465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+0.000465</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N048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CPI</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0.010188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+0.000188</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N049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DPI</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0.002384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+0.000384</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N050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DPI</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0.058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0.058487</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+0.000487</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N051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SBOpt</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0.081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0.080984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-0.000016</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N052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SBOpt</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&gt;=0.100000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N053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GDP_Wholesale</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0.319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0.318705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-0.000295</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N054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GDP_Wholesale</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&gt;=0.100000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N055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IP</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0.017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0.017207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+0.000207</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N056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IP</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&gt;=0.100000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N057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0.13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0.130221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+0.000221</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N058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&gt;=0.100000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N059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DJ_TotalMkt</w:t>
              <w:br/>
              <w:t>ADF p</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0.004506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-0.000494</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N060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DJ_TotalMkt</w:t>
              <w:br/>
              <w:t>KPSS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&gt;=0.100000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The sole IS-plus-OOT difference is Unrate ADF: 0.046525 rounds to 0.047, not the reported 0.046. The near-complete match supports a full-sample explanation for the reference table, but does not establish the original implementation. This window includes OOT observations and is a retrospective comparison, not an IS-only screening result.</w:t>
      </w:r>
    </w:p>
    <w:p>
      <w:pPr>
        <w:pStyle w:val="Heading2"/>
      </w:pPr>
      <w:r>
        <w:t>Stationarity screening decisions in both windows</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584"/>
        <w:gridCol w:w="1296"/>
        <w:gridCol w:w="1728"/>
        <w:gridCol w:w="1440"/>
        <w:gridCol w:w="1872"/>
      </w:tblGrid>
      <w:tr>
        <w:trPr>
          <w:cantSplit/>
          <w:tblHeader w:val="true"/>
        </w:trPr>
        <w:tc>
          <w:tcPr>
            <w:tcW w:type="dxa" w:w="230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Macro</w:t>
            </w:r>
          </w:p>
        </w:tc>
        <w:tc>
          <w:tcPr>
            <w:tcW w:type="dxa" w:w="15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 decision</w:t>
            </w:r>
          </w:p>
        </w:tc>
        <w:tc>
          <w:tcPr>
            <w:tcW w:type="dxa" w:w="1296"/>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IS 141 OR</w:t>
            </w:r>
          </w:p>
        </w:tc>
        <w:tc>
          <w:tcPr>
            <w:tcW w:type="dxa" w:w="172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IS plus OOT 168 OR</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IS both tests</w:t>
            </w:r>
          </w:p>
        </w:tc>
        <w:tc>
          <w:tcPr>
            <w:tcW w:type="dxa" w:w="187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IS plus OOT both tests</w:t>
            </w:r>
          </w:p>
        </w:tc>
      </w:tr>
      <w:tr>
        <w:trPr>
          <w:cantSplit/>
        </w:trPr>
        <w:tc>
          <w:tcPr>
            <w:tcW w:type="dxa" w:w="230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Unrate</w:t>
            </w:r>
          </w:p>
        </w:tc>
        <w:tc>
          <w:tcPr>
            <w:tcW w:type="dxa" w:w="15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OK</w:t>
            </w:r>
          </w:p>
        </w:tc>
        <w:tc>
          <w:tcPr>
            <w:tcW w:type="dxa" w:w="129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Pass</w:t>
            </w:r>
          </w:p>
        </w:tc>
        <w:tc>
          <w:tcPr>
            <w:tcW w:type="dxa" w:w="1728"/>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Pass</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No</w:t>
            </w:r>
          </w:p>
        </w:tc>
        <w:tc>
          <w:tcPr>
            <w:tcW w:type="dxa" w:w="1872"/>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Yes</w:t>
            </w:r>
          </w:p>
        </w:tc>
      </w:tr>
      <w:tr>
        <w:trPr>
          <w:cantSplit/>
        </w:trPr>
        <w:tc>
          <w:tcPr>
            <w:tcW w:type="dxa" w:w="230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CPI</w:t>
            </w:r>
          </w:p>
        </w:tc>
        <w:tc>
          <w:tcPr>
            <w:tcW w:type="dxa" w:w="15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FAIL</w:t>
            </w:r>
          </w:p>
        </w:tc>
        <w:tc>
          <w:tcPr>
            <w:tcW w:type="dxa" w:w="1296"/>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Fail</w:t>
            </w:r>
          </w:p>
        </w:tc>
        <w:tc>
          <w:tcPr>
            <w:tcW w:type="dxa" w:w="1728"/>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Fail</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No</w:t>
            </w:r>
          </w:p>
        </w:tc>
        <w:tc>
          <w:tcPr>
            <w:tcW w:type="dxa" w:w="1872"/>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No</w:t>
            </w:r>
          </w:p>
        </w:tc>
      </w:tr>
      <w:tr>
        <w:trPr>
          <w:cantSplit/>
        </w:trPr>
        <w:tc>
          <w:tcPr>
            <w:tcW w:type="dxa" w:w="230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DPI</w:t>
            </w:r>
          </w:p>
        </w:tc>
        <w:tc>
          <w:tcPr>
            <w:tcW w:type="dxa" w:w="15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OK</w:t>
            </w:r>
          </w:p>
        </w:tc>
        <w:tc>
          <w:tcPr>
            <w:tcW w:type="dxa" w:w="129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Pass</w:t>
            </w:r>
          </w:p>
        </w:tc>
        <w:tc>
          <w:tcPr>
            <w:tcW w:type="dxa" w:w="1728"/>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Pass</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No</w:t>
            </w:r>
          </w:p>
        </w:tc>
        <w:tc>
          <w:tcPr>
            <w:tcW w:type="dxa" w:w="1872"/>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Yes</w:t>
            </w:r>
          </w:p>
        </w:tc>
      </w:tr>
      <w:tr>
        <w:trPr>
          <w:cantSplit/>
        </w:trPr>
        <w:tc>
          <w:tcPr>
            <w:tcW w:type="dxa" w:w="230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SBOpt</w:t>
            </w:r>
          </w:p>
        </w:tc>
        <w:tc>
          <w:tcPr>
            <w:tcW w:type="dxa" w:w="15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OK</w:t>
            </w:r>
          </w:p>
        </w:tc>
        <w:tc>
          <w:tcPr>
            <w:tcW w:type="dxa" w:w="1296"/>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Fail</w:t>
            </w:r>
          </w:p>
        </w:tc>
        <w:tc>
          <w:tcPr>
            <w:tcW w:type="dxa" w:w="1728"/>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Pass</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No</w:t>
            </w:r>
          </w:p>
        </w:tc>
        <w:tc>
          <w:tcPr>
            <w:tcW w:type="dxa" w:w="1872"/>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No</w:t>
            </w:r>
          </w:p>
        </w:tc>
      </w:tr>
      <w:tr>
        <w:trPr>
          <w:cantSplit/>
        </w:trPr>
        <w:tc>
          <w:tcPr>
            <w:tcW w:type="dxa" w:w="230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GDP_Wholesale</w:t>
            </w:r>
          </w:p>
        </w:tc>
        <w:tc>
          <w:tcPr>
            <w:tcW w:type="dxa" w:w="15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OK</w:t>
            </w:r>
          </w:p>
        </w:tc>
        <w:tc>
          <w:tcPr>
            <w:tcW w:type="dxa" w:w="129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Pass</w:t>
            </w:r>
          </w:p>
        </w:tc>
        <w:tc>
          <w:tcPr>
            <w:tcW w:type="dxa" w:w="1728"/>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Pass</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No</w:t>
            </w:r>
          </w:p>
        </w:tc>
        <w:tc>
          <w:tcPr>
            <w:tcW w:type="dxa" w:w="1872"/>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No</w:t>
            </w:r>
          </w:p>
        </w:tc>
      </w:tr>
      <w:tr>
        <w:trPr>
          <w:cantSplit/>
        </w:trPr>
        <w:tc>
          <w:tcPr>
            <w:tcW w:type="dxa" w:w="230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IP</w:t>
            </w:r>
          </w:p>
        </w:tc>
        <w:tc>
          <w:tcPr>
            <w:tcW w:type="dxa" w:w="15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OK</w:t>
            </w:r>
          </w:p>
        </w:tc>
        <w:tc>
          <w:tcPr>
            <w:tcW w:type="dxa" w:w="1296"/>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Pass</w:t>
            </w:r>
          </w:p>
        </w:tc>
        <w:tc>
          <w:tcPr>
            <w:tcW w:type="dxa" w:w="1728"/>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Pass</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Yes</w:t>
            </w:r>
          </w:p>
        </w:tc>
        <w:tc>
          <w:tcPr>
            <w:tcW w:type="dxa" w:w="1872"/>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Yes</w:t>
            </w:r>
          </w:p>
        </w:tc>
      </w:tr>
      <w:tr>
        <w:trPr>
          <w:cantSplit/>
        </w:trPr>
        <w:tc>
          <w:tcPr>
            <w:tcW w:type="dxa" w:w="230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w:t>
            </w:r>
          </w:p>
        </w:tc>
        <w:tc>
          <w:tcPr>
            <w:tcW w:type="dxa" w:w="15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OK</w:t>
            </w:r>
          </w:p>
        </w:tc>
        <w:tc>
          <w:tcPr>
            <w:tcW w:type="dxa" w:w="129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Pass</w:t>
            </w:r>
          </w:p>
        </w:tc>
        <w:tc>
          <w:tcPr>
            <w:tcW w:type="dxa" w:w="1728"/>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Pass</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No</w:t>
            </w:r>
          </w:p>
        </w:tc>
        <w:tc>
          <w:tcPr>
            <w:tcW w:type="dxa" w:w="1872"/>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No</w:t>
            </w:r>
          </w:p>
        </w:tc>
      </w:tr>
      <w:tr>
        <w:trPr>
          <w:cantSplit/>
        </w:trPr>
        <w:tc>
          <w:tcPr>
            <w:tcW w:type="dxa" w:w="230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DJ_TotalMkt</w:t>
            </w:r>
          </w:p>
        </w:tc>
        <w:tc>
          <w:tcPr>
            <w:tcW w:type="dxa" w:w="15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OK</w:t>
            </w:r>
          </w:p>
        </w:tc>
        <w:tc>
          <w:tcPr>
            <w:tcW w:type="dxa" w:w="1296"/>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Pass</w:t>
            </w:r>
          </w:p>
        </w:tc>
        <w:tc>
          <w:tcPr>
            <w:tcW w:type="dxa" w:w="1728"/>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Pass</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Yes</w:t>
            </w:r>
          </w:p>
        </w:tc>
        <w:tc>
          <w:tcPr>
            <w:tcW w:type="dxa" w:w="1872"/>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Yes</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The reference OR screen passes a variable when ADF p &lt; 0.05 or KPSS p &gt; 0.05. IS-only passes six macros and fails CPI plus SBOpt. Only IP and DJ_TotalMkt satisfy both conditions in IS. IS plus OOT passes seven macros and fails CPI only; Unrate, DPI, IP and DJ_TotalMkt satisfy both conditions in that longer window.</w:t>
      </w:r>
    </w:p>
    <w:p>
      <w:pPr>
        <w:keepNext w:val="0"/>
      </w:pPr>
      <w:r>
        <w:rPr>
          <w:rFonts w:ascii="Arial" w:hAnsi="Arial" w:eastAsia="Arial" w:cs="Arial"/>
          <w:b w:val="0"/>
          <w:color w:val="000000"/>
          <w:sz w:val="22"/>
        </w:rPr>
        <w:t>SBOpt illustrates the sample sensitivity: its IS ADF p = 0.281308 and KPSS p = 0.041655 fail the OR screen, whereas its IS-plus-OOT ADF p = 0.080984 and KPSS p &gt;= 0.10 pass through KPSS. The transformation is unchanged. A failure to reject a test null is not proof that the null is true, so these screening labels are not conclusive stationarity findings.</w:t>
      </w:r>
    </w:p>
    <w:p>
      <w:pPr>
        <w:pStyle w:val="Heading1"/>
      </w:pPr>
      <w:r>
        <w:t>Section 2 3 Partial correlations</w:t>
      </w:r>
    </w:p>
    <w:p>
      <w:pPr>
        <w:keepNext/>
      </w:pPr>
      <w:r>
        <w:rPr>
          <w:rFonts w:ascii="Arial" w:hAnsi="Arial" w:eastAsia="Arial" w:cs="Arial"/>
          <w:b w:val="0"/>
          <w:color w:val="000000"/>
          <w:sz w:val="19"/>
        </w:rPr>
        <w:t>Reference Section 2.3. Source page(s): 3.</w:t>
      </w:r>
    </w:p>
    <w:p>
      <w:pPr>
        <w:keepNext/>
      </w:pPr>
      <w:r>
        <w:rPr>
          <w:rFonts w:ascii="Arial" w:hAnsi="Arial" w:eastAsia="Arial" w:cs="Arial"/>
          <w:b w:val="0"/>
          <w:color w:val="000000"/>
          <w:sz w:val="22"/>
        </w:rPr>
        <w:t>For each macro and lag from 0 through 12, the response and candidate are each regressed on an intercept and EC_lag12 using exactly the same complete rows. Their residual Pearson correlation is calculated separately within IS and OOT. The long-run coefficients used to construct EC remain frozen at the IS estimates; the two auxiliary regressions are fitted within each respective window.</w:t>
      </w:r>
    </w:p>
    <w:p>
      <w:pPr>
        <w:keepNext/>
      </w:pPr>
      <w:r>
        <w:rPr>
          <w:rFonts w:ascii="Arial" w:hAnsi="Arial" w:eastAsia="Arial" w:cs="Arial"/>
          <w:b w:val="0"/>
          <w:color w:val="000000"/>
          <w:sz w:val="20"/>
        </w:rPr>
        <w:t>Numerical claims: 81. Matches: 66. Differences: 15.</w:t>
      </w:r>
    </w:p>
    <w:p>
      <w:pPr>
        <w:keepNext w:val="0"/>
      </w:pPr>
      <w:r>
        <w:rPr>
          <w:rFonts w:ascii="Arial" w:hAnsi="Arial" w:eastAsia="Arial" w:cs="Arial"/>
          <w:b w:val="0"/>
          <w:color w:val="000000"/>
          <w:sz w:val="22"/>
        </w:rPr>
        <w:t>These tables retain the reconstruction profile: truncate macro levels to January 2011 onward, transform, lag, and use candidate-specific complete observations. IS effective n is 141 minus the candidate lag; all OOT calculations use 27 months. This is inferred preprocessing that matches most reported values, not an assertion that the source fully documented it. The retained p-values use n minus 2 degrees of freedom.</w:t>
      </w:r>
    </w:p>
    <w:p>
      <w:pPr>
        <w:pStyle w:val="Heading2"/>
      </w:pPr>
      <w:r>
        <w:t>In sample comparison</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N061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Unrate_lag3</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-0.389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-0.389474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-0.000474</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N062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Unrate_lag3</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0.000002</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N065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Unrate_lag4</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-0.315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-0.315384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-0.000384</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N066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Unrate_lag4</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0.000174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N069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Unrate_lag5</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-0.286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-0.285991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+0.000009</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N070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Unrate_lag5</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0.000738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-0.000262</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N073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Unrate_lag6</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-0.300025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-0.000025</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N074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Unrate_lag6</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0.000407</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N077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Unrate_lag7</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-0.295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-0.295034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-0.000034</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N078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Unrate_lag7</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0.000539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N081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Unrate_lag8</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-0.323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-0.323455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-0.000455</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N082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Unrate_lag8</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0.000146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N085</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Unrate_lag9</w:t>
              <w:br/>
              <w:t>IS correlation</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-0.221</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-0.220413</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+0.000587</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N086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Unrate_lag9</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0.011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0.011099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+0.000099</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N089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Unrate_lag10</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-0.15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-0.149633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+0.000367</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N090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Unrate_lag10</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0.088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0.088040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+0.000040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N093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DPI_lag10</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0.123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0.122654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-0.000346</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N094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DPI_lag10</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0.163</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0.162816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-0.000184</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N097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GDP_Wholesale_lag10</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0.209662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-0.000338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N098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GDP_Wholesale_lag10</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0.016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0.016240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+0.000240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N101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GDP_Wholesale_lag11</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0.124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0.123667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-0.000333</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N102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GDP_Wholesale_lag11</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0.161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0.160978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-0.000022</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N105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IP_lag3</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0.412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0.411862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-0.000138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N106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IP_lag3</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5.198e-07</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N109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IP_lag11</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0.161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0.160820</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-0.000180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N110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IP_lag11</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0.068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0.067574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-0.000426</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N113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CorpProfits_lag2</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0.528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0.527581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-0.000419</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N114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CorpProfits_lag2</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2.503e-11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N117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CorpProfits_lag3</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0.473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0.472501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-0.000499</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N118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CorpProfits_lag3</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4.880e-09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N121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CorpProfits_lag4</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0.378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0.377774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-0.000226</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N122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CorpProfits_lag4</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N125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CorpProfits_lag9</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0.424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0.424288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+0.000288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N126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CorpProfits_lag9</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3.979e-07</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N129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CorpProfits_lag10</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0.401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0.400671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-0.000329</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N130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CorpProfits_lag10</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0.000002</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N133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CorpProfits_lag11</w:t>
              <w:br/>
              <w:t>IS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0.357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0.356923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-0.000077</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N134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CorpProfits_lag11</w:t>
              <w:br/>
              <w:t>IS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0.000031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IS has 37 matches out of 38 printed values. Only the Unrate_lag9 correlation differs: the reproduced -0.220413 does not round to the reported -0.221.</w:t>
      </w:r>
    </w:p>
    <w:p>
      <w:pPr>
        <w:pStyle w:val="Heading2"/>
      </w:pPr>
      <w:r>
        <w:t>Out of time comparison</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N063</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Unrate_lag3</w:t>
              <w:br/>
              <w:t>OOT correlation</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-0.267</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-0.260110</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+0.006890</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N064</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Unrate_lag3</w:t>
              <w:br/>
              <w:t>OOT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0.178</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0.190093</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+0.012093</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N067</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Unrate_lag4</w:t>
              <w:br/>
              <w:t>OOT correlation</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-0.296</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-0.304660</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-0.008660</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N068</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Unrate_lag4</w:t>
              <w:br/>
              <w:t>OOT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0.133</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0.122310</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-0.010690</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N071</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Unrate_lag5</w:t>
              <w:br/>
              <w:t>OOT correlation</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-0.366</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-0.368194</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-0.002194</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N072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Unrate_lag5</w:t>
              <w:br/>
              <w:t>OOT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0.058803</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-0.001197</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N075</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Unrate_lag6</w:t>
              <w:br/>
              <w:t>OOT correlation</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-0.452</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-0.467963</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-0.015963</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N076</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Unrate_lag6</w:t>
              <w:br/>
              <w:t>OOT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0.018</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0.013833</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-0.004167</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N079</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Unrate_lag7</w:t>
              <w:br/>
              <w:t>OOT correlation</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-0.452</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-0.441834</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+0.010166</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N080</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Unrate_lag7</w:t>
              <w:br/>
              <w:t>OOT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0.018</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0.021033</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+0.003033</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N083</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Unrate_lag8</w:t>
              <w:br/>
              <w:t>OOT correlation</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-0.649</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-0.640896</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+0.008104</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N084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Unrate_lag8</w:t>
              <w:br/>
              <w:t>OOT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0.000316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N087</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Unrate_lag9</w:t>
              <w:br/>
              <w:t>OOT correlation</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-0.296</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-0.379057</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-0.083057</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N088</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Unrate_lag9</w:t>
              <w:br/>
              <w:t>OOT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0.133</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0.051187</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-0.081813</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N091</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Unrate_lag10</w:t>
              <w:br/>
              <w:t>OOT correlation</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-0.625</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-0.551103</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+0.073897</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N092</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Unrate_lag10</w:t>
              <w:br/>
              <w:t>OOT p</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&lt;0.001</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0.002889</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n/a</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N095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DPI_lag10</w:t>
              <w:br/>
              <w:t>OOT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0.439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0.438804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-0.000196</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N096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DPI_lag10</w:t>
              <w:br/>
              <w:t>OOT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0.022</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0.022037</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+0.000037</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N099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GDP_Wholesale_lag10</w:t>
              <w:br/>
              <w:t>OOT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0.348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0.347795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-0.000205</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N100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GDP_Wholesale_lag10</w:t>
              <w:br/>
              <w:t>OOT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0.075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0.075461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+0.000461</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N103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GDP_Wholesale_lag11</w:t>
              <w:br/>
              <w:t>OOT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0.437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0.437147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+0.000147</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N104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GDP_Wholesale_lag11</w:t>
              <w:br/>
              <w:t>OOT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0.023</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0.022602</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-0.000398</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N107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IP_lag3</w:t>
              <w:br/>
              <w:t>OOT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0.263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0.263376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+0.000376</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N108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IP_lag3</w:t>
              <w:br/>
              <w:t>OOT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0.184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0.184388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+0.000388</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N111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IP_lag11</w:t>
              <w:br/>
              <w:t>OOT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0.317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0.316947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-0.000053</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N112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IP_lag11</w:t>
              <w:br/>
              <w:t>OOT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0.107</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0.107219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+0.000219</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N115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CorpProfits_lag2</w:t>
              <w:br/>
              <w:t>OOT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0.361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0.360602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-0.000398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N116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CorpProfits_lag2</w:t>
              <w:br/>
              <w:t>OOT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0.065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0.064631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-0.000369</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N119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CorpProfits_lag3</w:t>
              <w:br/>
              <w:t>OOT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0.381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0.380654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-0.000346</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N120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CorpProfits_lag3</w:t>
              <w:br/>
              <w:t>OOT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0.050136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+0.000136</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N123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CorpProfits_lag4</w:t>
              <w:br/>
              <w:t>OOT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0.256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0.255858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-0.000142</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N124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CorpProfits_lag4</w:t>
              <w:br/>
              <w:t>OOT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0.198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0.197699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-0.000301</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N127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CorpProfits_lag9</w:t>
              <w:br/>
              <w:t>OOT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0.294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0.293818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-0.000182</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N128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CorpProfits_lag9</w:t>
              <w:br/>
              <w:t>OOT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0.137</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0.136872</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-0.000128</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N131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CorpProfits_lag10</w:t>
              <w:br/>
              <w:t>OOT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0.377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0.377336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+0.000336</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N132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CorpProfits_lag10</w:t>
              <w:br/>
              <w:t>OOT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0.052</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0.052339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+0.000339</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N135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CorpProfits_lag11</w:t>
              <w:br/>
              <w:t>OOT correlation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0.312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0.311978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-0.000022</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N136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CorpProfits_lag11</w:t>
              <w:br/>
              <w:t>OOT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0.113</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0.113146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+0.000146</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OOT has 24 matches out of 38 printed values. All 14 differences are in Unrate: eight correlations and six p-values. All 22 OOT numbers for the other reported macro families match. Preserving 2010 history leaves OOT correlations unchanged. Common Unrate transformations and simple rounding alternatives did not reproduce the eight reported OOT correlations. The original Unrate data vintage or source calculation code is needed to identify the cause; a data-version or transcription explanation remains unconfirmed.</w:t>
      </w:r>
    </w:p>
    <w:p>
      <w:pPr>
        <w:pStyle w:val="Heading2"/>
      </w:pPr>
      <w:r>
        <w:t>Screening counts and pool settings</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N199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screen</w:t>
              <w:br/>
              <w:t>survivors</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N200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screen</w:t>
              <w:br/>
              <w:t>total candidates</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104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104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N201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pool</w:t>
              <w:br/>
              <w:t>max lags per family</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N202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pool</w:t>
              <w:br/>
              <w:t>macro pool</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N203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pool</w:t>
              <w:br/>
              <w:t>target lag pool</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Candidates must have p &lt; 0.20 in both windows and the same correlation sign. The reconstruction excludes CPI as in the source. Applying the Section 2.2 IS-only stationarity screen also excludes SBOpt, but SBOpt has no partial-correlation survivors in this run, so this additional exclusion does not change the retained list.</w:t>
      </w:r>
    </w:p>
    <w:p>
      <w:pPr>
        <w:keepNext w:val="0"/>
      </w:pPr>
      <w:r>
        <w:rPr>
          <w:rFonts w:ascii="Arial" w:hAnsi="Arial" w:eastAsia="Arial" w:cs="Arial"/>
          <w:b w:val="0"/>
          <w:color w:val="000000"/>
          <w:sz w:val="22"/>
        </w:rPr>
        <w:t>The two-lag family cap is reconstructed by ranking candidates within each family by absolute OOT correlation. Other rankings can reproduce the reported final model, so the original ranking algorithm is not uniquely identified. The nine retained macro candidates and 12 response lags are a later pool reduction, not the initial set of 104 tests.</w:t>
      </w:r>
    </w:p>
    <w:p>
      <w:pPr>
        <w:pStyle w:val="Heading2"/>
      </w:pPr>
      <w:r>
        <w:t>Separate corrections and sample sensitivity</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2880"/>
        <w:gridCol w:w="2880"/>
      </w:tblGrid>
      <w:tr>
        <w:trPr>
          <w:cantSplit/>
          <w:tblHeader w:val="true"/>
        </w:trPr>
        <w:tc>
          <w:tcPr>
            <w:tcW w:type="dxa" w:w="446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c>
          <w:tcPr>
            <w:tcW w:type="dxa" w:w="288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Reconstruction profile</w:t>
            </w:r>
          </w:p>
        </w:tc>
        <w:tc>
          <w:tcPr>
            <w:tcW w:type="dxa" w:w="288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Alternative</w:t>
            </w:r>
          </w:p>
        </w:tc>
      </w:tr>
      <w:tr>
        <w:trPr>
          <w:cantSplit/>
        </w:trPr>
        <w:tc>
          <w:tcPr>
            <w:tcW w:type="dxa" w:w="446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 lag4 OOT p</w:t>
            </w:r>
          </w:p>
        </w:tc>
        <w:tc>
          <w:tcPr>
            <w:tcW w:type="dxa" w:w="288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0.197699</w:t>
            </w:r>
          </w:p>
        </w:tc>
        <w:tc>
          <w:tcPr>
            <w:tcW w:type="dxa" w:w="288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0.207097</w:t>
            </w:r>
          </w:p>
        </w:tc>
      </w:tr>
      <w:tr>
        <w:trPr>
          <w:cantSplit/>
        </w:trPr>
        <w:tc>
          <w:tcPr>
            <w:tcW w:type="dxa" w:w="446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Survivors after p and stationarity screens</w:t>
            </w:r>
          </w:p>
        </w:tc>
        <w:tc>
          <w:tcPr>
            <w:tcW w:type="dxa" w:w="288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19 with n minus 2</w:t>
            </w:r>
          </w:p>
        </w:tc>
        <w:tc>
          <w:tcPr>
            <w:tcW w:type="dxa" w:w="288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18 with n minus 3</w:t>
            </w:r>
          </w:p>
        </w:tc>
      </w:tr>
      <w:tr>
        <w:trPr>
          <w:cantSplit/>
        </w:trPr>
        <w:tc>
          <w:tcPr>
            <w:tcW w:type="dxa" w:w="446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Unrate lag3 IS correlation</w:t>
            </w:r>
          </w:p>
        </w:tc>
        <w:tc>
          <w:tcPr>
            <w:tcW w:type="dxa" w:w="288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-0.389474 with n = 138</w:t>
            </w:r>
          </w:p>
        </w:tc>
        <w:tc>
          <w:tcPr>
            <w:tcW w:type="dxa" w:w="288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-0.387041 with n = 141</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The usual partial-correlation t test controlling one variable uses n minus 3 degrees of freedom, under its conventional assumptions. Correcting degrees of freedom does not change correlations. CorpProfits_lag4 moves from p = 0.197699 to 0.207097 and fails the 0.20 OOT gate. This adjustment alone does not address time-series dependence or multiple screening tests.</w:t>
      </w:r>
    </w:p>
    <w:p>
      <w:pPr>
        <w:keepNext w:val="0"/>
      </w:pPr>
      <w:r>
        <w:rPr>
          <w:rFonts w:ascii="Arial" w:hAnsi="Arial" w:eastAsia="Arial" w:cs="Arial"/>
          <w:b w:val="0"/>
          <w:color w:val="000000"/>
          <w:sz w:val="22"/>
        </w:rPr>
        <w:t>The sample alternative retains 2010 macro history before transformation and lagging. The income response and EC_lag12 still limit the effective joint sample to January 2012 onward, so all candidate lags through 12 then have 141 IS rows, not 153. That alternative changes some IS numbers and does not resolve the OOT Unrate discrepancies. OOT is used in feature selection under the source rules, so it is not an untouched end-to-end holdout.</w:t>
      </w:r>
    </w:p>
    <w:p>
      <w:pPr>
        <w:pStyle w:val="Heading1"/>
      </w:pPr>
      <w:r>
        <w:t>Section 2 4 Short run forward selection and final model</w:t>
      </w:r>
    </w:p>
    <w:p>
      <w:pPr>
        <w:keepNext/>
      </w:pPr>
      <w:r>
        <w:rPr>
          <w:rFonts w:ascii="Arial" w:hAnsi="Arial" w:eastAsia="Arial" w:cs="Arial"/>
          <w:b w:val="0"/>
          <w:color w:val="000000"/>
          <w:sz w:val="19"/>
        </w:rPr>
        <w:t>Reference Section 2.4. Source page(s): 3, 4.</w:t>
      </w:r>
    </w:p>
    <w:p>
      <w:pPr>
        <w:keepNext/>
      </w:pPr>
      <w:r>
        <w:rPr>
          <w:rFonts w:ascii="Arial" w:hAnsi="Arial" w:eastAsia="Arial" w:cs="Arial"/>
          <w:b w:val="0"/>
          <w:color w:val="000000"/>
          <w:sz w:val="22"/>
        </w:rPr>
        <w:t>EC_lag12 is forced into the short-run model. Under the reconstructed capped candidate pool, forward selection adds y_lag1, y_lag6, then CorpProfits_lag3. The final model uses 135 observations and includes an intercept.</w:t>
      </w:r>
    </w:p>
    <w:p>
      <w:pPr>
        <w:keepNext/>
      </w:pPr>
      <w:r>
        <w:rPr>
          <w:rFonts w:ascii="Arial" w:hAnsi="Arial" w:eastAsia="Arial" w:cs="Arial"/>
          <w:b w:val="0"/>
          <w:color w:val="000000"/>
          <w:sz w:val="20"/>
        </w:rPr>
        <w:t>Numerical claims: 30. Matches: 28. Differences: 2.</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N031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Intercept</w:t>
              <w:br/>
              <w:t>Coefficient</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2.514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2.513864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-0.000136</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N032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Intercept</w:t>
              <w:br/>
              <w:t>p-value</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0.005210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+0.000210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N033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EC_lag12</w:t>
              <w:br/>
              <w:t>Coefficient</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-0.0546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-0.054608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-0.000008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N034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EC_lag12</w:t>
              <w:br/>
              <w:t>p-value</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7.444e-15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N035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EC_lag12</w:t>
              <w:br/>
              <w:t>VIF</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1.22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1.224835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+0.004835</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N036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y_lag1</w:t>
              <w:br/>
              <w:t>Coefficient</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0.366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0.365935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-0.000065</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N037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y_lag1</w:t>
              <w:br/>
              <w:t>p-value</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6.984e-07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N038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y_lag1</w:t>
              <w:br/>
              <w:t>VIF</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2.29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2.291355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+0.001355</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N039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y_lag6</w:t>
              <w:br/>
              <w:t>Coefficient</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0.220251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+0.000251</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N040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y_lag6</w:t>
              <w:br/>
              <w:t>p-value</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0.000038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N041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y_lag6</w:t>
              <w:br/>
              <w:t>VIF</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1.26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1.264738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+0.004738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N042</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CorpProfits_lag3</w:t>
              <w:br/>
              <w:t>Coefficient</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0.214</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0.213477</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-0.000523</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N043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CorpProfits_lag3</w:t>
              <w:br/>
              <w:t>p-value</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0.024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0.023587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-0.000413</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N044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CorpProfits_lag3</w:t>
              <w:br/>
              <w:t>VIF</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2.09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2.090603</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+0.000603</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N137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y_lag1</w:t>
              <w:br/>
              <w:t>Adjusted R squared</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0.665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0.665033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+0.000033</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N138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y_lag6</w:t>
              <w:br/>
              <w:t>Adjusted R squared</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0.704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0.703816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-0.000184</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N139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CorpProfits_lag3</w:t>
              <w:br/>
              <w:t>Adjusted R squared</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0.713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0.713118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+0.000118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N204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Intercept</w:t>
              <w:br/>
              <w:t>Equation coefficient</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2.514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2.513864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-0.000136</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N205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EC_lag12</w:t>
              <w:br/>
              <w:t>Equation coefficient</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-0.0546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-0.054608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-0.000008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N206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y_lag1</w:t>
              <w:br/>
              <w:t>Equation coefficient</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0.366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0.365935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-0.000065</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N207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y_lag6</w:t>
              <w:br/>
              <w:t>Equation coefficient</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0.220</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0.220251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+0.000251</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N208</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CorpProfits_lag3</w:t>
              <w:br/>
              <w:t>Equation coefficient</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0.214</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0.213477</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-0.000523</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N209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Short run</w:t>
              <w:br/>
              <w:t>R squared</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.722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0.721682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-0.000318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N210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Short run</w:t>
              <w:br/>
              <w:t>Adjusted R squared</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.713</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0.713118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+0.000118</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N211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Short run</w:t>
              <w:br/>
              <w:t>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135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135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N212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Short run</w:t>
              <w:br/>
              <w:t>AIC</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940.5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940.541891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+0.041891</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N213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Short run</w:t>
              <w:br/>
              <w:t>Durbin Watson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2.075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2.074784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-0.000216</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N214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Short run</w:t>
              <w:br/>
              <w:t>Jarque Bera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.935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0.934819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-0.000181</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N215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IS reconstruction</w:t>
              <w:br/>
              <w:t>MAPE</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5.56%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5.557508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-0.002492</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N216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IS reconstruction</w:t>
              <w:br/>
              <w:t>RMSE</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110.4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110.428118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+0.028118</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The only numerical differences are the two printed occurrences of the CorpProfits_lag3 coefficient. Its reproduced value is 0.213477, which rounds to 0.213 at three decimals, not 0.214. The p-value, VIF and final model diagnostics match.</w:t>
      </w:r>
    </w:p>
    <w:p>
      <w:pPr>
        <w:keepNext w:val="0"/>
      </w:pPr>
      <w:r>
        <w:rPr>
          <w:rFonts w:ascii="Arial" w:hAnsi="Arial" w:eastAsia="Arial" w:cs="Arial"/>
          <w:b w:val="0"/>
          <w:color w:val="000000"/>
          <w:sz w:val="22"/>
        </w:rPr>
        <w:t>The source says no further variable qualifies after the third addition, which is reproduced for the inferred pool. Comparing adjusted R squared across rounds also requires attention to the changing sample: the base has 141 observations, the first addition 140, and the second and third 135. A common 129-observation candidate sample instead retains EC_lag12, y_lag1 and y_lag6 without CorpProfits_lag3. Neither this sensitivity nor an alternative cap ranking replaces the displayed reconstruction.</w:t>
      </w:r>
    </w:p>
    <w:p>
      <w:pPr>
        <w:pStyle w:val="Heading1"/>
      </w:pPr>
      <w:r>
        <w:t>Section 3 Out of time backtest</w:t>
      </w:r>
    </w:p>
    <w:p>
      <w:pPr>
        <w:keepNext/>
      </w:pPr>
      <w:r>
        <w:rPr>
          <w:rFonts w:ascii="Arial" w:hAnsi="Arial" w:eastAsia="Arial" w:cs="Arial"/>
          <w:b w:val="0"/>
          <w:color w:val="000000"/>
          <w:sz w:val="19"/>
        </w:rPr>
        <w:t>Reference Section 3. Source page(s): 4.</w:t>
      </w:r>
    </w:p>
    <w:p>
      <w:pPr>
        <w:keepNext/>
      </w:pPr>
      <w:r>
        <w:rPr>
          <w:rFonts w:ascii="Arial" w:hAnsi="Arial" w:eastAsia="Arial" w:cs="Arial"/>
          <w:b w:val="0"/>
          <w:color w:val="000000"/>
          <w:sz w:val="22"/>
        </w:rPr>
        <w:t>All four reported performance values match. The OOT window is October 2023 through December 2025, n = 27. Metrics are evaluated on reconstructed income levels, not on the percentage-change response.</w:t>
      </w:r>
    </w:p>
    <w:p>
      <w:pPr>
        <w:keepNext/>
      </w:pPr>
      <w:r>
        <w:rPr>
          <w:rFonts w:ascii="Arial" w:hAnsi="Arial" w:eastAsia="Arial" w:cs="Arial"/>
          <w:b w:val="0"/>
          <w:color w:val="000000"/>
          <w:sz w:val="20"/>
        </w:rPr>
        <w:t>Numerical claims: 4. Matches: 4. Differences: 0.</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N140</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Static one step</w:t>
              <w:br/>
              <w:t>RMSE</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485.8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485.812932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+0.012932</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N141</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Static one step</w:t>
              <w:br/>
              <w:t>MAPE</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19.15%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19.147335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-0.002665</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N142</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Dynamic recursive</w:t>
              <w:br/>
              <w:t>RMSE</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628.2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628.180125</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-0.019875</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N143</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Dynamic recursive</w:t>
              <w:br/>
              <w:t>MAPE</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25.62%</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25.624645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+0.004645</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Static one-step reconstruction uses the observed history available before each target month. The dynamic recursive version updates predicted income levels, income growth and EC after the forecast origin, without substituting future actual EC. The supplied macro paths are taken as given, so these are conditional forecasts rather than evaluations of macro-forecast accuracy. The source OOT period had already influenced feature selection.</w:t>
      </w:r>
    </w:p>
    <w:p>
      <w:pPr>
        <w:pStyle w:val="Heading1"/>
      </w:pPr>
      <w:r>
        <w:t>Section 4 Error correction diagnosis</w:t>
      </w:r>
    </w:p>
    <w:p>
      <w:pPr>
        <w:keepNext/>
      </w:pPr>
      <w:r>
        <w:rPr>
          <w:rFonts w:ascii="Arial" w:hAnsi="Arial" w:eastAsia="Arial" w:cs="Arial"/>
          <w:b w:val="0"/>
          <w:color w:val="000000"/>
          <w:sz w:val="19"/>
        </w:rPr>
        <w:t>Reference Section 4. Source page(s): 4.</w:t>
      </w:r>
    </w:p>
    <w:p>
      <w:pPr>
        <w:keepNext/>
      </w:pPr>
      <w:r>
        <w:rPr>
          <w:rFonts w:ascii="Arial" w:hAnsi="Arial" w:eastAsia="Arial" w:cs="Arial"/>
          <w:b w:val="0"/>
          <w:color w:val="000000"/>
          <w:sz w:val="22"/>
        </w:rPr>
        <w:t>EC is actual Combined income minus the frozen IS long-run macro baseline. This section summarizes current EC in income units, not EC_lag12 or percentage changes. IS includes all 153 level observations; OOT includes 27. Standard deviations use the sample convention with denominator n minus 1.</w:t>
      </w:r>
    </w:p>
    <w:p>
      <w:pPr>
        <w:keepNext/>
      </w:pPr>
      <w:r>
        <w:rPr>
          <w:rFonts w:ascii="Arial" w:hAnsi="Arial" w:eastAsia="Arial" w:cs="Arial"/>
          <w:b w:val="0"/>
          <w:color w:val="000000"/>
          <w:sz w:val="20"/>
        </w:rPr>
        <w:t>Numerical claims: 8. Matches: 7. Differences: 1.</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N144</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IS</w:t>
              <w:br/>
              <w:t>Mean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2.051e-13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N145</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IS</w:t>
              <w:br/>
              <w:t>Sample SD</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120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120.312560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+0.312560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N146</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OOT</w:t>
              <w:br/>
              <w:t>Mean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-510</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-510.048276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-0.048276</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N147</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OOT</w:t>
              <w:br/>
              <w:t>Sample SD</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265</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264.935329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-0.064671</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N148</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2023</w:t>
              <w:br/>
              <w:t>Mean</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-62</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-101.876363</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-39.876363</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N149</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2024</w:t>
              <w:br/>
              <w:t>Mean</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-399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-399.309223</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-0.309223</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N150</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2025</w:t>
              <w:br/>
              <w:t>Mean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-723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-722.830306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+0.169694</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N217</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EC IS</w:t>
              <w:br/>
              <w:t>Sample SD</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120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120.312560</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+0.312560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48"/>
        <w:gridCol w:w="936"/>
        <w:gridCol w:w="3240"/>
      </w:tblGrid>
      <w:tr>
        <w:trPr>
          <w:cantSplit/>
          <w:tblHeader w:val="true"/>
        </w:trPr>
        <w:tc>
          <w:tcPr>
            <w:tcW w:type="dxa" w:w="604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2023 period definition</w:t>
            </w:r>
          </w:p>
        </w:tc>
        <w:tc>
          <w:tcPr>
            <w:tcW w:type="dxa" w:w="936"/>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Months</w:t>
            </w:r>
          </w:p>
        </w:tc>
        <w:tc>
          <w:tcPr>
            <w:tcW w:type="dxa" w:w="32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 mean EC</w:t>
            </w:r>
          </w:p>
        </w:tc>
      </w:tr>
      <w:tr>
        <w:trPr>
          <w:cantSplit/>
        </w:trPr>
        <w:tc>
          <w:tcPr>
            <w:tcW w:type="dxa" w:w="6048"/>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OOT portion October through December</w:t>
            </w:r>
          </w:p>
        </w:tc>
        <w:tc>
          <w:tcPr>
            <w:tcW w:type="dxa" w:w="936"/>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3</w:t>
            </w:r>
          </w:p>
        </w:tc>
        <w:tc>
          <w:tcPr>
            <w:tcW w:type="dxa" w:w="3240"/>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-101.876363</w:t>
            </w:r>
          </w:p>
        </w:tc>
      </w:tr>
      <w:tr>
        <w:trPr>
          <w:cantSplit/>
        </w:trPr>
        <w:tc>
          <w:tcPr>
            <w:tcW w:type="dxa" w:w="6048"/>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Full year January through December</w:t>
            </w:r>
          </w:p>
        </w:tc>
        <w:tc>
          <w:tcPr>
            <w:tcW w:type="dxa" w:w="936"/>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12</w:t>
            </w:r>
          </w:p>
        </w:tc>
        <w:tc>
          <w:tcPr>
            <w:tcW w:type="dxa" w:w="3240"/>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-61.543162</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The reported 2023 partial value of -62 matches the full-year mean -61.543162, not the OOT three-month mean -101.876363. Either change the label to the full year or report approximately -102 for the partial OOT year.</w:t>
      </w:r>
    </w:p>
    <w:p>
      <w:pPr>
        <w:keepNext w:val="0"/>
      </w:pPr>
      <w:r>
        <w:rPr>
          <w:rFonts w:ascii="Arial" w:hAnsi="Arial" w:eastAsia="Arial" w:cs="Arial"/>
          <w:b w:val="0"/>
          <w:color w:val="000000"/>
          <w:sz w:val="22"/>
        </w:rPr>
        <w:t>OOT EC remains negative, but is not monotonically declining. Across its 26 month-to-month changes, 11 increase and 15 decrease. The appropriate description is an overall downward movement with monthly fluctuations. The frozen baseline exceeds actual income by about 510 income units on average during OOT; this describes a deviation and does not by itself identify its business cause.</w:t>
      </w:r>
    </w:p>
    <w:p>
      <w:pPr>
        <w:pStyle w:val="Heading1"/>
      </w:pPr>
      <w:r>
        <w:t>Section 5 1 CUSUM coefficient stability test</w:t>
      </w:r>
    </w:p>
    <w:p>
      <w:pPr>
        <w:keepNext/>
      </w:pPr>
      <w:r>
        <w:rPr>
          <w:rFonts w:ascii="Arial" w:hAnsi="Arial" w:eastAsia="Arial" w:cs="Arial"/>
          <w:b w:val="0"/>
          <w:color w:val="000000"/>
          <w:sz w:val="19"/>
        </w:rPr>
        <w:t>Reference Section 5.1. Source page(s): 4.</w:t>
      </w:r>
    </w:p>
    <w:p>
      <w:pPr>
        <w:keepNext/>
      </w:pPr>
      <w:r>
        <w:rPr>
          <w:rFonts w:ascii="Arial" w:hAnsi="Arial" w:eastAsia="Arial" w:cs="Arial"/>
          <w:b w:val="0"/>
          <w:color w:val="000000"/>
          <w:sz w:val="22"/>
        </w:rPr>
        <w:t>The reported numbers use a residual-based CUSUM test with a degrees-of-freedom adjustment of 3, reflecting the intercept and two regressors. The long-run level equation is re-estimated separately on IS, n = 153, and the full January 2011 to December 2025 sample, n = 180.</w:t>
      </w:r>
    </w:p>
    <w:p>
      <w:pPr>
        <w:keepNext/>
      </w:pPr>
      <w:r>
        <w:rPr>
          <w:rFonts w:ascii="Arial" w:hAnsi="Arial" w:eastAsia="Arial" w:cs="Arial"/>
          <w:b w:val="0"/>
          <w:color w:val="000000"/>
          <w:sz w:val="20"/>
        </w:rPr>
        <w:t>Numerical claims: 4. Matches: 4. Differences: 0.</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N151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IS</w:t>
              <w:br/>
              <w:t>Statistic</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0.951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0.950693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-0.000307</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N152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IS</w:t>
              <w:br/>
              <w:t>p-value</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0.327</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0.326636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-0.000364</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N153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Full sample</w:t>
              <w:br/>
              <w:t>Statistic</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2.173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2.173068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+0.000068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N154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Full sample</w:t>
              <w:br/>
              <w:t>p-value</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0.0002</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0.000158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-0.000042</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All values match. The IS result does not reject stability at 5 percent, whereas the full-sample result rejects it. Non-rejection is not proof of stability. The full-sample test is retrospective and is not calculated merely by appending the Section 4 frozen-baseline EC values.</w:t>
      </w:r>
    </w:p>
    <w:p>
      <w:pPr>
        <w:pStyle w:val="Heading1"/>
      </w:pPr>
      <w:r>
        <w:t>Section 5 2 Chow break tests</w:t>
      </w:r>
    </w:p>
    <w:p>
      <w:pPr>
        <w:keepNext/>
      </w:pPr>
      <w:r>
        <w:rPr>
          <w:rFonts w:ascii="Arial" w:hAnsi="Arial" w:eastAsia="Arial" w:cs="Arial"/>
          <w:b w:val="0"/>
          <w:color w:val="000000"/>
          <w:sz w:val="19"/>
        </w:rPr>
        <w:t>Reference Section 5.2. Source page(s): 5.</w:t>
      </w:r>
    </w:p>
    <w:p>
      <w:pPr>
        <w:keepNext/>
      </w:pPr>
      <w:r>
        <w:rPr>
          <w:rFonts w:ascii="Arial" w:hAnsi="Arial" w:eastAsia="Arial" w:cs="Arial"/>
          <w:b w:val="0"/>
          <w:color w:val="000000"/>
          <w:sz w:val="22"/>
        </w:rPr>
        <w:t>For each reported break date, the pooled model and the pre-break and post-break models all use the same level specification with an intercept, CPI and SBOpt. The pooled sample has 180 observations; the break month belongs to the post-break period. Each F test compares three coefficients, with denominator degrees of freedom 174.</w:t>
      </w:r>
    </w:p>
    <w:p>
      <w:pPr>
        <w:keepNext/>
      </w:pPr>
      <w:r>
        <w:rPr>
          <w:rFonts w:ascii="Arial" w:hAnsi="Arial" w:eastAsia="Arial" w:cs="Arial"/>
          <w:b w:val="0"/>
          <w:color w:val="000000"/>
          <w:sz w:val="20"/>
        </w:rPr>
        <w:t>Numerical claims: 16. Matches: 16. Differences: 0.</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N155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2023-01-01</w:t>
              <w:br/>
              <w:t>F statistic</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88.1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88.103789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+0.003789</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N156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2023-01-01</w:t>
              <w:br/>
              <w:t>p-value</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1.020e-34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N157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2023-01-01</w:t>
              <w:br/>
              <w:t>Pre break 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144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144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N158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2023-01-01</w:t>
              <w:br/>
              <w:t>Post break n</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36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36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N159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2023-10-01</w:t>
              <w:br/>
              <w:t>F statistic</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85.39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85.390824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+0.000824</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N160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2023-10-01</w:t>
              <w:br/>
              <w:t>p-value</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5.177e-34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N161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2023-10-01</w:t>
              <w:br/>
              <w:t>Pre break 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153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153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N162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2023-10-01</w:t>
              <w:br/>
              <w:t>Post break n</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27</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27</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N163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2024-01-01</w:t>
              <w:br/>
              <w:t>F statistic</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85.44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85.438169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-0.001831</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N164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2024-01-01</w:t>
              <w:br/>
              <w:t>p-value</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5.031e-34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N165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2024-01-01</w:t>
              <w:br/>
              <w:t>Pre break 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156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156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N166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2024-01-01</w:t>
              <w:br/>
              <w:t>Post break n</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N167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2024-07-01</w:t>
              <w:br/>
              <w:t>F statistic</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66.24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66.243188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+0.003188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N168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2024-07-01</w:t>
              <w:br/>
              <w:t>p-value</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1.277e-28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N169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2024-07-01</w:t>
              <w:br/>
              <w:t>Pre break n</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162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162</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N170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2024-07-01</w:t>
              <w:br/>
              <w:t>Post break n</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All reported F statistics, p-value inequalities and pre/post counts match. These are conventional Chow tests; the results do not establish that the errors satisfy every classical test assumption. Testing several candidate dates and also running CUSUM does not make the resulting evidence statistically independent.</w:t>
      </w:r>
    </w:p>
    <w:p>
      <w:pPr>
        <w:pStyle w:val="Heading1"/>
      </w:pPr>
      <w:r>
        <w:t>Section 5 3 Rolling window coefficients</w:t>
      </w:r>
    </w:p>
    <w:p>
      <w:pPr>
        <w:keepNext/>
      </w:pPr>
      <w:r>
        <w:rPr>
          <w:rFonts w:ascii="Arial" w:hAnsi="Arial" w:eastAsia="Arial" w:cs="Arial"/>
          <w:b w:val="0"/>
          <w:color w:val="000000"/>
          <w:sz w:val="19"/>
        </w:rPr>
        <w:t>Reference Section 5.3. Source page(s): 5.</w:t>
      </w:r>
    </w:p>
    <w:p>
      <w:pPr>
        <w:keepNext/>
      </w:pPr>
      <w:r>
        <w:rPr>
          <w:rFonts w:ascii="Arial" w:hAnsi="Arial" w:eastAsia="Arial" w:cs="Arial"/>
          <w:b w:val="0"/>
          <w:color w:val="000000"/>
          <w:sz w:val="22"/>
        </w:rPr>
        <w:t>Each endpoint uses the 30 calendar months ending in that month, inclusive. The intercept and both slopes are re-estimated in every window. The target and CPI/SBOpt regressors are levels. There is no new forward selection and the coefficients are not frozen as in Section 4.</w:t>
      </w:r>
    </w:p>
    <w:p>
      <w:pPr>
        <w:keepNext/>
      </w:pPr>
      <w:r>
        <w:rPr>
          <w:rFonts w:ascii="Arial" w:hAnsi="Arial" w:eastAsia="Arial" w:cs="Arial"/>
          <w:b w:val="0"/>
          <w:color w:val="000000"/>
          <w:sz w:val="20"/>
        </w:rPr>
        <w:t>Numerical claims: 13. Matches: 11. Differences: 2.</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N171</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2022-06</w:t>
              <w:br/>
              <w:t>CPI</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26.9</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31.253766</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+4.353766</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N172</w:t>
            </w:r>
          </w:p>
        </w:tc>
        <w:tc>
          <w:tcPr>
            <w:tcW w:type="dxa" w:w="3384"/>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000000"/>
                <w:sz w:val="20"/>
              </w:rPr>
              <w:t>2022-06</w:t>
              <w:br/>
              <w:t>SBOpt</w:t>
            </w:r>
          </w:p>
        </w:tc>
        <w:tc>
          <w:tcPr>
            <w:tcW w:type="dxa" w:w="1368"/>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27.7</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26.877869</w:t>
            </w:r>
          </w:p>
        </w:tc>
        <w:tc>
          <w:tcPr>
            <w:tcW w:type="dxa" w:w="1642"/>
            <w:vAlign w:val="center"/>
            <w:tcMar>
              <w:top w:w="75" w:type="dxa"/>
              <w:bottom w:w="75" w:type="dxa"/>
              <w:left w:w="85" w:type="dxa"/>
              <w:right w:w="85" w:type="dxa"/>
            </w:tcMar>
            <w:shd w:fill="FFF1DD"/>
          </w:tcPr>
          <w:p>
            <w:pPr>
              <w:keepNext w:val="0"/>
              <w:spacing w:before="0" w:after="0" w:line="247" w:lineRule="auto"/>
              <w:jc w:val="right"/>
            </w:pPr>
            <w:r>
              <w:rPr>
                <w:rFonts w:ascii="Arial" w:hAnsi="Arial" w:eastAsia="Arial" w:cs="Arial"/>
                <w:b w:val="0"/>
                <w:color w:val="9E3A20"/>
                <w:sz w:val="20"/>
              </w:rPr>
              <w:t>-0.822131</w:t>
            </w:r>
          </w:p>
        </w:tc>
        <w:tc>
          <w:tcPr>
            <w:tcW w:type="dxa" w:w="1440"/>
            <w:vAlign w:val="center"/>
            <w:tcMar>
              <w:top w:w="75" w:type="dxa"/>
              <w:bottom w:w="75" w:type="dxa"/>
              <w:left w:w="85" w:type="dxa"/>
              <w:right w:w="85" w:type="dxa"/>
            </w:tcMar>
            <w:shd w:fill="FFF1DD"/>
          </w:tcPr>
          <w:p>
            <w:pPr>
              <w:keepNext w:val="0"/>
              <w:spacing w:before="0" w:after="0" w:line="247" w:lineRule="auto"/>
              <w:jc w:val="left"/>
            </w:pPr>
            <w:r>
              <w:rPr>
                <w:rFonts w:ascii="Arial" w:hAnsi="Arial" w:eastAsia="Arial" w:cs="Arial"/>
                <w:b w:val="0"/>
                <w:color w:val="9E3A20"/>
                <w:sz w:val="20"/>
              </w:rPr>
              <w:t>Different</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N173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2023-06</w:t>
              <w:br/>
              <w:t>CPI</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24.6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24.557376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-0.042624</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N174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2023-06</w:t>
              <w:br/>
              <w:t>SBOpt</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17.4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17.373068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-0.026932</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N175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2023-09</w:t>
              <w:br/>
              <w:t>CPI</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8.9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8.921868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+0.021868</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N176</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2023-09</w:t>
              <w:br/>
              <w:t>SBOpt</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-24.6</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-24.571987</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+0.028013</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N177</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2024-06</w:t>
              <w:br/>
              <w:t>CPI</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-1.261353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+0.038647</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N178</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2024-06</w:t>
              <w:br/>
              <w:t>SBOpt</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-34.8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-34.833178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-0.033178</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N179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2025-06</w:t>
              <w:br/>
              <w:t>CPI</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-6.6</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-6.626093</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-0.026093</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N180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2025-06</w:t>
              <w:br/>
              <w:t>SBOpt</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-15.4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-15.353032</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+0.046968</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N181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2025-12</w:t>
              <w:br/>
              <w:t>CPI</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-11.9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-11.931380</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-0.031380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N182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2025-12</w:t>
              <w:br/>
              <w:t>SBOpt</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-11.4</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-11.351428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+0.048572</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N218</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rolling</w:t>
              <w:br/>
              <w:t>window months</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30</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30</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Ten of the 12 printed slopes match. Both slopes at June 2022 differ. The stated window is January 2020 through June 2022; it gives CPI = 31.253766 and SBOpt = 26.877869, or 31.3 and 26.9 at the source precision. Testing 24-, 30- and 36-month windows with all 12 endpoints in 2022 did not reproduce the reported pair 26.9 and 27.7. The cause of this row remains unresolved.</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2880"/>
        <w:gridCol w:w="2880"/>
      </w:tblGrid>
      <w:tr>
        <w:trPr>
          <w:cantSplit/>
          <w:tblHeader w:val="true"/>
        </w:trPr>
        <w:tc>
          <w:tcPr>
            <w:tcW w:type="dxa" w:w="446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Window endpoint</w:t>
            </w:r>
          </w:p>
        </w:tc>
        <w:tc>
          <w:tcPr>
            <w:tcW w:type="dxa" w:w="288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CPI p</w:t>
            </w:r>
          </w:p>
        </w:tc>
        <w:tc>
          <w:tcPr>
            <w:tcW w:type="dxa" w:w="288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SBOpt p</w:t>
            </w:r>
          </w:p>
        </w:tc>
      </w:tr>
      <w:tr>
        <w:trPr>
          <w:cantSplit/>
        </w:trPr>
        <w:tc>
          <w:tcPr>
            <w:tcW w:type="dxa" w:w="446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2024-06</w:t>
            </w:r>
          </w:p>
        </w:tc>
        <w:tc>
          <w:tcPr>
            <w:tcW w:type="dxa" w:w="2880"/>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0.740352</w:t>
            </w:r>
          </w:p>
        </w:tc>
        <w:tc>
          <w:tcPr>
            <w:tcW w:type="dxa" w:w="2880"/>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0.055956</w:t>
            </w:r>
          </w:p>
        </w:tc>
      </w:tr>
      <w:tr>
        <w:trPr>
          <w:cantSplit/>
        </w:trPr>
        <w:tc>
          <w:tcPr>
            <w:tcW w:type="dxa" w:w="446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2025-06</w:t>
            </w:r>
          </w:p>
        </w:tc>
        <w:tc>
          <w:tcPr>
            <w:tcW w:type="dxa" w:w="2880"/>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0.159715</w:t>
            </w:r>
          </w:p>
        </w:tc>
        <w:tc>
          <w:tcPr>
            <w:tcW w:type="dxa" w:w="2880"/>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0.024418</w:t>
            </w:r>
          </w:p>
        </w:tc>
      </w:tr>
      <w:tr>
        <w:trPr>
          <w:cantSplit/>
        </w:trPr>
        <w:tc>
          <w:tcPr>
            <w:tcW w:type="dxa" w:w="446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2025-12</w:t>
            </w:r>
          </w:p>
        </w:tc>
        <w:tc>
          <w:tcPr>
            <w:tcW w:type="dxa" w:w="2880"/>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0.030092</w:t>
            </w:r>
          </w:p>
        </w:tc>
        <w:tc>
          <w:tcPr>
            <w:tcW w:type="dxa" w:w="2880"/>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0.103381</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Estimated coefficient sign changes are reproduced, but not every negative estimate is significant. For example, the June 2024 CPI slope is -1.261353 with conventional OLS p = 0.740352. A more precise description is that rolling estimates change materially and cross zero; the coefficient table alone does not prove a significant economic reversal. Later windows include OOT observations and are retrospective diagnostics.</w:t>
      </w:r>
    </w:p>
    <w:p>
      <w:pPr>
        <w:pStyle w:val="Heading1"/>
      </w:pPr>
      <w:r>
        <w:t>Section 6 1 Full OOT trend diagnostic</w:t>
      </w:r>
    </w:p>
    <w:p>
      <w:pPr>
        <w:keepNext/>
      </w:pPr>
      <w:r>
        <w:rPr>
          <w:rFonts w:ascii="Arial" w:hAnsi="Arial" w:eastAsia="Arial" w:cs="Arial"/>
          <w:b w:val="0"/>
          <w:color w:val="000000"/>
          <w:sz w:val="19"/>
        </w:rPr>
        <w:t>Reference Section 6.1. Source page(s): 5.</w:t>
      </w:r>
    </w:p>
    <w:p>
      <w:pPr>
        <w:keepNext/>
      </w:pPr>
      <w:r>
        <w:rPr>
          <w:rFonts w:ascii="Arial" w:hAnsi="Arial" w:eastAsia="Arial" w:cs="Arial"/>
          <w:b w:val="0"/>
          <w:color w:val="000000"/>
          <w:sz w:val="22"/>
        </w:rPr>
        <w:t>A linear trend is fitted to the 27 monthly EC observations from October 2023 through December 2025. The slope is expressed in income units per month. This is a retrospective fit, not an out-of-sample forecast.</w:t>
      </w:r>
    </w:p>
    <w:p>
      <w:pPr>
        <w:keepNext/>
      </w:pPr>
      <w:r>
        <w:rPr>
          <w:rFonts w:ascii="Arial" w:hAnsi="Arial" w:eastAsia="Arial" w:cs="Arial"/>
          <w:b w:val="0"/>
          <w:color w:val="000000"/>
          <w:sz w:val="20"/>
        </w:rPr>
        <w:t>Numerical claims: 3. Matches: 3. Differences: 0.</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N219</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Full OOT</w:t>
              <w:br/>
              <w:t>Trend slope</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-29.44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-29.441591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-0.001591</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N220</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Full OOT</w:t>
              <w:br/>
              <w:t>Slope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1.196e-09</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N221</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Full OOT</w:t>
              <w:br/>
              <w:t>R squared</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.778</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0.778007</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+0.000007</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pStyle w:val="Heading1"/>
      </w:pPr>
      <w:r>
        <w:t>Section 6 2 Baseline plus overlay validation</w:t>
      </w:r>
    </w:p>
    <w:p>
      <w:pPr>
        <w:keepNext/>
      </w:pPr>
      <w:r>
        <w:rPr>
          <w:rFonts w:ascii="Arial" w:hAnsi="Arial" w:eastAsia="Arial" w:cs="Arial"/>
          <w:b w:val="0"/>
          <w:color w:val="000000"/>
          <w:sz w:val="19"/>
        </w:rPr>
        <w:t>Reference Section 6.2. Source page(s): 5.</w:t>
      </w:r>
    </w:p>
    <w:p>
      <w:pPr>
        <w:keepNext/>
      </w:pPr>
      <w:r>
        <w:rPr>
          <w:rFonts w:ascii="Arial" w:hAnsi="Arial" w:eastAsia="Arial" w:cs="Arial"/>
          <w:b w:val="0"/>
          <w:color w:val="000000"/>
          <w:sz w:val="22"/>
        </w:rPr>
        <w:t>The overlay trend is fitted on the first 18 OOT months, October 2023 through March 2025, then extrapolated over the final nine months, April through December 2025. The frozen long-run macro baseline is combined with this extrapolated EC adjustment to form an income-level prediction.</w:t>
      </w:r>
    </w:p>
    <w:p>
      <w:pPr>
        <w:keepNext/>
      </w:pPr>
      <w:r>
        <w:rPr>
          <w:rFonts w:ascii="Arial" w:hAnsi="Arial" w:eastAsia="Arial" w:cs="Arial"/>
          <w:b w:val="0"/>
          <w:color w:val="000000"/>
          <w:sz w:val="20"/>
        </w:rPr>
        <w:t>Numerical claims: 5. Matches: 5. Differences: 0.</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384"/>
        <w:gridCol w:w="1368"/>
        <w:gridCol w:w="1642"/>
        <w:gridCol w:w="1642"/>
        <w:gridCol w:w="1440"/>
      </w:tblGrid>
      <w:tr>
        <w:trPr>
          <w:cantSplit/>
          <w:tblHeader w:val="true"/>
        </w:trPr>
        <w:tc>
          <w:tcPr>
            <w:tcW w:type="dxa" w:w="74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ID</w:t>
            </w:r>
          </w:p>
        </w:tc>
        <w:tc>
          <w:tcPr>
            <w:tcW w:type="dxa" w:w="33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Result</w:t>
            </w:r>
          </w:p>
        </w:tc>
        <w:tc>
          <w:tcPr>
            <w:tcW w:type="dxa" w:w="136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Reported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Reproduced</w:t>
            </w:r>
          </w:p>
        </w:tc>
        <w:tc>
          <w:tcPr>
            <w:tcW w:type="dxa" w:w="1642"/>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Difference</w:t>
            </w:r>
          </w:p>
        </w:tc>
        <w:tc>
          <w:tcPr>
            <w:tcW w:type="dxa" w:w="1440"/>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Check</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N183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First 18 months</w:t>
              <w:br/>
              <w:t>Trend slope</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-34.54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-34.535534</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+0.004466</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N184</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First 18 months</w:t>
              <w:br/>
              <w:t>Slope p</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&lt;0.0001</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0.000023</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n/a</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N185</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heldout9</w:t>
              <w:br/>
              <w:t>MAPE</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5.91%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5.906481</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-0.003519</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N222</w:t>
            </w:r>
          </w:p>
        </w:tc>
        <w:tc>
          <w:tcPr>
            <w:tcW w:type="dxa" w:w="338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overlay</w:t>
              <w:br/>
              <w:t>fit months</w:t>
            </w:r>
          </w:p>
        </w:tc>
        <w:tc>
          <w:tcPr>
            <w:tcW w:type="dxa" w:w="136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18</w:t>
            </w:r>
          </w:p>
        </w:tc>
        <w:tc>
          <w:tcPr>
            <w:tcW w:type="dxa" w:w="1642"/>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Match</w:t>
            </w:r>
          </w:p>
        </w:tc>
      </w:tr>
      <w:tr>
        <w:trPr>
          <w:cantSplit/>
        </w:trPr>
        <w:tc>
          <w:tcPr>
            <w:tcW w:type="dxa" w:w="749"/>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N223</w:t>
            </w:r>
          </w:p>
        </w:tc>
        <w:tc>
          <w:tcPr>
            <w:tcW w:type="dxa" w:w="338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overlay</w:t>
              <w:br/>
              <w:t>heldout months</w:t>
            </w:r>
          </w:p>
        </w:tc>
        <w:tc>
          <w:tcPr>
            <w:tcW w:type="dxa" w:w="136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9</w:t>
            </w:r>
          </w:p>
        </w:tc>
        <w:tc>
          <w:tcPr>
            <w:tcW w:type="dxa" w:w="1642"/>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20"/>
              </w:rPr>
              <w:t>0</w:t>
            </w:r>
          </w:p>
        </w:tc>
        <w:tc>
          <w:tcPr>
            <w:tcW w:type="dxa" w:w="1440"/>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Match</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All reported numbers match. The nine-month MAPE is 5.906481 percent and the additional, unreported RMSE is 155.131479 in income units. The last nine months are held out from trend-parameter fitting, but earlier model and feature choices used OOT information. The result is therefore a conditional nine-month holdout for the overlay parameters, not an untouched end-to-end validation. The claim that no OOT observation fits any coefficient does not apply to this overlay stage.</w:t>
      </w:r>
    </w:p>
    <w:p>
      <w:pPr>
        <w:pStyle w:val="Heading1"/>
      </w:pPr>
      <w:r>
        <w:t>Appendix A Long run forward trials</w:t>
      </w:r>
    </w:p>
    <w:p>
      <w:pPr>
        <w:keepNext w:val="0"/>
      </w:pPr>
      <w:r>
        <w:rPr>
          <w:rFonts w:ascii="Arial" w:hAnsi="Arial" w:eastAsia="Arial" w:cs="Arial"/>
          <w:b w:val="0"/>
          <w:color w:val="000000"/>
          <w:sz w:val="22"/>
        </w:rPr>
        <w:t>The source reports the selected rounds only. The following 15 trials explain how the reconstructed selection path is obtained; unselected-trial numbers have no reported counterpart. Maximum VIF excludes the intercept. All trials use n = 153.</w:t>
      </w:r>
    </w:p>
    <w:p>
      <w:pPr>
        <w:pStyle w:val="Heading2"/>
      </w:pPr>
      <w:r>
        <w:t>Round 1 Intercept only</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584"/>
        <w:gridCol w:w="1613"/>
        <w:gridCol w:w="979"/>
        <w:gridCol w:w="1728"/>
        <w:gridCol w:w="2304"/>
      </w:tblGrid>
      <w:tr>
        <w:trPr>
          <w:cantSplit/>
          <w:tblHeader w:val="true"/>
        </w:trPr>
        <w:tc>
          <w:tcPr>
            <w:tcW w:type="dxa" w:w="2016"/>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Candidate</w:t>
            </w:r>
          </w:p>
        </w:tc>
        <w:tc>
          <w:tcPr>
            <w:tcW w:type="dxa" w:w="15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Added p</w:t>
            </w:r>
          </w:p>
        </w:tc>
        <w:tc>
          <w:tcPr>
            <w:tcW w:type="dxa" w:w="1613"/>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Adj R squared</w:t>
            </w:r>
          </w:p>
        </w:tc>
        <w:tc>
          <w:tcPr>
            <w:tcW w:type="dxa" w:w="97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Max VIF</w:t>
            </w:r>
          </w:p>
        </w:tc>
        <w:tc>
          <w:tcPr>
            <w:tcW w:type="dxa" w:w="172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Residual ADF p</w:t>
            </w:r>
          </w:p>
        </w:tc>
        <w:tc>
          <w:tcPr>
            <w:tcW w:type="dxa" w:w="230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Decision</w:t>
            </w:r>
          </w:p>
        </w:tc>
      </w:tr>
      <w:tr>
        <w:trPr>
          <w:cantSplit/>
        </w:trPr>
        <w:tc>
          <w:tcPr>
            <w:tcW w:type="dxa" w:w="201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CPI</w:t>
            </w:r>
          </w:p>
        </w:tc>
        <w:tc>
          <w:tcPr>
            <w:tcW w:type="dxa" w:w="1584"/>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8.578e-88</w:t>
            </w:r>
          </w:p>
        </w:tc>
        <w:tc>
          <w:tcPr>
            <w:tcW w:type="dxa" w:w="1613"/>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0.926685</w:t>
            </w:r>
          </w:p>
        </w:tc>
        <w:tc>
          <w:tcPr>
            <w:tcW w:type="dxa" w:w="979"/>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1.000</w:t>
            </w:r>
          </w:p>
        </w:tc>
        <w:tc>
          <w:tcPr>
            <w:tcW w:type="dxa" w:w="172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0.009148</w:t>
            </w:r>
          </w:p>
        </w:tc>
        <w:tc>
          <w:tcPr>
            <w:tcW w:type="dxa" w:w="230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Selected</w:t>
            </w:r>
          </w:p>
        </w:tc>
      </w:tr>
      <w:tr>
        <w:trPr>
          <w:cantSplit/>
        </w:trPr>
        <w:tc>
          <w:tcPr>
            <w:tcW w:type="dxa" w:w="2016"/>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19"/>
              </w:rPr>
              <w:t>DPI</w:t>
            </w:r>
          </w:p>
        </w:tc>
        <w:tc>
          <w:tcPr>
            <w:tcW w:type="dxa" w:w="1584"/>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1.161e-57</w:t>
            </w:r>
          </w:p>
        </w:tc>
        <w:tc>
          <w:tcPr>
            <w:tcW w:type="dxa" w:w="1613"/>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0.816378</w:t>
            </w:r>
          </w:p>
        </w:tc>
        <w:tc>
          <w:tcPr>
            <w:tcW w:type="dxa" w:w="979"/>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1.000</w:t>
            </w:r>
          </w:p>
        </w:tc>
        <w:tc>
          <w:tcPr>
            <w:tcW w:type="dxa" w:w="172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0.002906</w:t>
            </w:r>
          </w:p>
        </w:tc>
        <w:tc>
          <w:tcPr>
            <w:tcW w:type="dxa" w:w="230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19"/>
              </w:rPr>
              <w:t>Lower eligible score</w:t>
            </w:r>
          </w:p>
        </w:tc>
      </w:tr>
      <w:tr>
        <w:trPr>
          <w:cantSplit/>
        </w:trPr>
        <w:tc>
          <w:tcPr>
            <w:tcW w:type="dxa" w:w="201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SBOpt</w:t>
            </w:r>
          </w:p>
        </w:tc>
        <w:tc>
          <w:tcPr>
            <w:tcW w:type="dxa" w:w="1584"/>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0.699722</w:t>
            </w:r>
          </w:p>
        </w:tc>
        <w:tc>
          <w:tcPr>
            <w:tcW w:type="dxa" w:w="1613"/>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-0.005628</w:t>
            </w:r>
          </w:p>
        </w:tc>
        <w:tc>
          <w:tcPr>
            <w:tcW w:type="dxa" w:w="979"/>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1.000</w:t>
            </w:r>
          </w:p>
        </w:tc>
        <w:tc>
          <w:tcPr>
            <w:tcW w:type="dxa" w:w="172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0.933506</w:t>
            </w:r>
          </w:p>
        </w:tc>
        <w:tc>
          <w:tcPr>
            <w:tcW w:type="dxa" w:w="230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p fails</w:t>
            </w:r>
          </w:p>
        </w:tc>
      </w:tr>
      <w:tr>
        <w:trPr>
          <w:cantSplit/>
        </w:trPr>
        <w:tc>
          <w:tcPr>
            <w:tcW w:type="dxa" w:w="2016"/>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19"/>
              </w:rPr>
              <w:t>GDP_Wholesale</w:t>
            </w:r>
          </w:p>
        </w:tc>
        <w:tc>
          <w:tcPr>
            <w:tcW w:type="dxa" w:w="1584"/>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1.417e-90</w:t>
            </w:r>
          </w:p>
        </w:tc>
        <w:tc>
          <w:tcPr>
            <w:tcW w:type="dxa" w:w="1613"/>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0.932646</w:t>
            </w:r>
          </w:p>
        </w:tc>
        <w:tc>
          <w:tcPr>
            <w:tcW w:type="dxa" w:w="979"/>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1.000</w:t>
            </w:r>
          </w:p>
        </w:tc>
        <w:tc>
          <w:tcPr>
            <w:tcW w:type="dxa" w:w="172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0.062588</w:t>
            </w:r>
          </w:p>
        </w:tc>
        <w:tc>
          <w:tcPr>
            <w:tcW w:type="dxa" w:w="230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19"/>
              </w:rPr>
              <w:t>Residual ADF fails</w:t>
            </w:r>
          </w:p>
        </w:tc>
      </w:tr>
      <w:tr>
        <w:trPr>
          <w:cantSplit/>
        </w:trPr>
        <w:tc>
          <w:tcPr>
            <w:tcW w:type="dxa" w:w="201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CorpProfits</w:t>
            </w:r>
          </w:p>
        </w:tc>
        <w:tc>
          <w:tcPr>
            <w:tcW w:type="dxa" w:w="1584"/>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4.013e-75</w:t>
            </w:r>
          </w:p>
        </w:tc>
        <w:tc>
          <w:tcPr>
            <w:tcW w:type="dxa" w:w="1613"/>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0.892130</w:t>
            </w:r>
          </w:p>
        </w:tc>
        <w:tc>
          <w:tcPr>
            <w:tcW w:type="dxa" w:w="979"/>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1.000</w:t>
            </w:r>
          </w:p>
        </w:tc>
        <w:tc>
          <w:tcPr>
            <w:tcW w:type="dxa" w:w="172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0.039997</w:t>
            </w:r>
          </w:p>
        </w:tc>
        <w:tc>
          <w:tcPr>
            <w:tcW w:type="dxa" w:w="230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Lower eligible score</w:t>
            </w:r>
          </w:p>
        </w:tc>
      </w:tr>
      <w:tr>
        <w:trPr>
          <w:cantSplit/>
        </w:trPr>
        <w:tc>
          <w:tcPr>
            <w:tcW w:type="dxa" w:w="2016"/>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19"/>
              </w:rPr>
              <w:t>DJ_TotalMkt</w:t>
            </w:r>
          </w:p>
        </w:tc>
        <w:tc>
          <w:tcPr>
            <w:tcW w:type="dxa" w:w="1584"/>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6.568e-54</w:t>
            </w:r>
          </w:p>
        </w:tc>
        <w:tc>
          <w:tcPr>
            <w:tcW w:type="dxa" w:w="1613"/>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0.794149</w:t>
            </w:r>
          </w:p>
        </w:tc>
        <w:tc>
          <w:tcPr>
            <w:tcW w:type="dxa" w:w="979"/>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1.000</w:t>
            </w:r>
          </w:p>
        </w:tc>
        <w:tc>
          <w:tcPr>
            <w:tcW w:type="dxa" w:w="172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0.001290</w:t>
            </w:r>
          </w:p>
        </w:tc>
        <w:tc>
          <w:tcPr>
            <w:tcW w:type="dxa" w:w="230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19"/>
              </w:rPr>
              <w:t>Lower eligible score</w:t>
            </w:r>
          </w:p>
        </w:tc>
      </w:tr>
    </w:tbl>
    <w:p>
      <w:pPr>
        <w:spacing w:after="60" w:before="0" w:line="240" w:lineRule="auto"/>
      </w:pPr>
      <w:r>
        <w:rPr>
          <w:rFonts w:ascii="Arial" w:hAnsi="Arial" w:eastAsia="Arial" w:cs="Arial"/>
          <w:b w:val="0"/>
          <w:color w:val="000000"/>
          <w:sz w:val="6"/>
        </w:rPr>
      </w:r>
    </w:p>
    <w:p>
      <w:pPr>
        <w:pStyle w:val="Heading2"/>
      </w:pPr>
      <w:r>
        <w:t>Round 2 Intercept and CPI</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584"/>
        <w:gridCol w:w="1613"/>
        <w:gridCol w:w="979"/>
        <w:gridCol w:w="1728"/>
        <w:gridCol w:w="2304"/>
      </w:tblGrid>
      <w:tr>
        <w:trPr>
          <w:cantSplit/>
          <w:tblHeader w:val="true"/>
        </w:trPr>
        <w:tc>
          <w:tcPr>
            <w:tcW w:type="dxa" w:w="2016"/>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Candidate</w:t>
            </w:r>
          </w:p>
        </w:tc>
        <w:tc>
          <w:tcPr>
            <w:tcW w:type="dxa" w:w="15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Added p</w:t>
            </w:r>
          </w:p>
        </w:tc>
        <w:tc>
          <w:tcPr>
            <w:tcW w:type="dxa" w:w="1613"/>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Adj R squared</w:t>
            </w:r>
          </w:p>
        </w:tc>
        <w:tc>
          <w:tcPr>
            <w:tcW w:type="dxa" w:w="97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Max VIF</w:t>
            </w:r>
          </w:p>
        </w:tc>
        <w:tc>
          <w:tcPr>
            <w:tcW w:type="dxa" w:w="172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Residual ADF p</w:t>
            </w:r>
          </w:p>
        </w:tc>
        <w:tc>
          <w:tcPr>
            <w:tcW w:type="dxa" w:w="230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Decision</w:t>
            </w:r>
          </w:p>
        </w:tc>
      </w:tr>
      <w:tr>
        <w:trPr>
          <w:cantSplit/>
        </w:trPr>
        <w:tc>
          <w:tcPr>
            <w:tcW w:type="dxa" w:w="201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DPI</w:t>
            </w:r>
          </w:p>
        </w:tc>
        <w:tc>
          <w:tcPr>
            <w:tcW w:type="dxa" w:w="1584"/>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0.061680</w:t>
            </w:r>
          </w:p>
        </w:tc>
        <w:tc>
          <w:tcPr>
            <w:tcW w:type="dxa" w:w="1613"/>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0.927900</w:t>
            </w:r>
          </w:p>
        </w:tc>
        <w:tc>
          <w:tcPr>
            <w:tcW w:type="dxa" w:w="979"/>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10.689</w:t>
            </w:r>
          </w:p>
        </w:tc>
        <w:tc>
          <w:tcPr>
            <w:tcW w:type="dxa" w:w="172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0.021829</w:t>
            </w:r>
          </w:p>
        </w:tc>
        <w:tc>
          <w:tcPr>
            <w:tcW w:type="dxa" w:w="230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p and VIF fail</w:t>
            </w:r>
          </w:p>
        </w:tc>
      </w:tr>
      <w:tr>
        <w:trPr>
          <w:cantSplit/>
        </w:trPr>
        <w:tc>
          <w:tcPr>
            <w:tcW w:type="dxa" w:w="2016"/>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19"/>
              </w:rPr>
              <w:t>SBOpt</w:t>
            </w:r>
          </w:p>
        </w:tc>
        <w:tc>
          <w:tcPr>
            <w:tcW w:type="dxa" w:w="1584"/>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0.029078</w:t>
            </w:r>
          </w:p>
        </w:tc>
        <w:tc>
          <w:tcPr>
            <w:tcW w:type="dxa" w:w="1613"/>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0.928511</w:t>
            </w:r>
          </w:p>
        </w:tc>
        <w:tc>
          <w:tcPr>
            <w:tcW w:type="dxa" w:w="979"/>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1.000</w:t>
            </w:r>
          </w:p>
        </w:tc>
        <w:tc>
          <w:tcPr>
            <w:tcW w:type="dxa" w:w="172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0.008124</w:t>
            </w:r>
          </w:p>
        </w:tc>
        <w:tc>
          <w:tcPr>
            <w:tcW w:type="dxa" w:w="230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19"/>
              </w:rPr>
              <w:t>Selected</w:t>
            </w:r>
          </w:p>
        </w:tc>
      </w:tr>
      <w:tr>
        <w:trPr>
          <w:cantSplit/>
        </w:trPr>
        <w:tc>
          <w:tcPr>
            <w:tcW w:type="dxa" w:w="201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GDP_Wholesale</w:t>
            </w:r>
          </w:p>
        </w:tc>
        <w:tc>
          <w:tcPr>
            <w:tcW w:type="dxa" w:w="1584"/>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0.000002</w:t>
            </w:r>
          </w:p>
        </w:tc>
        <w:tc>
          <w:tcPr>
            <w:tcW w:type="dxa" w:w="1613"/>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0.936402</w:t>
            </w:r>
          </w:p>
        </w:tc>
        <w:tc>
          <w:tcPr>
            <w:tcW w:type="dxa" w:w="979"/>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34.759</w:t>
            </w:r>
          </w:p>
        </w:tc>
        <w:tc>
          <w:tcPr>
            <w:tcW w:type="dxa" w:w="172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0.020628</w:t>
            </w:r>
          </w:p>
        </w:tc>
        <w:tc>
          <w:tcPr>
            <w:tcW w:type="dxa" w:w="230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VIF fails</w:t>
            </w:r>
          </w:p>
        </w:tc>
      </w:tr>
      <w:tr>
        <w:trPr>
          <w:cantSplit/>
        </w:trPr>
        <w:tc>
          <w:tcPr>
            <w:tcW w:type="dxa" w:w="2016"/>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19"/>
              </w:rPr>
              <w:t>CorpProfits</w:t>
            </w:r>
          </w:p>
        </w:tc>
        <w:tc>
          <w:tcPr>
            <w:tcW w:type="dxa" w:w="1584"/>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0.005820</w:t>
            </w:r>
          </w:p>
        </w:tc>
        <w:tc>
          <w:tcPr>
            <w:tcW w:type="dxa" w:w="1613"/>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0.929857</w:t>
            </w:r>
          </w:p>
        </w:tc>
        <w:tc>
          <w:tcPr>
            <w:tcW w:type="dxa" w:w="979"/>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14.511</w:t>
            </w:r>
          </w:p>
        </w:tc>
        <w:tc>
          <w:tcPr>
            <w:tcW w:type="dxa" w:w="172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0.016275</w:t>
            </w:r>
          </w:p>
        </w:tc>
        <w:tc>
          <w:tcPr>
            <w:tcW w:type="dxa" w:w="230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19"/>
              </w:rPr>
              <w:t>VIF fails</w:t>
            </w:r>
          </w:p>
        </w:tc>
      </w:tr>
      <w:tr>
        <w:trPr>
          <w:cantSplit/>
        </w:trPr>
        <w:tc>
          <w:tcPr>
            <w:tcW w:type="dxa" w:w="201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DJ_TotalMkt</w:t>
            </w:r>
          </w:p>
        </w:tc>
        <w:tc>
          <w:tcPr>
            <w:tcW w:type="dxa" w:w="1584"/>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0.443491</w:t>
            </w:r>
          </w:p>
        </w:tc>
        <w:tc>
          <w:tcPr>
            <w:tcW w:type="dxa" w:w="1613"/>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0.926486</w:t>
            </w:r>
          </w:p>
        </w:tc>
        <w:tc>
          <w:tcPr>
            <w:tcW w:type="dxa" w:w="979"/>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6.462</w:t>
            </w:r>
          </w:p>
        </w:tc>
        <w:tc>
          <w:tcPr>
            <w:tcW w:type="dxa" w:w="172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0.009463</w:t>
            </w:r>
          </w:p>
        </w:tc>
        <w:tc>
          <w:tcPr>
            <w:tcW w:type="dxa" w:w="230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p fails</w:t>
            </w:r>
          </w:p>
        </w:tc>
      </w:tr>
    </w:tbl>
    <w:p>
      <w:pPr>
        <w:spacing w:after="60" w:before="0" w:line="240" w:lineRule="auto"/>
      </w:pPr>
      <w:r>
        <w:rPr>
          <w:rFonts w:ascii="Arial" w:hAnsi="Arial" w:eastAsia="Arial" w:cs="Arial"/>
          <w:b w:val="0"/>
          <w:color w:val="000000"/>
          <w:sz w:val="6"/>
        </w:rPr>
      </w:r>
    </w:p>
    <w:p>
      <w:pPr>
        <w:pStyle w:val="Heading2"/>
      </w:pPr>
      <w:r>
        <w:t>Round 3 Intercept CPI and SBOpt</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584"/>
        <w:gridCol w:w="1613"/>
        <w:gridCol w:w="979"/>
        <w:gridCol w:w="1728"/>
        <w:gridCol w:w="2304"/>
      </w:tblGrid>
      <w:tr>
        <w:trPr>
          <w:cantSplit/>
          <w:tblHeader w:val="true"/>
        </w:trPr>
        <w:tc>
          <w:tcPr>
            <w:tcW w:type="dxa" w:w="2016"/>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Candidate</w:t>
            </w:r>
          </w:p>
        </w:tc>
        <w:tc>
          <w:tcPr>
            <w:tcW w:type="dxa" w:w="158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Added p</w:t>
            </w:r>
          </w:p>
        </w:tc>
        <w:tc>
          <w:tcPr>
            <w:tcW w:type="dxa" w:w="1613"/>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Adj R squared</w:t>
            </w:r>
          </w:p>
        </w:tc>
        <w:tc>
          <w:tcPr>
            <w:tcW w:type="dxa" w:w="979"/>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Max VIF</w:t>
            </w:r>
          </w:p>
        </w:tc>
        <w:tc>
          <w:tcPr>
            <w:tcW w:type="dxa" w:w="172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Residual ADF p</w:t>
            </w:r>
          </w:p>
        </w:tc>
        <w:tc>
          <w:tcPr>
            <w:tcW w:type="dxa" w:w="2304"/>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Decision</w:t>
            </w:r>
          </w:p>
        </w:tc>
      </w:tr>
      <w:tr>
        <w:trPr>
          <w:cantSplit/>
        </w:trPr>
        <w:tc>
          <w:tcPr>
            <w:tcW w:type="dxa" w:w="201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DPI</w:t>
            </w:r>
          </w:p>
        </w:tc>
        <w:tc>
          <w:tcPr>
            <w:tcW w:type="dxa" w:w="1584"/>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0.001566</w:t>
            </w:r>
          </w:p>
        </w:tc>
        <w:tc>
          <w:tcPr>
            <w:tcW w:type="dxa" w:w="1613"/>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0.932717</w:t>
            </w:r>
          </w:p>
        </w:tc>
        <w:tc>
          <w:tcPr>
            <w:tcW w:type="dxa" w:w="979"/>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13.051</w:t>
            </w:r>
          </w:p>
        </w:tc>
        <w:tc>
          <w:tcPr>
            <w:tcW w:type="dxa" w:w="172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0.020531</w:t>
            </w:r>
          </w:p>
        </w:tc>
        <w:tc>
          <w:tcPr>
            <w:tcW w:type="dxa" w:w="230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VIF fails</w:t>
            </w:r>
          </w:p>
        </w:tc>
      </w:tr>
      <w:tr>
        <w:trPr>
          <w:cantSplit/>
        </w:trPr>
        <w:tc>
          <w:tcPr>
            <w:tcW w:type="dxa" w:w="2016"/>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19"/>
              </w:rPr>
              <w:t>GDP_Wholesale</w:t>
            </w:r>
          </w:p>
        </w:tc>
        <w:tc>
          <w:tcPr>
            <w:tcW w:type="dxa" w:w="1584"/>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0.000031</w:t>
            </w:r>
          </w:p>
        </w:tc>
        <w:tc>
          <w:tcPr>
            <w:tcW w:type="dxa" w:w="1613"/>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0.935979</w:t>
            </w:r>
          </w:p>
        </w:tc>
        <w:tc>
          <w:tcPr>
            <w:tcW w:type="dxa" w:w="979"/>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45.816</w:t>
            </w:r>
          </w:p>
        </w:tc>
        <w:tc>
          <w:tcPr>
            <w:tcW w:type="dxa" w:w="172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0.020667</w:t>
            </w:r>
          </w:p>
        </w:tc>
        <w:tc>
          <w:tcPr>
            <w:tcW w:type="dxa" w:w="230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19"/>
              </w:rPr>
              <w:t>VIF fails</w:t>
            </w:r>
          </w:p>
        </w:tc>
      </w:tr>
      <w:tr>
        <w:trPr>
          <w:cantSplit/>
        </w:trPr>
        <w:tc>
          <w:tcPr>
            <w:tcW w:type="dxa" w:w="201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CorpProfits</w:t>
            </w:r>
          </w:p>
        </w:tc>
        <w:tc>
          <w:tcPr>
            <w:tcW w:type="dxa" w:w="1584"/>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0.016212</w:t>
            </w:r>
          </w:p>
        </w:tc>
        <w:tc>
          <w:tcPr>
            <w:tcW w:type="dxa" w:w="1613"/>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0.930778</w:t>
            </w:r>
          </w:p>
        </w:tc>
        <w:tc>
          <w:tcPr>
            <w:tcW w:type="dxa" w:w="979"/>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15.066</w:t>
            </w:r>
          </w:p>
        </w:tc>
        <w:tc>
          <w:tcPr>
            <w:tcW w:type="dxa" w:w="1728"/>
            <w:vAlign w:val="center"/>
            <w:tcMar>
              <w:top w:w="75" w:type="dxa"/>
              <w:bottom w:w="75" w:type="dxa"/>
              <w:left w:w="85" w:type="dxa"/>
              <w:right w:w="85" w:type="dxa"/>
            </w:tcMar>
            <w:shd w:fill="FFFFFF"/>
          </w:tcPr>
          <w:p>
            <w:pPr>
              <w:keepNext w:val="0"/>
              <w:spacing w:before="0" w:after="0" w:line="247" w:lineRule="auto"/>
              <w:jc w:val="right"/>
            </w:pPr>
            <w:r>
              <w:rPr>
                <w:rFonts w:ascii="Arial" w:hAnsi="Arial" w:eastAsia="Arial" w:cs="Arial"/>
                <w:b w:val="0"/>
                <w:color w:val="000000"/>
                <w:sz w:val="19"/>
              </w:rPr>
              <w:t>0.012165</w:t>
            </w:r>
          </w:p>
        </w:tc>
        <w:tc>
          <w:tcPr>
            <w:tcW w:type="dxa" w:w="2304"/>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19"/>
              </w:rPr>
              <w:t>VIF fails</w:t>
            </w:r>
          </w:p>
        </w:tc>
      </w:tr>
      <w:tr>
        <w:trPr>
          <w:cantSplit/>
        </w:trPr>
        <w:tc>
          <w:tcPr>
            <w:tcW w:type="dxa" w:w="2016"/>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19"/>
              </w:rPr>
              <w:t>DJ_TotalMkt</w:t>
            </w:r>
          </w:p>
        </w:tc>
        <w:tc>
          <w:tcPr>
            <w:tcW w:type="dxa" w:w="1584"/>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0.574745</w:t>
            </w:r>
          </w:p>
        </w:tc>
        <w:tc>
          <w:tcPr>
            <w:tcW w:type="dxa" w:w="1613"/>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0.928183</w:t>
            </w:r>
          </w:p>
        </w:tc>
        <w:tc>
          <w:tcPr>
            <w:tcW w:type="dxa" w:w="979"/>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9.487</w:t>
            </w:r>
          </w:p>
        </w:tc>
        <w:tc>
          <w:tcPr>
            <w:tcW w:type="dxa" w:w="1728"/>
            <w:vAlign w:val="center"/>
            <w:tcMar>
              <w:top w:w="75" w:type="dxa"/>
              <w:bottom w:w="75" w:type="dxa"/>
              <w:left w:w="85" w:type="dxa"/>
              <w:right w:w="85" w:type="dxa"/>
            </w:tcMar>
            <w:shd w:fill="F1F5F8"/>
          </w:tcPr>
          <w:p>
            <w:pPr>
              <w:keepNext w:val="0"/>
              <w:spacing w:before="0" w:after="0" w:line="247" w:lineRule="auto"/>
              <w:jc w:val="right"/>
            </w:pPr>
            <w:r>
              <w:rPr>
                <w:rFonts w:ascii="Arial" w:hAnsi="Arial" w:eastAsia="Arial" w:cs="Arial"/>
                <w:b w:val="0"/>
                <w:color w:val="000000"/>
                <w:sz w:val="19"/>
              </w:rPr>
              <w:t>0.007565</w:t>
            </w:r>
          </w:p>
        </w:tc>
        <w:tc>
          <w:tcPr>
            <w:tcW w:type="dxa" w:w="2304"/>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19"/>
              </w:rPr>
              <w:t>p fails</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In round 1, SBOpt also fails the residual ADF gate in addition to its coefficient p-value. In round 3, all remaining candidates fail at least one eligibility gate, so selection stops. The candidate enumeration order does not choose the winner; each round compares all candidates against the same retained base.</w:t>
      </w:r>
    </w:p>
    <w:p>
      <w:pPr>
        <w:pStyle w:val="Heading1"/>
      </w:pPr>
      <w:r>
        <w:t>Appendix B Sources and verification</w:t>
      </w:r>
    </w:p>
    <w:p>
      <w:pPr>
        <w:keepNext/>
      </w:pPr>
      <w:r>
        <w:rPr>
          <w:rFonts w:ascii="Arial" w:hAnsi="Arial" w:eastAsia="Arial" w:cs="Arial"/>
          <w:b w:val="0"/>
          <w:color w:val="000000"/>
          <w:sz w:val="22"/>
        </w:rPr>
        <w:t>Reference document: Commercial_Card_and_Small_Business_Fee_Consolidated.docx. The comparison retains the reference section numbers and source page locations. The N-prefixed identifiers link each result to the saved numerical claim register.</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val="true"/>
        </w:trPr>
        <w:tc>
          <w:tcPr>
            <w:tcW w:type="dxa" w:w="2376"/>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Source or check</w:t>
            </w:r>
          </w:p>
        </w:tc>
        <w:tc>
          <w:tcPr>
            <w:tcW w:type="dxa" w:w="7848"/>
            <w:vAlign w:val="center"/>
            <w:tcMar>
              <w:top w:w="75" w:type="dxa"/>
              <w:bottom w:w="75" w:type="dxa"/>
              <w:left w:w="85" w:type="dxa"/>
              <w:right w:w="85" w:type="dxa"/>
            </w:tcMar>
            <w:shd w:fill="233B53"/>
          </w:tcPr>
          <w:p>
            <w:pPr>
              <w:keepNext/>
              <w:spacing w:before="0" w:after="0" w:line="247" w:lineRule="auto"/>
              <w:jc w:val="center"/>
            </w:pPr>
            <w:r>
              <w:rPr>
                <w:rFonts w:ascii="Arial" w:hAnsi="Arial" w:eastAsia="Arial" w:cs="Arial"/>
                <w:b/>
                <w:color w:val="FFFFFF"/>
                <w:sz w:val="19"/>
              </w:rPr>
              <w:t>Recorded information</w:t>
            </w:r>
          </w:p>
        </w:tc>
      </w:tr>
      <w:tr>
        <w:trPr>
          <w:cantSplit/>
        </w:trPr>
        <w:tc>
          <w:tcPr>
            <w:tcW w:type="dxa" w:w="237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Reference document SHA256</w:t>
            </w:r>
          </w:p>
        </w:tc>
        <w:tc>
          <w:tcPr>
            <w:tcW w:type="dxa" w:w="7848"/>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7e45500f8e39b562dddaa58354d2bbfc20251cf7ba2e0fa576d8edd0e9b4988f</w:t>
            </w:r>
          </w:p>
        </w:tc>
      </w:tr>
      <w:tr>
        <w:trPr>
          <w:cantSplit/>
        </w:trPr>
        <w:tc>
          <w:tcPr>
            <w:tcW w:type="dxa" w:w="2376"/>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Income input</w:t>
            </w:r>
          </w:p>
        </w:tc>
        <w:tc>
          <w:tcPr>
            <w:tcW w:type="dxa" w:w="7848"/>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Cardfee.csv, exported from the supplied Cardfee.xlsx. Combined uses Commercial Card plus Small Business.</w:t>
            </w:r>
          </w:p>
        </w:tc>
      </w:tr>
      <w:tr>
        <w:trPr>
          <w:cantSplit/>
        </w:trPr>
        <w:tc>
          <w:tcPr>
            <w:tcW w:type="dxa" w:w="237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Macro input</w:t>
            </w:r>
          </w:p>
        </w:tc>
        <w:tc>
          <w:tcPr>
            <w:tcW w:type="dxa" w:w="7848"/>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Macro_Data_201001-202612.csv, exported from the supplied macro workbook. Section 2.2 discards 2010 history before calculating 12-month transformations.</w:t>
            </w:r>
          </w:p>
        </w:tc>
      </w:tr>
      <w:tr>
        <w:trPr>
          <w:cantSplit/>
        </w:trPr>
        <w:tc>
          <w:tcPr>
            <w:tcW w:type="dxa" w:w="2376"/>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Numerical run</w:t>
            </w:r>
          </w:p>
        </w:tc>
        <w:tc>
          <w:tcPr>
            <w:tcW w:type="dxa" w:w="7848"/>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Python 3.14.5; NumPy 2.3.5; pandas 2.3.3; SciPy 1.18.1; statsmodels 0.15.0.</w:t>
            </w:r>
          </w:p>
        </w:tc>
      </w:tr>
      <w:tr>
        <w:trPr>
          <w:cantSplit/>
        </w:trPr>
        <w:tc>
          <w:tcPr>
            <w:tcW w:type="dxa" w:w="2376"/>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Independent checks</w:t>
            </w:r>
          </w:p>
        </w:tc>
        <w:tc>
          <w:tcPr>
            <w:tcW w:type="dxa" w:w="7848"/>
            <w:vAlign w:val="center"/>
            <w:tcMar>
              <w:top w:w="75" w:type="dxa"/>
              <w:bottom w:w="75" w:type="dxa"/>
              <w:left w:w="85" w:type="dxa"/>
              <w:right w:w="85" w:type="dxa"/>
            </w:tcMar>
            <w:shd w:fill="FFFFFF"/>
          </w:tcPr>
          <w:p>
            <w:pPr>
              <w:keepNext w:val="0"/>
              <w:spacing w:before="0" w:after="0" w:line="247" w:lineRule="auto"/>
              <w:jc w:val="left"/>
            </w:pPr>
            <w:r>
              <w:rPr>
                <w:rFonts w:ascii="Arial" w:hAnsi="Arial" w:eastAsia="Arial" w:cs="Arial"/>
                <w:b w:val="0"/>
                <w:color w:val="000000"/>
                <w:sz w:val="20"/>
              </w:rPr>
              <w:t>All 10 saved checks passed, covering direct least squares, component totals, date alignment, residual orthogonality, recursive forecasts and unchanged inputs.</w:t>
            </w:r>
          </w:p>
        </w:tc>
      </w:tr>
      <w:tr>
        <w:trPr>
          <w:cantSplit/>
        </w:trPr>
        <w:tc>
          <w:tcPr>
            <w:tcW w:type="dxa" w:w="2376"/>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Word comparison update</w:t>
            </w:r>
          </w:p>
        </w:tc>
        <w:tc>
          <w:tcPr>
            <w:tcW w:type="dxa" w:w="7848"/>
            <w:vAlign w:val="center"/>
            <w:tcMar>
              <w:top w:w="75" w:type="dxa"/>
              <w:bottom w:w="75" w:type="dxa"/>
              <w:left w:w="85" w:type="dxa"/>
              <w:right w:w="85" w:type="dxa"/>
            </w:tcMar>
            <w:shd w:fill="F1F5F8"/>
          </w:tcPr>
          <w:p>
            <w:pPr>
              <w:keepNext w:val="0"/>
              <w:spacing w:before="0" w:after="0" w:line="247" w:lineRule="auto"/>
              <w:jc w:val="left"/>
            </w:pPr>
            <w:r>
              <w:rPr>
                <w:rFonts w:ascii="Arial" w:hAnsi="Arial" w:eastAsia="Arial" w:cs="Arial"/>
                <w:b w:val="0"/>
                <w:color w:val="000000"/>
                <w:sz w:val="20"/>
              </w:rPr>
              <w:t>Section 2.2 restores IS n = 141 and also compares IS plus OOT n = 168. All 32 p-values were independently recalculated from saved levels and match the archived test results. No source data, script or archived CSV is overwritten.</w:t>
            </w:r>
          </w:p>
        </w:tc>
      </w:tr>
    </w:tbl>
    <w:p>
      <w:pPr>
        <w:spacing w:after="60" w:before="0" w:line="240" w:lineRule="auto"/>
      </w:pPr>
      <w:r>
        <w:rPr>
          <w:rFonts w:ascii="Arial" w:hAnsi="Arial" w:eastAsia="Arial" w:cs="Arial"/>
          <w:b w:val="0"/>
          <w:color w:val="000000"/>
          <w:sz w:val="6"/>
        </w:rPr>
      </w:r>
    </w:p>
    <w:p>
      <w:pPr>
        <w:keepNext w:val="0"/>
      </w:pPr>
      <w:r>
        <w:rPr>
          <w:rFonts w:ascii="Arial" w:hAnsi="Arial" w:eastAsia="Arial" w:cs="Arial"/>
          <w:b w:val="0"/>
          <w:color w:val="000000"/>
          <w:sz w:val="22"/>
        </w:rPr>
        <w:t>The source numeric register contains 223 claims. Every identifier is included once in the primary comparison tables. Section 2.2 repeats its 16 identifiers in the IS-plus-OOT table, giving 239 displayed comparisons of 223 distinct claims. The overall 193-match / 30-difference total uses Section 2.2 IS-only results. The second window and other supplemental sensitivity results do not add new source claims.</w:t>
      </w:r>
    </w:p>
    <w:p>
      <w:pPr>
        <w:keepNext w:val="0"/>
      </w:pPr>
      <w:r>
        <w:rPr>
          <w:rFonts w:ascii="Arial" w:hAnsi="Arial" w:eastAsia="Arial" w:cs="Arial"/>
          <w:b w:val="0"/>
          <w:color w:val="000000"/>
          <w:sz w:val="22"/>
        </w:rPr>
        <w:t>The reported-number precision is the comparison tolerance, not an estimate of statistical uncertainty. Matching outputs and independent arithmetic checks cannot resolve undocumented preprocessing choices, establish model assumptions, or identify the cause of the remaining Unrate and June 2022 discrepancies.</w:t>
      </w:r>
    </w:p>
    <w:p>
      <w:pPr>
        <w:keepNext w:val="0"/>
      </w:pPr>
      <w:r>
        <w:rPr>
          <w:rFonts w:ascii="Arial" w:hAnsi="Arial" w:eastAsia="Arial" w:cs="Arial"/>
          <w:b w:val="0"/>
          <w:color w:val="000000"/>
          <w:sz w:val="20"/>
        </w:rPr>
        <w:t>Method references: statsmodels documentation for ADF, KPSS and Engle-Granger tests; Pingouin documentation for residual-based partial correlation; GNU Octave Statistics documentation for partial-correlation degrees of freedom. These references support method definitions, not the source-specific numerical results.</w:t>
      </w:r>
    </w:p>
    <w:p>
      <w:pPr>
        <w:keepNext w:val="0"/>
      </w:pPr>
      <w:r>
        <w:rPr>
          <w:rFonts w:ascii="Arial" w:hAnsi="Arial" w:eastAsia="Arial" w:cs="Arial"/>
          <w:b w:val="0"/>
          <w:color w:val="000000"/>
          <w:sz w:val="18"/>
        </w:rPr>
        <w:t xml:space="preserve">ADF: </w:t>
      </w:r>
      <w:hyperlink r:id="rId10">
        <w:r>
          <w:rPr>
            <w:color w:val="233B53"/>
            <w:sz w:val="18"/>
          </w:rPr>
          <w:t>https://www.statsmodels.org/stable/generated/statsmodels.tsa.stattools.adfuller.html</w:t>
        </w:r>
      </w:hyperlink>
    </w:p>
    <w:p>
      <w:pPr>
        <w:keepNext w:val="0"/>
      </w:pPr>
      <w:r>
        <w:rPr>
          <w:rFonts w:ascii="Arial" w:hAnsi="Arial" w:eastAsia="Arial" w:cs="Arial"/>
          <w:b w:val="0"/>
          <w:color w:val="000000"/>
          <w:sz w:val="18"/>
        </w:rPr>
        <w:t xml:space="preserve">KPSS: </w:t>
      </w:r>
      <w:hyperlink r:id="rId11">
        <w:r>
          <w:rPr>
            <w:color w:val="233B53"/>
            <w:sz w:val="18"/>
          </w:rPr>
          <w:t>https://www.statsmodels.org/stable/generated/statsmodels.tsa.stattools.kpss.html</w:t>
        </w:r>
      </w:hyperlink>
    </w:p>
    <w:p>
      <w:pPr>
        <w:keepNext w:val="0"/>
      </w:pPr>
      <w:r>
        <w:rPr>
          <w:rFonts w:ascii="Arial" w:hAnsi="Arial" w:eastAsia="Arial" w:cs="Arial"/>
          <w:b w:val="0"/>
          <w:color w:val="000000"/>
          <w:sz w:val="18"/>
        </w:rPr>
        <w:t xml:space="preserve">Engle Granger: </w:t>
      </w:r>
      <w:hyperlink r:id="rId12">
        <w:r>
          <w:rPr>
            <w:color w:val="233B53"/>
            <w:sz w:val="18"/>
          </w:rPr>
          <w:t>https://www.statsmodels.org/stable/generated/statsmodels.tsa.stattools.coint.html</w:t>
        </w:r>
      </w:hyperlink>
    </w:p>
    <w:p>
      <w:pPr>
        <w:keepNext w:val="0"/>
      </w:pPr>
      <w:r>
        <w:rPr>
          <w:rFonts w:ascii="Arial" w:hAnsi="Arial" w:eastAsia="Arial" w:cs="Arial"/>
          <w:b w:val="0"/>
          <w:color w:val="000000"/>
          <w:sz w:val="18"/>
        </w:rPr>
        <w:t xml:space="preserve">Partial correlation: </w:t>
      </w:r>
      <w:hyperlink r:id="rId13">
        <w:r>
          <w:rPr>
            <w:color w:val="233B53"/>
            <w:sz w:val="18"/>
          </w:rPr>
          <w:t>https://pingouin-stats.org/generated/pingouin.partial_corr.html</w:t>
        </w:r>
      </w:hyperlink>
    </w:p>
    <w:p>
      <w:pPr>
        <w:keepNext w:val="0"/>
      </w:pPr>
      <w:r>
        <w:rPr>
          <w:rFonts w:ascii="Arial" w:hAnsi="Arial" w:eastAsia="Arial" w:cs="Arial"/>
          <w:b w:val="0"/>
          <w:color w:val="000000"/>
          <w:sz w:val="18"/>
        </w:rPr>
        <w:t xml:space="preserve">Partial correlation degrees of freedom: </w:t>
      </w:r>
      <w:hyperlink r:id="rId14">
        <w:r>
          <w:rPr>
            <w:color w:val="233B53"/>
            <w:sz w:val="18"/>
          </w:rPr>
          <w:t>https://gnu-octave.github.io/statistics/partialcorr.html</w:t>
        </w:r>
      </w:hyperlink>
    </w:p>
    <w:sectPr w:rsidR="00FC693F" w:rsidRPr="0006063C" w:rsidSect="00034616">
      <w:footerReference w:type="default" r:id="rId9"/>
      <w:pgSz w:w="12240" w:h="15840"/>
      <w:pgMar w:top="936" w:right="1008" w:bottom="936"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pPr>
    <w:r>
      <w:rPr>
        <w:rFonts w:ascii="Arial" w:hAnsi="Arial" w:eastAsia="Arial" w:cs="Arial"/>
        <w:b w:val="0"/>
        <w:color w:val="000000"/>
        <w:sz w:val="17"/>
      </w:rPr>
      <w:t>Combined Fee Reproduction Comparison</w:t>
      <w:tab/>
    </w:r>
    <w:r>
      <w:rPr>
        <w:rFonts w:ascii="Arial" w:hAnsi="Arial" w:eastAsia="Arial" w:cs="Arial"/>
        <w:b w:val="0"/>
        <w:color w:val="000000"/>
        <w:sz w:val="17"/>
      </w:rPr>
      <w:t xml:space="preserve">Page </w:t>
    </w:r>
    <w:r>
      <w:rPr>
        <w:rFonts w:ascii="Arial" w:hAnsi="Arial" w:eastAsia="Arial" w:cs="Arial"/>
        <w:b w:val="0"/>
        <w:color w:val="000000"/>
        <w:sz w:val="17"/>
      </w:rPr>
      <w:fldChar w:fldCharType="begin"/>
      <w:instrText xml:space="preserve"> PAGE </w:instrText>
      <w:fldChar w:fldCharType="separate"/>
      <w:t>1</w:t>
      <w:fldChar w:fldCharType="end"/>
    </w:r>
    <w:r>
      <w:rPr>
        <w:rFonts w:ascii="Arial" w:hAnsi="Arial" w:eastAsia="Arial" w:cs="Arial"/>
        <w:b w:val="0"/>
        <w:color w:val="000000"/>
        <w:sz w:val="17"/>
      </w:rPr>
      <w:t xml:space="preserve"> of </w:t>
    </w:r>
    <w:r>
      <w:rPr>
        <w:rFonts w:ascii="Arial" w:hAnsi="Arial" w:eastAsia="Arial" w:cs="Arial"/>
        <w:b w:val="0"/>
        <w:color w:val="000000"/>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line="259" w:lineRule="auto"/>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line="259" w:lineRule="auto"/>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eastAsia="Arial" w:cs="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tatsmodels.org/stable/generated/statsmodels.tsa.stattools.adfuller.html" TargetMode="External"/><Relationship Id="rId11" Type="http://schemas.openxmlformats.org/officeDocument/2006/relationships/hyperlink" Target="https://www.statsmodels.org/stable/generated/statsmodels.tsa.stattools.kpss.html" TargetMode="External"/><Relationship Id="rId12" Type="http://schemas.openxmlformats.org/officeDocument/2006/relationships/hyperlink" Target="https://www.statsmodels.org/stable/generated/statsmodels.tsa.stattools.coint.html" TargetMode="External"/><Relationship Id="rId13" Type="http://schemas.openxmlformats.org/officeDocument/2006/relationships/hyperlink" Target="https://pingouin-stats.org/generated/pingouin.partial_corr.html" TargetMode="External"/><Relationship Id="rId14" Type="http://schemas.openxmlformats.org/officeDocument/2006/relationships/hyperlink" Target="https://gnu-octave.github.io/statistics/partialcor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 Fee Reported and Reproduced Results</dc:title>
  <dc:subject>Numerical comparison of the Commercial Card and Small Business fee report</dc:subject>
  <dc:creator/>
  <cp:keywords>Combined fee, reproduction, numerical audit, IS, OOT</cp:keywords>
  <dc:description/>
  <cp:lastModifiedBy/>
  <cp:revision>1</cp:revision>
  <dcterms:created xsi:type="dcterms:W3CDTF">2013-12-23T23:15:00Z</dcterms:created>
  <dcterms:modified xsi:type="dcterms:W3CDTF">2013-12-23T23:15:00Z</dcterms:modified>
  <cp:category/>
</cp:coreProperties>
</file>