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3BAB7C" w14:textId="77777777" w:rsidR="00F17390" w:rsidRDefault="00F17390" w:rsidP="00F17390">
      <w:r>
        <w:t>### Slide 1｜Brokerage Fee</w:t>
      </w:r>
    </w:p>
    <w:p w14:paraId="052E99BA" w14:textId="77777777" w:rsidR="00F17390" w:rsidRDefault="00F17390" w:rsidP="00F17390"/>
    <w:p w14:paraId="67CC3AB3" w14:textId="77777777" w:rsidR="00F17390" w:rsidRDefault="00F17390" w:rsidP="00F17390">
      <w:r>
        <w:t>This deck presents baseline and stress revenue estimates for five brokerage fee categories. The analysis uses available historical balances, AUM, charge rates, and fee revenue. Several assumptions rely on historical averages or observed drawdowns because underlying business-driver data remains limited.</w:t>
      </w:r>
    </w:p>
    <w:p w14:paraId="20F4E5D5" w14:textId="77777777" w:rsidR="00F17390" w:rsidRDefault="00F17390" w:rsidP="00F17390"/>
    <w:p w14:paraId="6E21D911" w14:textId="77777777" w:rsidR="00F17390" w:rsidRDefault="00F17390" w:rsidP="00F17390">
      <w:r>
        <w:t>### Slide 2｜Executive Summary</w:t>
      </w:r>
    </w:p>
    <w:p w14:paraId="23916653" w14:textId="77777777" w:rsidR="00F17390" w:rsidRDefault="00F17390" w:rsidP="00F17390"/>
    <w:p w14:paraId="1C0F4F74" w14:textId="77777777" w:rsidR="00F17390" w:rsidRDefault="00F17390" w:rsidP="00F17390">
      <w:r>
        <w:t>The deck reports total revenue of $97.9MM under the baseline and $63.3MM under stress for the stated nine-quarter forecast horizon. The difference is $34.6MM, or approximately 35%. IA represents the largest revenue category and contributes the largest dollar reduction under stress.</w:t>
      </w:r>
    </w:p>
    <w:p w14:paraId="1267CBB1" w14:textId="77777777" w:rsidR="00F17390" w:rsidRDefault="00F17390" w:rsidP="00F17390"/>
    <w:p w14:paraId="32FE01C5" w14:textId="77777777" w:rsidR="00F17390" w:rsidRDefault="00F17390" w:rsidP="00F17390">
      <w:r>
        <w:t>The reported total reconciles to the five category-level forecasts. The forecast period used for Brokerage and Held Away remains subject to confirmation.</w:t>
      </w:r>
    </w:p>
    <w:p w14:paraId="5596AC72" w14:textId="77777777" w:rsidR="00F17390" w:rsidRDefault="00F17390" w:rsidP="00F17390"/>
    <w:p w14:paraId="10626F01" w14:textId="77777777" w:rsidR="00F17390" w:rsidRDefault="00F17390" w:rsidP="00F17390">
      <w:r>
        <w:t>### Slide 3｜Five Buckets in Brokerage Fee</w:t>
      </w:r>
    </w:p>
    <w:p w14:paraId="2B4927D2" w14:textId="77777777" w:rsidR="00F17390" w:rsidRDefault="00F17390" w:rsidP="00F17390"/>
    <w:p w14:paraId="30896E72" w14:textId="77777777" w:rsidR="00F17390" w:rsidRDefault="00F17390" w:rsidP="00F17390">
      <w:r>
        <w:t>The model divides brokerage fee revenue into IA, Repo Overnight, Repo Term, Held Away, and Brokerage. IA and Repo revenue are estimated from balances or AUM and charge rates. Held Away and Brokerage are forecast directly from historical fee revenue because the available data does not support separate volume and pricing assumptions.</w:t>
      </w:r>
    </w:p>
    <w:p w14:paraId="235EC603" w14:textId="77777777" w:rsidR="00F17390" w:rsidRDefault="00F17390" w:rsidP="00F17390"/>
    <w:p w14:paraId="05DF1638" w14:textId="77777777" w:rsidR="00F17390" w:rsidRDefault="00F17390" w:rsidP="00F17390">
      <w:r>
        <w:t>### Slide 4｜Meeting Discussion Notes</w:t>
      </w:r>
    </w:p>
    <w:p w14:paraId="5A640D80" w14:textId="77777777" w:rsidR="00F17390" w:rsidRDefault="00F17390" w:rsidP="00F17390"/>
    <w:p w14:paraId="4B66D951" w14:textId="77777777" w:rsidR="00F17390" w:rsidRDefault="00F17390" w:rsidP="00F17390">
      <w:r>
        <w:t>The prior discussion supported an interim qualitative approach for brokerage revenue. The group also identified the need for additional driver data. The current timeline places those data enhancements in 2027 or later. Until then, the model will require periodic monitoring and judgment-based recalibration.</w:t>
      </w:r>
    </w:p>
    <w:p w14:paraId="43ABCEE5" w14:textId="77777777" w:rsidR="00F17390" w:rsidRDefault="00F17390" w:rsidP="00F17390"/>
    <w:p w14:paraId="312CF232" w14:textId="77777777" w:rsidR="00F17390" w:rsidRDefault="00F17390" w:rsidP="00F17390">
      <w:r>
        <w:t>### Slide 5｜IA</w:t>
      </w:r>
    </w:p>
    <w:p w14:paraId="24543B30" w14:textId="77777777" w:rsidR="00F17390" w:rsidRDefault="00F17390" w:rsidP="00F17390"/>
    <w:p w14:paraId="4E6F5DCE" w14:textId="77777777" w:rsidR="00F17390" w:rsidRDefault="00F17390" w:rsidP="00F17390">
      <w:r>
        <w:t>This section estimates IA revenue from projected AUM and an effective charge rate. The analysis treats AUM as the primary revenue driver.</w:t>
      </w:r>
    </w:p>
    <w:p w14:paraId="216E789C" w14:textId="77777777" w:rsidR="00F17390" w:rsidRDefault="00F17390" w:rsidP="00F17390"/>
    <w:p w14:paraId="2615CB2B" w14:textId="77777777" w:rsidR="00F17390" w:rsidRDefault="00F17390" w:rsidP="00F17390">
      <w:r>
        <w:t>### Slide 6｜IA AUM, Revenue and Charge Rate</w:t>
      </w:r>
    </w:p>
    <w:p w14:paraId="2D2009F0" w14:textId="77777777" w:rsidR="00F17390" w:rsidRDefault="00F17390" w:rsidP="00F17390"/>
    <w:p w14:paraId="412A0372" w14:textId="77777777" w:rsidR="00F17390" w:rsidRDefault="00F17390" w:rsidP="00F17390">
      <w:r>
        <w:t>Historical IA revenue generally moves with AUM, while the effective charge rate remains within a relatively narrow range. The baseline uses an average charge rate and projects AUM using the recent growth trend. The stress case applies a lower charge rate and a 15% AUM decline, followed by recovery during the final four quarters.</w:t>
      </w:r>
    </w:p>
    <w:p w14:paraId="03D2FC4B" w14:textId="77777777" w:rsidR="00F17390" w:rsidRDefault="00F17390" w:rsidP="00F17390"/>
    <w:p w14:paraId="50256E7C" w14:textId="77777777" w:rsidR="00F17390" w:rsidRDefault="00F17390" w:rsidP="00F17390">
      <w:r>
        <w:t xml:space="preserve">The analysis should document the charge-rate lookback period, the baseline AUM growth </w:t>
      </w:r>
      <w:r>
        <w:lastRenderedPageBreak/>
        <w:t>rate, and the timing of the stressed decline and recovery.</w:t>
      </w:r>
    </w:p>
    <w:p w14:paraId="470C6F73" w14:textId="77777777" w:rsidR="00F17390" w:rsidRDefault="00F17390" w:rsidP="00F17390"/>
    <w:p w14:paraId="431C77E7" w14:textId="77777777" w:rsidR="00F17390" w:rsidRDefault="00F17390" w:rsidP="00F17390">
      <w:r>
        <w:t>### Slide 7｜IA Revenue Forecast</w:t>
      </w:r>
    </w:p>
    <w:p w14:paraId="3630ACB0" w14:textId="77777777" w:rsidR="00F17390" w:rsidRDefault="00F17390" w:rsidP="00F17390"/>
    <w:p w14:paraId="045DB8A1" w14:textId="77777777" w:rsidR="00F17390" w:rsidRDefault="00F17390" w:rsidP="00F17390">
      <w:r>
        <w:t>The IA assumptions produce forecast revenue of $48.9MM under the baseline and $34.8MM under stress. The $14.1MM difference represents approximately 29% of the IA baseline and approximately 41% of the total portfolio stress reduction.</w:t>
      </w:r>
    </w:p>
    <w:p w14:paraId="1A80A00E" w14:textId="77777777" w:rsidR="00F17390" w:rsidRDefault="00F17390" w:rsidP="00F17390"/>
    <w:p w14:paraId="5388E8F7" w14:textId="77777777" w:rsidR="00F17390" w:rsidRDefault="00F17390" w:rsidP="00F17390">
      <w:r>
        <w:t>### Slide 8｜IA Assumptions and Limitations</w:t>
      </w:r>
    </w:p>
    <w:p w14:paraId="465E2831" w14:textId="77777777" w:rsidR="00F17390" w:rsidRDefault="00F17390" w:rsidP="00F17390"/>
    <w:p w14:paraId="2538BF30" w14:textId="77777777" w:rsidR="00F17390" w:rsidRDefault="00F17390" w:rsidP="00F17390">
      <w:r>
        <w:t>The model assumes that AUM movements explain most IA revenue changes. The stress decline uses the 2022 peak-to-trough AUM drawdown as its historical reference. The available analysis indicates that the relationship between IA AUM and the S&amp;P 500 has limited explanatory power, so the model does not use the index as its primary stress driver.</w:t>
      </w:r>
    </w:p>
    <w:p w14:paraId="0D0B50AF" w14:textId="77777777" w:rsidR="00F17390" w:rsidRDefault="00F17390" w:rsidP="00F17390"/>
    <w:p w14:paraId="0622FE8D" w14:textId="77777777" w:rsidR="00F17390" w:rsidRDefault="00F17390" w:rsidP="00F17390">
      <w:r>
        <w:t>Most of the modeled stress sensitivity therefore comes from the AUM assumption. The current approach does not separately model market performance and net flows.</w:t>
      </w:r>
    </w:p>
    <w:p w14:paraId="078C2AD0" w14:textId="77777777" w:rsidR="00F17390" w:rsidRDefault="00F17390" w:rsidP="00F17390"/>
    <w:p w14:paraId="27531AE5" w14:textId="77777777" w:rsidR="00F17390" w:rsidRDefault="00F17390" w:rsidP="00F17390">
      <w:r>
        <w:t>### Slide 9｜Repo Overnight</w:t>
      </w:r>
    </w:p>
    <w:p w14:paraId="3A3B98E9" w14:textId="77777777" w:rsidR="00F17390" w:rsidRDefault="00F17390" w:rsidP="00F17390"/>
    <w:p w14:paraId="1B65F4B2" w14:textId="77777777" w:rsidR="00F17390" w:rsidRDefault="00F17390" w:rsidP="00F17390">
      <w:r>
        <w:t>This section estimates Repo Overnight revenue from balances and the applicable charge rate. The current stress case changes the charge rate but retains the same balance assumption.</w:t>
      </w:r>
    </w:p>
    <w:p w14:paraId="3169002B" w14:textId="77777777" w:rsidR="00F17390" w:rsidRDefault="00F17390" w:rsidP="00F17390"/>
    <w:p w14:paraId="2438519B" w14:textId="77777777" w:rsidR="00F17390" w:rsidRDefault="00F17390" w:rsidP="00F17390">
      <w:r>
        <w:t>### Slide 10｜Repo Overnight Volume, Revenue and Charge Rate</w:t>
      </w:r>
    </w:p>
    <w:p w14:paraId="1F9F74F0" w14:textId="77777777" w:rsidR="00F17390" w:rsidRDefault="00F17390" w:rsidP="00F17390"/>
    <w:p w14:paraId="4355D58F" w14:textId="77777777" w:rsidR="00F17390" w:rsidRDefault="00F17390" w:rsidP="00F17390">
      <w:r>
        <w:t>The baseline applies a charge rate of approximately 1%, based on the recent 12-month average. The stress case applies a 0.5% rate based on a recent historical low. Both scenarios anchor balances to the recent 24-month average. The difference between baseline and stress therefore comes primarily from the charge-rate assumption.</w:t>
      </w:r>
    </w:p>
    <w:p w14:paraId="4EEE9588" w14:textId="77777777" w:rsidR="00F17390" w:rsidRDefault="00F17390" w:rsidP="00F17390"/>
    <w:p w14:paraId="31EB604B" w14:textId="77777777" w:rsidR="00F17390" w:rsidRDefault="00F17390" w:rsidP="00F17390">
      <w:r>
        <w:t>The model should consistently describe the 0.5% assumption as either a recent low, a historical minimum, or a judgmental floor.</w:t>
      </w:r>
    </w:p>
    <w:p w14:paraId="2DD9E794" w14:textId="77777777" w:rsidR="00F17390" w:rsidRDefault="00F17390" w:rsidP="00F17390"/>
    <w:p w14:paraId="1B95D370" w14:textId="77777777" w:rsidR="00F17390" w:rsidRDefault="00F17390" w:rsidP="00F17390">
      <w:r>
        <w:t>### Slide 11｜Repo Overnight Revenue Forecast</w:t>
      </w:r>
    </w:p>
    <w:p w14:paraId="5DDD2BC7" w14:textId="77777777" w:rsidR="00F17390" w:rsidRDefault="00F17390" w:rsidP="00F17390"/>
    <w:p w14:paraId="08E56510" w14:textId="77777777" w:rsidR="00F17390" w:rsidRDefault="00F17390" w:rsidP="00F17390">
      <w:r>
        <w:t>The model produces $7.8MM of baseline revenue and $3.9MM under stress for the nine-quarter horizon. The 50% reduction results from applying a 0.5% stress rate instead of the 1% baseline rate while holding balances constant.</w:t>
      </w:r>
    </w:p>
    <w:p w14:paraId="6362BC46" w14:textId="77777777" w:rsidR="00F17390" w:rsidRDefault="00F17390" w:rsidP="00F17390"/>
    <w:p w14:paraId="5DDDC2BD" w14:textId="77777777" w:rsidR="00F17390" w:rsidRDefault="00F17390" w:rsidP="00F17390">
      <w:r>
        <w:t>### Slide 12｜Repo Overnight Assumptions and Limitations</w:t>
      </w:r>
    </w:p>
    <w:p w14:paraId="1F84A96C" w14:textId="77777777" w:rsidR="00F17390" w:rsidRDefault="00F17390" w:rsidP="00F17390"/>
    <w:p w14:paraId="3F646921" w14:textId="77777777" w:rsidR="00F17390" w:rsidRDefault="00F17390" w:rsidP="00F17390">
      <w:r>
        <w:t xml:space="preserve">The model uses recent average balances in both scenarios and applies separate baseline and stress rates. The principal limitations are the judgment involved in selecting the stress floor and the historical variability in spreads. A single average or rate floor may not capture all </w:t>
      </w:r>
      <w:r>
        <w:lastRenderedPageBreak/>
        <w:t>future pricing conditions.</w:t>
      </w:r>
    </w:p>
    <w:p w14:paraId="0A21E91D" w14:textId="77777777" w:rsidR="00F17390" w:rsidRDefault="00F17390" w:rsidP="00F17390"/>
    <w:p w14:paraId="51F8B402" w14:textId="77777777" w:rsidR="00F17390" w:rsidRDefault="00F17390" w:rsidP="00F17390">
      <w:r>
        <w:t>The model does not currently include a separate stressed-balance sensitivity for Repo Overnight.</w:t>
      </w:r>
    </w:p>
    <w:p w14:paraId="4D1E8C97" w14:textId="77777777" w:rsidR="00F17390" w:rsidRDefault="00F17390" w:rsidP="00F17390"/>
    <w:p w14:paraId="28044ADC" w14:textId="77777777" w:rsidR="00F17390" w:rsidRDefault="00F17390" w:rsidP="00F17390">
      <w:r>
        <w:t>### Slide 13｜Repo Term</w:t>
      </w:r>
    </w:p>
    <w:p w14:paraId="47B890C5" w14:textId="77777777" w:rsidR="00F17390" w:rsidRDefault="00F17390" w:rsidP="00F17390"/>
    <w:p w14:paraId="0E96ADE9" w14:textId="77777777" w:rsidR="00F17390" w:rsidRDefault="00F17390" w:rsidP="00F17390">
      <w:r>
        <w:t>This section estimates Repo Term revenue from projected balances and charge rates. Unlike Repo Overnight, the stress case applies downside to both volume and pricing.</w:t>
      </w:r>
    </w:p>
    <w:p w14:paraId="459A7D0A" w14:textId="77777777" w:rsidR="00F17390" w:rsidRDefault="00F17390" w:rsidP="00F17390"/>
    <w:p w14:paraId="52BBC7B7" w14:textId="77777777" w:rsidR="00F17390" w:rsidRDefault="00F17390" w:rsidP="00F17390">
      <w:r>
        <w:t>### Slide 14｜Repo Term Volume, Revenue and Charge Rate</w:t>
      </w:r>
    </w:p>
    <w:p w14:paraId="08E9A494" w14:textId="77777777" w:rsidR="00F17390" w:rsidRDefault="00F17390" w:rsidP="00F17390"/>
    <w:p w14:paraId="065B873A" w14:textId="77777777" w:rsidR="00F17390" w:rsidRDefault="00F17390" w:rsidP="00F17390">
      <w:r>
        <w:t>The baseline uses the recent three-month average charge rate and assumes balance growth from the recent average. The stress case uses an average charge rate minus two standard deviations, with volatility calculated from the most recent two years. Stress balances are set 22% below the 2025 average.</w:t>
      </w:r>
    </w:p>
    <w:p w14:paraId="005F7E29" w14:textId="77777777" w:rsidR="00F17390" w:rsidRDefault="00F17390" w:rsidP="00F17390"/>
    <w:p w14:paraId="6A77A64F" w14:textId="77777777" w:rsidR="00F17390" w:rsidRDefault="00F17390" w:rsidP="00F17390">
      <w:r>
        <w:t>The supporting methodology should specify the baseline balance-growth calculation and the timing and duration of the 22% stress reduction.</w:t>
      </w:r>
    </w:p>
    <w:p w14:paraId="0B34267B" w14:textId="77777777" w:rsidR="00F17390" w:rsidRDefault="00F17390" w:rsidP="00F17390"/>
    <w:p w14:paraId="6AB4EF42" w14:textId="77777777" w:rsidR="00F17390" w:rsidRDefault="00F17390" w:rsidP="00F17390">
      <w:r>
        <w:t>### Slide 15｜Repo Term Revenue Forecast</w:t>
      </w:r>
    </w:p>
    <w:p w14:paraId="3A4BA81E" w14:textId="77777777" w:rsidR="00F17390" w:rsidRDefault="00F17390" w:rsidP="00F17390"/>
    <w:p w14:paraId="037D6B62" w14:textId="77777777" w:rsidR="00F17390" w:rsidRDefault="00F17390" w:rsidP="00F17390">
      <w:r>
        <w:t>The forecast produces $15.6MM under the baseline and $6.6MM under stress. The $9.0MM reduction represents approximately 58% of the baseline. This is the largest percentage decline among the five revenue categories and reflects simultaneous balance and pricing pressure.</w:t>
      </w:r>
    </w:p>
    <w:p w14:paraId="7D8D31F7" w14:textId="77777777" w:rsidR="00F17390" w:rsidRDefault="00F17390" w:rsidP="00F17390"/>
    <w:p w14:paraId="2CC2C6BE" w14:textId="77777777" w:rsidR="00F17390" w:rsidRDefault="00F17390" w:rsidP="00F17390">
      <w:r>
        <w:t>### Slide 16｜Repo Term Assumptions and Limitations</w:t>
      </w:r>
    </w:p>
    <w:p w14:paraId="474F4429" w14:textId="77777777" w:rsidR="00F17390" w:rsidRDefault="00F17390" w:rsidP="00F17390"/>
    <w:p w14:paraId="46F6AA44" w14:textId="77777777" w:rsidR="00F17390" w:rsidRDefault="00F17390" w:rsidP="00F17390">
      <w:r>
        <w:t>The baseline assumes that the recent pricing level continues. The stress-volume assumption relies on the largest drawdown observed in the available data. The analysis did not identify a meaningful relationship among volume, pricing, and macroeconomic conditions.</w:t>
      </w:r>
    </w:p>
    <w:p w14:paraId="7FEED694" w14:textId="77777777" w:rsidR="00F17390" w:rsidRDefault="00F17390" w:rsidP="00F17390"/>
    <w:p w14:paraId="08AAF0D8" w14:textId="77777777" w:rsidR="00F17390" w:rsidRDefault="00F17390" w:rsidP="00F17390">
      <w:r>
        <w:t>The calibration therefore relies heavily on one historical drawdown and a relatively short pricing history. Alternative balance and rate sensitivities would help illustrate the uncertainty around the primary stress estimate.</w:t>
      </w:r>
    </w:p>
    <w:p w14:paraId="20E6325D" w14:textId="77777777" w:rsidR="00F17390" w:rsidRDefault="00F17390" w:rsidP="00F17390"/>
    <w:p w14:paraId="3A26CD7D" w14:textId="77777777" w:rsidR="00F17390" w:rsidRDefault="00F17390" w:rsidP="00F17390">
      <w:r>
        <w:t>### Slide 17｜Held Away and Brokerage</w:t>
      </w:r>
    </w:p>
    <w:p w14:paraId="7DA5F49F" w14:textId="77777777" w:rsidR="00F17390" w:rsidRDefault="00F17390" w:rsidP="00F17390"/>
    <w:p w14:paraId="62A66B26" w14:textId="77777777" w:rsidR="00F17390" w:rsidRDefault="00F17390" w:rsidP="00F17390">
      <w:r>
        <w:t>Held Away and Brokerage are forecast directly from historical fee revenue because underlying transaction-volume and pricing data are unavailable. The method treats historical revenue behavior as the primary basis for both scenarios.</w:t>
      </w:r>
    </w:p>
    <w:p w14:paraId="25698685" w14:textId="77777777" w:rsidR="00F17390" w:rsidRDefault="00F17390" w:rsidP="00F17390"/>
    <w:p w14:paraId="5C5A5D81" w14:textId="77777777" w:rsidR="00F17390" w:rsidRDefault="00F17390" w:rsidP="00F17390">
      <w:r>
        <w:t>### Slide 18｜Broker and Held Away Fee Estimation</w:t>
      </w:r>
    </w:p>
    <w:p w14:paraId="11C1F8C1" w14:textId="77777777" w:rsidR="00F17390" w:rsidRDefault="00F17390" w:rsidP="00F17390"/>
    <w:p w14:paraId="5970C440" w14:textId="77777777" w:rsidR="00F17390" w:rsidRDefault="00F17390" w:rsidP="00F17390">
      <w:r>
        <w:lastRenderedPageBreak/>
        <w:t>The baseline uses historical average revenue. The stress case uses average revenue minus two standard deviations. The slide reports Brokerage revenue of $9.8MM under the baseline and $8.4MM under stress. Held Away revenue is $15.8MM under the baseline and $9.6MM under stress.</w:t>
      </w:r>
    </w:p>
    <w:p w14:paraId="5625B7AC" w14:textId="77777777" w:rsidR="00F17390" w:rsidRDefault="00F17390" w:rsidP="00F17390"/>
    <w:p w14:paraId="000414F5" w14:textId="77777777" w:rsidR="00F17390" w:rsidRDefault="00F17390" w:rsidP="00F17390">
      <w:r>
        <w:t>The arithmetic appears to annualize monthly average revenue over 12 months, which does not appear consistent with the nine-quarter horizon used elsewhere in the deck. The displayed average-revenue units also appear inconsistent with the standard-deviation units and forecast totals.</w:t>
      </w:r>
    </w:p>
    <w:p w14:paraId="37A4BBD1" w14:textId="77777777" w:rsidR="00F17390" w:rsidRDefault="00F17390" w:rsidP="00F17390"/>
    <w:p w14:paraId="45C61F56" w14:textId="77777777" w:rsidR="00F17390" w:rsidRDefault="00F17390" w:rsidP="00F17390">
      <w:r>
        <w:t>### Slide 19｜Broker and Held Away Revenue Assumptions and Limitations</w:t>
      </w:r>
    </w:p>
    <w:p w14:paraId="5CAD08D9" w14:textId="77777777" w:rsidR="00F17390" w:rsidRDefault="00F17390" w:rsidP="00F17390"/>
    <w:p w14:paraId="7539482B" w14:textId="77777777" w:rsidR="00F17390" w:rsidRDefault="00F17390" w:rsidP="00F17390">
      <w:r>
        <w:t>The method assumes that historical average revenue provides a reasonable baseline and that revenue remains stable through the forecast horizon. The stress case uses a statistical downside based on historical volatility.</w:t>
      </w:r>
    </w:p>
    <w:p w14:paraId="31928392" w14:textId="77777777" w:rsidR="00F17390" w:rsidRDefault="00F17390" w:rsidP="00F17390"/>
    <w:p w14:paraId="5BF3137F" w14:textId="5CCE4BBC" w:rsidR="004E6DC1" w:rsidRPr="00F17390" w:rsidRDefault="00F17390" w:rsidP="00F17390">
      <w:r>
        <w:t>The approach does not incorporate transaction volume, pricing, or macroeconomic drivers. It may therefore understate the effect of a structural stress event. The forecast period and revenue units should be reconciled before the results are incorporated into the portfolio total.</w:t>
      </w:r>
    </w:p>
    <w:sectPr w:rsidR="004E6DC1" w:rsidRPr="00F1739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390"/>
    <w:rsid w:val="00053C10"/>
    <w:rsid w:val="004E6DC1"/>
    <w:rsid w:val="006640FC"/>
    <w:rsid w:val="007F171D"/>
    <w:rsid w:val="007F71B1"/>
    <w:rsid w:val="008043F7"/>
    <w:rsid w:val="00964F3D"/>
    <w:rsid w:val="00A254BC"/>
    <w:rsid w:val="00F173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9FAA774"/>
  <w15:chartTrackingRefBased/>
  <w15:docId w15:val="{8B15AABC-25E4-6D48-B62B-8394B9F4B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17390"/>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F17390"/>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F17390"/>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F17390"/>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17390"/>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F17390"/>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1739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1739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17390"/>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1739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F1739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F1739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F17390"/>
    <w:rPr>
      <w:rFonts w:cstheme="majorBidi"/>
      <w:color w:val="2F5496" w:themeColor="accent1" w:themeShade="BF"/>
      <w:sz w:val="28"/>
      <w:szCs w:val="28"/>
    </w:rPr>
  </w:style>
  <w:style w:type="character" w:customStyle="1" w:styleId="50">
    <w:name w:val="标题 5 字符"/>
    <w:basedOn w:val="a0"/>
    <w:link w:val="5"/>
    <w:uiPriority w:val="9"/>
    <w:semiHidden/>
    <w:rsid w:val="00F17390"/>
    <w:rPr>
      <w:rFonts w:cstheme="majorBidi"/>
      <w:color w:val="2F5496" w:themeColor="accent1" w:themeShade="BF"/>
      <w:sz w:val="24"/>
    </w:rPr>
  </w:style>
  <w:style w:type="character" w:customStyle="1" w:styleId="60">
    <w:name w:val="标题 6 字符"/>
    <w:basedOn w:val="a0"/>
    <w:link w:val="6"/>
    <w:uiPriority w:val="9"/>
    <w:semiHidden/>
    <w:rsid w:val="00F17390"/>
    <w:rPr>
      <w:rFonts w:cstheme="majorBidi"/>
      <w:b/>
      <w:bCs/>
      <w:color w:val="2F5496" w:themeColor="accent1" w:themeShade="BF"/>
    </w:rPr>
  </w:style>
  <w:style w:type="character" w:customStyle="1" w:styleId="70">
    <w:name w:val="标题 7 字符"/>
    <w:basedOn w:val="a0"/>
    <w:link w:val="7"/>
    <w:uiPriority w:val="9"/>
    <w:semiHidden/>
    <w:rsid w:val="00F17390"/>
    <w:rPr>
      <w:rFonts w:cstheme="majorBidi"/>
      <w:b/>
      <w:bCs/>
      <w:color w:val="595959" w:themeColor="text1" w:themeTint="A6"/>
    </w:rPr>
  </w:style>
  <w:style w:type="character" w:customStyle="1" w:styleId="80">
    <w:name w:val="标题 8 字符"/>
    <w:basedOn w:val="a0"/>
    <w:link w:val="8"/>
    <w:uiPriority w:val="9"/>
    <w:semiHidden/>
    <w:rsid w:val="00F17390"/>
    <w:rPr>
      <w:rFonts w:cstheme="majorBidi"/>
      <w:color w:val="595959" w:themeColor="text1" w:themeTint="A6"/>
    </w:rPr>
  </w:style>
  <w:style w:type="character" w:customStyle="1" w:styleId="90">
    <w:name w:val="标题 9 字符"/>
    <w:basedOn w:val="a0"/>
    <w:link w:val="9"/>
    <w:uiPriority w:val="9"/>
    <w:semiHidden/>
    <w:rsid w:val="00F17390"/>
    <w:rPr>
      <w:rFonts w:eastAsiaTheme="majorEastAsia" w:cstheme="majorBidi"/>
      <w:color w:val="595959" w:themeColor="text1" w:themeTint="A6"/>
    </w:rPr>
  </w:style>
  <w:style w:type="paragraph" w:styleId="a3">
    <w:name w:val="Title"/>
    <w:basedOn w:val="a"/>
    <w:next w:val="a"/>
    <w:link w:val="a4"/>
    <w:uiPriority w:val="10"/>
    <w:qFormat/>
    <w:rsid w:val="00F1739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1739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1739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1739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17390"/>
    <w:pPr>
      <w:spacing w:before="160" w:after="160"/>
      <w:jc w:val="center"/>
    </w:pPr>
    <w:rPr>
      <w:i/>
      <w:iCs/>
      <w:color w:val="404040" w:themeColor="text1" w:themeTint="BF"/>
    </w:rPr>
  </w:style>
  <w:style w:type="character" w:customStyle="1" w:styleId="a8">
    <w:name w:val="引用 字符"/>
    <w:basedOn w:val="a0"/>
    <w:link w:val="a7"/>
    <w:uiPriority w:val="29"/>
    <w:rsid w:val="00F17390"/>
    <w:rPr>
      <w:i/>
      <w:iCs/>
      <w:color w:val="404040" w:themeColor="text1" w:themeTint="BF"/>
    </w:rPr>
  </w:style>
  <w:style w:type="paragraph" w:styleId="a9">
    <w:name w:val="List Paragraph"/>
    <w:basedOn w:val="a"/>
    <w:uiPriority w:val="34"/>
    <w:qFormat/>
    <w:rsid w:val="00F17390"/>
    <w:pPr>
      <w:ind w:left="720"/>
      <w:contextualSpacing/>
    </w:pPr>
  </w:style>
  <w:style w:type="character" w:styleId="aa">
    <w:name w:val="Intense Emphasis"/>
    <w:basedOn w:val="a0"/>
    <w:uiPriority w:val="21"/>
    <w:qFormat/>
    <w:rsid w:val="00F17390"/>
    <w:rPr>
      <w:i/>
      <w:iCs/>
      <w:color w:val="2F5496" w:themeColor="accent1" w:themeShade="BF"/>
    </w:rPr>
  </w:style>
  <w:style w:type="paragraph" w:styleId="ab">
    <w:name w:val="Intense Quote"/>
    <w:basedOn w:val="a"/>
    <w:next w:val="a"/>
    <w:link w:val="ac"/>
    <w:uiPriority w:val="30"/>
    <w:qFormat/>
    <w:rsid w:val="00F173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17390"/>
    <w:rPr>
      <w:i/>
      <w:iCs/>
      <w:color w:val="2F5496" w:themeColor="accent1" w:themeShade="BF"/>
    </w:rPr>
  </w:style>
  <w:style w:type="character" w:styleId="ad">
    <w:name w:val="Intense Reference"/>
    <w:basedOn w:val="a0"/>
    <w:uiPriority w:val="32"/>
    <w:qFormat/>
    <w:rsid w:val="00F1739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1117</Words>
  <Characters>6368</Characters>
  <Application>Microsoft Office Word</Application>
  <DocSecurity>0</DocSecurity>
  <Lines>53</Lines>
  <Paragraphs>14</Paragraphs>
  <ScaleCrop>false</ScaleCrop>
  <Company/>
  <LinksUpToDate>false</LinksUpToDate>
  <CharactersWithSpaces>7471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宇轩 黄</dc:creator>
  <cp:keywords/>
  <dc:description/>
  <cp:lastModifiedBy>宇轩 黄</cp:lastModifiedBy>
  <cp:revision>1</cp:revision>
  <dcterms:created xsi:type="dcterms:W3CDTF">2026-09-25T18:10:00Z</dcterms:created>
  <dcterms:modified xsi:type="dcterms:W3CDTF">2026-09-25T18:10:00Z</dcterms:modified>
</cp:coreProperties>
</file>