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rPr>
          <w:b w:val="0"/>
        </w:rPr>
        <w:t>Card Fee Model Development Documentation</w:t>
      </w:r>
    </w:p>
    <w:p>
      <w:pPr>
        <w:pStyle w:val="Subtitle"/>
        <w:widowControl/>
      </w:pPr>
      <w:r>
        <w:rPr>
          <w:rFonts w:ascii="Times New Roman" w:hAnsi="Times New Roman" w:eastAsia="Noto Sans CJK SC"/>
          <w:color w:val="000000"/>
          <w:sz w:val="26"/>
          <w:lang w:val="en-US" w:eastAsia="zh-CN"/>
        </w:rPr>
        <w:t>Commercial and Small Business Card</w:t>
        <w:br/>
        <w:t>Consumer Card and Debit Card</w:t>
      </w:r>
    </w:p>
    <w:p>
      <w:pPr>
        <w:widowControl/>
      </w:pPr>
      <w:r>
        <w:rPr>
          <w:rFonts w:ascii="Times New Roman" w:hAnsi="Times New Roman" w:eastAsia="Noto Sans CJK SC"/>
          <w:color w:val="000000"/>
          <w:sz w:val="22"/>
          <w:lang w:val="en-US" w:eastAsia="zh-CN"/>
        </w:rPr>
        <w:t>Version 6</w:t>
      </w:r>
    </w:p>
    <w:p>
      <w:pPr>
        <w:widowControl/>
      </w:pPr>
      <w:r>
        <w:rPr>
          <w:rFonts w:ascii="Times New Roman" w:hAnsi="Times New Roman"/>
          <w:color w:val="000000"/>
        </w:rPr>
        <w:t>Historical data through December 2025</w:t>
        <w:br/>
        <w:t>Quantitative projection horizon January 2026 through March 2028</w:t>
      </w:r>
    </w:p>
    <w:p>
      <w:pPr>
        <w:pStyle w:val="Subtitle"/>
        <w:widowControl/>
      </w:pPr>
      <w:r>
        <w:rPr>
          <w:rFonts w:ascii="Times New Roman" w:hAnsi="Times New Roman" w:eastAsia="Noto Sans CJK SC"/>
          <w:color w:val="000000"/>
          <w:sz w:val="26"/>
          <w:lang w:val="en-US" w:eastAsia="zh-CN"/>
        </w:rPr>
        <w:t>Document date October 14 2026</w:t>
      </w:r>
    </w:p>
    <w:p>
      <w:pPr>
        <w:widowControl/>
      </w:pPr>
      <w:r>
        <w:rPr>
          <w:rFonts w:ascii="Times New Roman" w:hAnsi="Times New Roman" w:eastAsia="Noto Sans CJK SC"/>
          <w:color w:val="000000"/>
          <w:sz w:val="22"/>
          <w:lang w:val="en-US" w:eastAsia="zh-CN"/>
        </w:rPr>
        <w:t>The Card Fee Model provides a component-specific framework for forecasting Commercial Card and Small Business, Consumer Card, and Debit Card revenue. This document describes the business rationale, development data, model estimation, testing, implementation, monitoring and governance of that framework. Commercial and Consumer use regression models, while Debit uses historical quarterly calibration. The following sections explain each methodology and its supporting evidence.</w:t>
      </w:r>
    </w:p>
    <w:p>
      <w:pPr>
        <w:pStyle w:val="Caption"/>
        <w:keepNext/>
        <w:widowControl/>
        <w:spacing w:before="180" w:after="100"/>
      </w:pPr>
      <w:r>
        <w:rPr>
          <w:b w:val="0"/>
        </w:rPr>
        <w:t>Document control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0" w:type="dxa"/>
          <w:right w:w="80" w:type="dxa"/>
        </w:tblCellMar>
      </w:tblPr>
      <w:tblGrid>
        <w:gridCol w:w="2880"/>
        <w:gridCol w:w="7056"/>
      </w:tblGrid>
      <w:tr>
        <w:trPr>
          <w:cantSplit/>
          <w:tblHeader/>
        </w:trPr>
        <w:tc>
          <w:tcPr>
            <w:tcW w:type="dxa" w:w="288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E6ECF0"/>
          </w:tcPr>
          <w:p>
            <w:pPr>
              <w:keepNext/>
              <w:widowControl/>
              <w:spacing w:after="40" w:line="247" w:lineRule="auto" w:before="0"/>
              <w:jc w:val="left"/>
            </w:pPr>
            <w:r>
              <w:rPr>
                <w:rFonts w:ascii="Times New Roman" w:hAnsi="Times New Roman"/>
                <w:b/>
                <w:color w:val="000000"/>
                <w:sz w:val="19"/>
              </w:rPr>
              <w:t>Field</w:t>
            </w:r>
          </w:p>
        </w:tc>
        <w:tc>
          <w:tcPr>
            <w:tcW w:type="dxa" w:w="70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E6ECF0"/>
          </w:tcPr>
          <w:p>
            <w:pPr>
              <w:keepNext/>
              <w:widowControl/>
              <w:spacing w:after="40" w:line="247" w:lineRule="auto" w:before="0"/>
              <w:jc w:val="center"/>
            </w:pPr>
            <w:r>
              <w:rPr>
                <w:rFonts w:ascii="Times New Roman" w:hAnsi="Times New Roman"/>
                <w:b/>
                <w:color w:val="000000"/>
                <w:sz w:val="19"/>
              </w:rPr>
              <w:t>Record</w:t>
            </w:r>
          </w:p>
        </w:tc>
      </w:tr>
      <w:tr>
        <w:trPr>
          <w:cantSplit/>
        </w:trPr>
        <w:tc>
          <w:tcPr>
            <w:tcW w:type="dxa" w:w="288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Model name</w:t>
            </w:r>
          </w:p>
        </w:tc>
        <w:tc>
          <w:tcPr>
            <w:tcW w:type="dxa" w:w="70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Card Fee Model Suite</w:t>
            </w:r>
          </w:p>
        </w:tc>
      </w:tr>
      <w:tr>
        <w:trPr>
          <w:cantSplit/>
        </w:trPr>
        <w:tc>
          <w:tcPr>
            <w:tcW w:type="dxa" w:w="288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Model inventory IDs and risk tier</w:t>
            </w:r>
          </w:p>
        </w:tc>
        <w:tc>
          <w:tcPr>
            <w:tcW w:type="dxa" w:w="70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[confirm suite and component IDs and risk classification]</w:t>
            </w:r>
          </w:p>
        </w:tc>
      </w:tr>
      <w:tr>
        <w:trPr>
          <w:cantSplit/>
        </w:trPr>
        <w:tc>
          <w:tcPr>
            <w:tcW w:type="dxa" w:w="288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Model owner and developer</w:t>
            </w:r>
          </w:p>
        </w:tc>
        <w:tc>
          <w:tcPr>
            <w:tcW w:type="dxa" w:w="70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[insert names, titles and business units]</w:t>
            </w:r>
          </w:p>
        </w:tc>
      </w:tr>
      <w:tr>
        <w:trPr>
          <w:cantSplit/>
        </w:trPr>
        <w:tc>
          <w:tcPr>
            <w:tcW w:type="dxa" w:w="288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Business users</w:t>
            </w:r>
          </w:p>
        </w:tc>
        <w:tc>
          <w:tcPr>
            <w:tcW w:type="dxa" w:w="70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[confirm Strategic Finance, Capital Planning and other users]</w:t>
            </w:r>
          </w:p>
        </w:tc>
      </w:tr>
      <w:tr>
        <w:trPr>
          <w:cantSplit/>
        </w:trPr>
        <w:tc>
          <w:tcPr>
            <w:tcW w:type="dxa" w:w="288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Version and approval</w:t>
            </w:r>
          </w:p>
        </w:tc>
        <w:tc>
          <w:tcPr>
            <w:tcW w:type="dxa" w:w="70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eastAsia="Noto Sans CJK SC"/>
                <w:color w:val="000000"/>
                <w:sz w:val="22"/>
                <w:lang w:val="en-US" w:eastAsia="zh-CN"/>
              </w:rPr>
              <w:t>Version 6; [approval authority, date and status]</w:t>
            </w:r>
          </w:p>
        </w:tc>
      </w:tr>
    </w:tbl>
    <w:p>
      <w:pPr>
        <w:widowControl/>
        <w:spacing w:after="140"/>
      </w:pPr>
      <w:r>
        <w:rPr>
          <w:rFonts w:ascii="Times New Roman" w:hAnsi="Times New Roman"/>
          <w:color w:val="000000"/>
        </w:rPr>
        <w:t>All fee-revenue amounts are in $000 (thousands of US dollars), with no rescaling applied.</w:t>
      </w:r>
    </w:p>
    <w:p>
      <w:pPr>
        <w:widowControl/>
      </w:pPr>
      <w:r>
        <w:rPr>
          <w:rFonts w:ascii="Times New Roman" w:hAnsi="Times New Roman"/>
          <w:color w:val="000000"/>
          <w:sz w:val="18"/>
        </w:rPr>
        <w:t>Source notation: key statistical and forecast-error values are followed by the component, actual file name and CSV row and column, for example [consumer/​model_​diagnostics.csv/​row 3 col 6]. CSV headers count as row 1 and columns are counted from the left. Component source locations are listed in Appendix G. Other numerical information is supported by the relevant table or figure source caption. Fee-revenue amounts are in $000; display rounding is for presentation only.</w:t>
      </w:r>
    </w:p>
    <w:p>
      <w:pPr>
        <w:pStyle w:val="Heading1"/>
        <w:keepNext/>
      </w:pPr>
      <w:r>
        <w:t>Contents</w:t>
      </w:r>
    </w:p>
    <w:p>
      <w:pPr>
        <w:widowControl/>
        <w:spacing w:after="40"/>
      </w:pPr>
      <w:r>
        <w:rPr>
          <w:b w:val="0"/>
        </w:rPr>
        <w:t>1. Executive Summary</w:t>
      </w:r>
    </w:p>
    <w:p>
      <w:pPr>
        <w:widowControl/>
        <w:spacing w:after="40"/>
      </w:pPr>
      <w:r>
        <w:rPr>
          <w:b w:val="0"/>
        </w:rPr>
        <w:t>2. Model Theory and Design</w:t>
      </w:r>
    </w:p>
    <w:p>
      <w:pPr>
        <w:widowControl/>
        <w:spacing w:after="40"/>
      </w:pPr>
      <w:r>
        <w:rPr>
          <w:b w:val="0"/>
        </w:rPr>
        <w:t>3. Model Estimation</w:t>
      </w:r>
    </w:p>
    <w:p>
      <w:pPr>
        <w:widowControl/>
        <w:spacing w:after="40"/>
      </w:pPr>
      <w:r>
        <w:rPr>
          <w:b w:val="0"/>
        </w:rPr>
        <w:t>4. Development Data</w:t>
      </w:r>
    </w:p>
    <w:p>
      <w:pPr>
        <w:widowControl/>
        <w:spacing w:after="40"/>
      </w:pPr>
      <w:r>
        <w:rPr>
          <w:b w:val="0"/>
        </w:rPr>
        <w:t>5. Linkages with Other Models</w:t>
      </w:r>
    </w:p>
    <w:p>
      <w:pPr>
        <w:widowControl/>
        <w:spacing w:after="40"/>
      </w:pPr>
      <w:r>
        <w:rPr>
          <w:b w:val="0"/>
        </w:rPr>
        <w:t>6. Model Testing</w:t>
      </w:r>
    </w:p>
    <w:p>
      <w:pPr>
        <w:widowControl/>
        <w:spacing w:after="40"/>
      </w:pPr>
      <w:r>
        <w:rPr>
          <w:b w:val="0"/>
        </w:rPr>
        <w:t>7. Model Implementation</w:t>
      </w:r>
    </w:p>
    <w:p>
      <w:pPr>
        <w:widowControl/>
        <w:spacing w:after="40"/>
      </w:pPr>
      <w:r>
        <w:rPr>
          <w:b w:val="0"/>
        </w:rPr>
        <w:t>8. Model Monitoring</w:t>
      </w:r>
    </w:p>
    <w:p>
      <w:pPr>
        <w:widowControl/>
        <w:spacing w:after="40"/>
      </w:pPr>
      <w:r>
        <w:rPr>
          <w:b w:val="0"/>
        </w:rPr>
        <w:t>9. Procedures</w:t>
      </w:r>
    </w:p>
    <w:p>
      <w:pPr>
        <w:widowControl/>
        <w:spacing w:after="40"/>
      </w:pPr>
      <w:r>
        <w:rPr>
          <w:b w:val="0"/>
        </w:rPr>
        <w:t>10. Governance</w:t>
      </w:r>
    </w:p>
    <w:p>
      <w:pPr>
        <w:widowControl/>
        <w:spacing w:after="40"/>
      </w:pPr>
      <w:r>
        <w:rPr>
          <w:b w:val="0"/>
        </w:rPr>
        <w:t>11. Appendix Information</w:t>
      </w:r>
    </w:p>
    <w:p>
      <w:r>
        <w:br w:type="page"/>
      </w:r>
    </w:p>
    <w:p>
      <w:pPr>
        <w:pStyle w:val="Heading1"/>
        <w:keepNext/>
        <w:pageBreakBefore/>
        <w:widowControl/>
        <w:spacing w:before="160" w:after="80"/>
      </w:pPr>
      <w:r>
        <w:rPr>
          <w:rFonts w:ascii="Times New Roman" w:hAnsi="Times New Roman"/>
          <w:color w:val="000000"/>
        </w:rPr>
        <w:t>1. Executive Summary</w:t>
      </w:r>
    </w:p>
    <w:p>
      <w:pPr>
        <w:pStyle w:val="Heading2"/>
        <w:keepNext/>
        <w:widowControl/>
        <w:spacing w:before="160" w:after="80"/>
      </w:pPr>
      <w:r>
        <w:rPr>
          <w:rFonts w:ascii="Times New Roman" w:hAnsi="Times New Roman"/>
          <w:color w:val="000000"/>
        </w:rPr>
        <w:t>1.1 Model Overview</w:t>
      </w:r>
    </w:p>
    <w:p>
      <w:pPr>
        <w:widowControl/>
        <w:spacing w:after="100"/>
      </w:pPr>
      <w:r>
        <w:rPr>
          <w:rFonts w:ascii="Times New Roman" w:hAnsi="Times New Roman" w:eastAsia="Noto Sans CJK SC"/>
          <w:color w:val="000000"/>
          <w:sz w:val="22"/>
          <w:lang w:val="en-US" w:eastAsia="zh-CN"/>
        </w:rPr>
        <w:t>The Card Fee Model was developed to forecast card fee revenue for Comprehensive Capital Analysis and Review (CCAR), stress testing, capital planning, budgeting, and Pre-Provision Net Revenue (PPNR) forecasting. The model provides a quantitative framework for translating historical revenue behavior, relevant macroeconomic conditions and documented business assumptions into forward-looking projections. It covers Commercial Card and Small Business, Consumer Card, and Debit Card through component-specific regression and historical calibration approaches. Development used monthly observations spanning January 2011 through December 2025, with separate estimation windows and transformations for each component. The framework was designed to remain transparent, economically interpretable, operationally practical and consistent with Model Risk Management expectations.</w:t>
      </w:r>
    </w:p>
    <w:p>
      <w:pPr>
        <w:pStyle w:val="Heading2"/>
        <w:keepNext/>
        <w:widowControl/>
        <w:spacing w:before="160" w:after="80"/>
      </w:pPr>
      <w:r>
        <w:rPr>
          <w:rFonts w:ascii="Times New Roman" w:hAnsi="Times New Roman"/>
          <w:color w:val="000000"/>
        </w:rPr>
        <w:t>1.2 Business Purpose</w:t>
      </w:r>
    </w:p>
    <w:p>
      <w:pPr>
        <w:widowControl/>
        <w:spacing w:after="100"/>
      </w:pPr>
      <w:r>
        <w:rPr>
          <w:rFonts w:ascii="Times New Roman" w:hAnsi="Times New Roman"/>
          <w:color w:val="000000"/>
        </w:rPr>
        <w:t>Card fee revenue represents an important component of non-interest income generation across Commercial Card and Small Business, Consumer Card, and Debit Card activities.</w:t>
      </w:r>
    </w:p>
    <w:p>
      <w:pPr>
        <w:widowControl/>
        <w:spacing w:after="100"/>
      </w:pPr>
      <w:r>
        <w:rPr>
          <w:rFonts w:ascii="Times New Roman" w:hAnsi="Times New Roman" w:eastAsia="Noto Sans CJK SC"/>
          <w:color w:val="000000"/>
          <w:sz w:val="22"/>
          <w:lang w:val="en-US" w:eastAsia="zh-CN"/>
        </w:rPr>
        <w:t>Forecasting card fee revenue is inherently challenging because customer spending, payment preferences, transaction activity, product mix, pricing and business initiatives can affect realized outcomes. These influences are not fully represented by aggregate revenue and macroeconomic data. The objective is therefore to identify recurring revenue dynamics and economically meaningful relationships that can be projected within planning and stress-testing environments. Separate component approaches accommodate differences in seasonal behavior, adjustment dynamics and the statistical support for a regression relationship.</w:t>
      </w:r>
    </w:p>
    <w:p>
      <w:pPr>
        <w:pStyle w:val="Heading2"/>
        <w:keepNext/>
        <w:widowControl/>
        <w:spacing w:before="160" w:after="80"/>
      </w:pPr>
      <w:r>
        <w:rPr>
          <w:rFonts w:ascii="Times New Roman" w:hAnsi="Times New Roman"/>
          <w:color w:val="000000"/>
        </w:rPr>
        <w:t>1.3 Intended Use</w:t>
      </w:r>
    </w:p>
    <w:p>
      <w:pPr>
        <w:widowControl/>
        <w:spacing w:after="100"/>
      </w:pPr>
      <w:r>
        <w:rPr>
          <w:rFonts w:ascii="Times New Roman" w:hAnsi="Times New Roman"/>
          <w:color w:val="000000"/>
        </w:rPr>
        <w:t>Model outputs support CCAR forecasting and capital planning. Forecasts are intended to inform management decision-making and provide a disciplined framework for evaluating prospective changes in card fee revenue under alternative economic and business conditions. The model is not intended to evaluate individual customers, determine card pricing or fee structures, or replace management judgment.</w:t>
      </w:r>
    </w:p>
    <w:p>
      <w:pPr>
        <w:pStyle w:val="Heading2"/>
        <w:keepNext/>
        <w:widowControl/>
        <w:spacing w:before="160" w:after="80"/>
      </w:pPr>
      <w:r>
        <w:rPr>
          <w:rFonts w:ascii="Times New Roman" w:hAnsi="Times New Roman"/>
          <w:color w:val="000000"/>
        </w:rPr>
        <w:t>1.4 Development Summary</w:t>
      </w:r>
    </w:p>
    <w:p>
      <w:pPr>
        <w:widowControl/>
        <w:spacing w:after="100"/>
      </w:pPr>
      <w:r>
        <w:rPr>
          <w:rFonts w:ascii="Times New Roman" w:hAnsi="Times New Roman" w:eastAsia="Noto Sans CJK SC"/>
          <w:color w:val="000000"/>
          <w:sz w:val="22"/>
          <w:lang w:val="en-US" w:eastAsia="zh-CN"/>
        </w:rPr>
        <w:t>Model development followed a structured process that moved from component-specific candidate variables through transformation, statistical screening, specification selection and forecast testing. The candidate sets included revenue lags, growth rates, seasonal indicators and moving averages. For the combined Commercial Card and Small Business model, short-run macroeconomic candidates were pre-screened using partial-correlation significance and sign consistency across the development and out-of-time periods. Subsequent short-run variable selection and coefficient estimation used development-period observations. Consumer Card selection used the development sample before later-period testing. Debit Card regression candidates did not satisfy the complete acceptance criteria, leading to a historical quarterly calibration. The process sought a balance of statistical evidence, economic interpretability and forecasting practicality rather than the highest in-sample fit alone.</w:t>
      </w:r>
    </w:p>
    <w:p>
      <w:pPr>
        <w:pStyle w:val="Heading2"/>
        <w:keepNext/>
        <w:widowControl/>
        <w:spacing w:before="160" w:after="80"/>
      </w:pPr>
      <w:r>
        <w:rPr>
          <w:rFonts w:ascii="Times New Roman" w:hAnsi="Times New Roman"/>
          <w:color w:val="000000"/>
        </w:rPr>
        <w:t>1.5 Final Model</w:t>
      </w:r>
    </w:p>
    <w:p>
      <w:pPr>
        <w:pStyle w:val="Heading3"/>
        <w:keepNext/>
        <w:widowControl/>
        <w:spacing w:before="160" w:after="80"/>
      </w:pPr>
      <w:r>
        <w:rPr>
          <w:rFonts w:ascii="Times New Roman" w:hAnsi="Times New Roman"/>
          <w:color w:val="000000"/>
        </w:rPr>
        <w:t>Commercial Card and Small Business</w:t>
      </w:r>
    </w:p>
    <w:p>
      <w:pPr>
        <w:widowControl/>
        <w:spacing w:after="100"/>
      </w:pPr>
      <w:r>
        <w:rPr>
          <w:rFonts w:ascii="Times New Roman" w:hAnsi="Times New Roman" w:eastAsia="Noto Sans CJK SC"/>
          <w:color w:val="000000"/>
          <w:sz w:val="22"/>
          <w:lang w:val="en-US" w:eastAsia="zh-CN"/>
        </w:rPr>
        <w:t>The final Commercial Card and Small Business specification combines a CPI-based long-run revenue reference with a short-run equation for year-over-year fee growth. The adjusted error-correction term represents the relationship between a prior deviation from the reference and subsequent growth. Lagged fee-growth terms represent persistence, while lagged Corporate Profits growth captures a business-conditions association. Each term has a distinct role within the forecasting mechanism. The specification assumes that the nominal reference, historical adjustment relationships and calibrated EC treatment remain relevant over the projection horizon.</w:t>
      </w:r>
    </w:p>
    <w:p>
      <w:pPr>
        <w:pStyle w:val="Caption"/>
        <w:keepNext/>
        <w:widowControl/>
        <w:spacing w:before="180" w:after="100"/>
      </w:pPr>
      <w:r>
        <w:rPr>
          <w:rFonts w:ascii="Times New Roman" w:hAnsi="Times New Roman"/>
          <w:color w:val="000000"/>
        </w:rPr>
        <w:t>Table 1.1 Commercial Card and Small Business Final Model Variable Summary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0" w:type="dxa"/>
          <w:right w:w="80" w:type="dxa"/>
        </w:tblCellMar>
      </w:tblPr>
      <w:tblGrid>
        <w:gridCol w:w="3672"/>
        <w:gridCol w:w="2448"/>
        <w:gridCol w:w="3600"/>
      </w:tblGrid>
      <w:tr>
        <w:trPr>
          <w:tblHeader/>
          <w:cantSplit/>
        </w:trPr>
        <w:tc>
          <w:tcPr>
            <w:tcW w:type="dxa" w:w="3672"/>
            <w:vAlign w:val="center"/>
            <w:shd w:fill="E6ECF0"/>
          </w:tcPr>
          <w:p>
            <w:pPr>
              <w:keepNext/>
              <w:widowControl/>
              <w:spacing w:before="0" w:after="40" w:line="247" w:lineRule="auto"/>
            </w:pPr>
            <w:r>
              <w:rPr>
                <w:rFonts w:ascii="Times New Roman" w:hAnsi="Times New Roman"/>
                <w:b/>
                <w:color w:val="000000"/>
                <w:sz w:val="20"/>
              </w:rPr>
              <w:t>Variable</w:t>
            </w:r>
          </w:p>
        </w:tc>
        <w:tc>
          <w:tcPr>
            <w:tcW w:type="dxa" w:w="2448"/>
            <w:vAlign w:val="center"/>
            <w:shd w:fill="E6ECF0"/>
          </w:tcPr>
          <w:p>
            <w:pPr>
              <w:keepNext/>
              <w:widowControl/>
              <w:spacing w:before="0" w:after="40" w:line="247" w:lineRule="auto"/>
            </w:pPr>
            <w:r>
              <w:rPr>
                <w:rFonts w:ascii="Times New Roman" w:hAnsi="Times New Roman"/>
                <w:b/>
                <w:color w:val="000000"/>
                <w:sz w:val="20"/>
              </w:rPr>
              <w:t>Description</w:t>
            </w:r>
          </w:p>
        </w:tc>
        <w:tc>
          <w:tcPr>
            <w:tcW w:type="dxa" w:w="3600"/>
            <w:vAlign w:val="center"/>
            <w:shd w:fill="E6ECF0"/>
          </w:tcPr>
          <w:p>
            <w:pPr>
              <w:keepNext/>
              <w:widowControl/>
              <w:spacing w:before="0" w:after="40" w:line="247" w:lineRule="auto"/>
            </w:pPr>
            <w:r>
              <w:rPr>
                <w:rFonts w:ascii="Times New Roman" w:hAnsi="Times New Roman"/>
                <w:b/>
                <w:color w:val="000000"/>
                <w:sz w:val="20"/>
              </w:rPr>
              <w:t>Construction</w:t>
            </w:r>
          </w:p>
        </w:tc>
      </w:tr>
      <w:tr>
        <w:trPr>
          <w:cantSplit/>
        </w:trPr>
        <w:tc>
          <w:tcPr>
            <w:tcW w:type="dxa" w:w="3672"/>
            <w:vAlign w:val="center"/>
            <w:shd w:fill="FFFFFF"/>
          </w:tcPr>
          <w:p>
            <w:pPr>
              <w:keepNext w:val="0"/>
              <w:widowControl/>
              <w:spacing w:before="0" w:after="40" w:line="247" w:lineRule="auto"/>
            </w:pPr>
            <w:r>
              <w:rPr>
                <w:rFonts w:ascii="Times New Roman" w:hAnsi="Times New Roman"/>
                <w:color w:val="000000"/>
                <w:sz w:val="20"/>
              </w:rPr>
              <w:t>consumer_​price_​index</w:t>
            </w:r>
          </w:p>
        </w:tc>
        <w:tc>
          <w:tcPr>
            <w:tcW w:type="dxa" w:w="2448"/>
            <w:vAlign w:val="center"/>
            <w:shd w:fill="FFFFFF"/>
          </w:tcPr>
          <w:p>
            <w:pPr>
              <w:keepNext w:val="0"/>
              <w:widowControl/>
              <w:spacing w:before="0" w:after="40" w:line="247" w:lineRule="auto"/>
            </w:pPr>
            <w:r>
              <w:rPr>
                <w:rFonts w:ascii="Times New Roman" w:hAnsi="Times New Roman"/>
                <w:color w:val="000000"/>
                <w:sz w:val="20"/>
              </w:rPr>
              <w:t>Long-run nominal revenue reference</w:t>
            </w:r>
          </w:p>
        </w:tc>
        <w:tc>
          <w:tcPr>
            <w:tcW w:type="dxa" w:w="3600"/>
            <w:vAlign w:val="center"/>
            <w:shd w:fill="FFFFFF"/>
          </w:tcPr>
          <w:p>
            <w:pPr>
              <w:keepNext w:val="0"/>
              <w:widowControl/>
              <w:spacing w:before="0" w:after="40" w:line="247" w:lineRule="auto"/>
            </w:pPr>
            <w:r>
              <w:rPr>
                <w:rFonts w:ascii="Times New Roman" w:hAnsi="Times New Roman"/>
                <w:color w:val="000000"/>
                <w:sz w:val="20"/>
              </w:rPr>
              <w:t>CPI level from M_​FCPIU_​B.IUSA; no growth transformation or lag in the long-run equation.</w:t>
            </w:r>
          </w:p>
        </w:tc>
      </w:tr>
      <w:tr>
        <w:trPr>
          <w:cantSplit/>
        </w:trPr>
        <w:tc>
          <w:tcPr>
            <w:tcW w:type="dxa" w:w="3672"/>
            <w:vAlign w:val="center"/>
            <w:shd w:fill="FFFFFF"/>
          </w:tcPr>
          <w:p>
            <w:pPr>
              <w:keepNext w:val="0"/>
              <w:widowControl/>
              <w:spacing w:before="0" w:after="40" w:line="247" w:lineRule="auto"/>
            </w:pPr>
            <w:r>
              <w:rPr>
                <w:rFonts w:ascii="Times New Roman" w:hAnsi="Times New Roman"/>
                <w:color w:val="000000"/>
                <w:sz w:val="20"/>
              </w:rPr>
              <w:t>ec_​scaled_​adjusted_​pct_​lag_​12m</w:t>
            </w:r>
          </w:p>
        </w:tc>
        <w:tc>
          <w:tcPr>
            <w:tcW w:type="dxa" w:w="2448"/>
            <w:vAlign w:val="center"/>
            <w:shd w:fill="FFFFFF"/>
          </w:tcPr>
          <w:p>
            <w:pPr>
              <w:keepNext w:val="0"/>
              <w:widowControl/>
              <w:spacing w:before="0" w:after="40" w:line="247" w:lineRule="auto"/>
            </w:pPr>
            <w:r>
              <w:rPr>
                <w:rFonts w:ascii="Times New Roman" w:hAnsi="Times New Roman"/>
                <w:color w:val="000000"/>
                <w:sz w:val="20"/>
              </w:rPr>
              <w:t>Lagged adjusted error-correction term</w:t>
            </w:r>
          </w:p>
        </w:tc>
        <w:tc>
          <w:tcPr>
            <w:tcW w:type="dxa" w:w="3600"/>
            <w:vAlign w:val="center"/>
            <w:shd w:fill="FFFFFF"/>
          </w:tcPr>
          <w:p>
            <w:pPr>
              <w:keepNext w:val="0"/>
              <w:widowControl/>
              <w:spacing w:before="0" w:after="40" w:line="247" w:lineRule="auto"/>
            </w:pPr>
            <w:r>
              <w:rPr>
                <w:rFonts w:ascii="Times New Roman" w:hAnsi="Times New Roman"/>
                <w:color w:val="000000"/>
                <w:sz w:val="20"/>
              </w:rPr>
              <w:t>Fee deviation from its fitted long-run reference, divided by that reference and expressed as a percentage; subtract the contemporaneous trend adjustment, then lag 12 months.</w:t>
            </w:r>
          </w:p>
        </w:tc>
      </w:tr>
      <w:tr>
        <w:trPr>
          <w:cantSplit/>
        </w:trPr>
        <w:tc>
          <w:tcPr>
            <w:tcW w:type="dxa" w:w="3672"/>
            <w:vAlign w:val="center"/>
            <w:shd w:fill="FFFFFF"/>
          </w:tcPr>
          <w:p>
            <w:pPr>
              <w:keepNext w:val="0"/>
              <w:widowControl/>
              <w:spacing w:before="0" w:after="40" w:line="247" w:lineRule="auto"/>
            </w:pPr>
            <w:r>
              <w:rPr>
                <w:rFonts w:ascii="Times New Roman" w:hAnsi="Times New Roman"/>
                <w:color w:val="000000"/>
                <w:sz w:val="20"/>
              </w:rPr>
              <w:t>commercial_​small_​business_​fee_​pct_​change_​12m_​lag_​1m</w:t>
            </w:r>
          </w:p>
        </w:tc>
        <w:tc>
          <w:tcPr>
            <w:tcW w:type="dxa" w:w="2448"/>
            <w:vAlign w:val="center"/>
            <w:shd w:fill="FFFFFF"/>
          </w:tcPr>
          <w:p>
            <w:pPr>
              <w:keepNext w:val="0"/>
              <w:widowControl/>
              <w:spacing w:before="0" w:after="40" w:line="247" w:lineRule="auto"/>
            </w:pPr>
            <w:r>
              <w:rPr>
                <w:rFonts w:ascii="Times New Roman" w:hAnsi="Times New Roman"/>
                <w:color w:val="000000"/>
                <w:sz w:val="20"/>
              </w:rPr>
              <w:t>Lagged annual fee growth</w:t>
            </w:r>
          </w:p>
        </w:tc>
        <w:tc>
          <w:tcPr>
            <w:tcW w:type="dxa" w:w="3600"/>
            <w:vAlign w:val="center"/>
            <w:shd w:fill="FFFFFF"/>
          </w:tcPr>
          <w:p>
            <w:pPr>
              <w:keepNext w:val="0"/>
              <w:widowControl/>
              <w:spacing w:before="0" w:after="40" w:line="247" w:lineRule="auto"/>
            </w:pPr>
            <w:r>
              <w:rPr>
                <w:rFonts w:ascii="Times New Roman" w:hAnsi="Times New Roman"/>
                <w:color w:val="000000"/>
                <w:sz w:val="20"/>
              </w:rPr>
              <w:t>Year-over-year percentage change in combined fees, lagged 1 month.</w:t>
            </w:r>
          </w:p>
        </w:tc>
      </w:tr>
      <w:tr>
        <w:trPr>
          <w:cantSplit/>
        </w:trPr>
        <w:tc>
          <w:tcPr>
            <w:tcW w:type="dxa" w:w="3672"/>
            <w:vAlign w:val="center"/>
            <w:shd w:fill="FFFFFF"/>
          </w:tcPr>
          <w:p>
            <w:pPr>
              <w:keepNext w:val="0"/>
              <w:widowControl/>
              <w:spacing w:before="0" w:after="40" w:line="247" w:lineRule="auto"/>
            </w:pPr>
            <w:r>
              <w:rPr>
                <w:rFonts w:ascii="Times New Roman" w:hAnsi="Times New Roman"/>
                <w:color w:val="000000"/>
                <w:sz w:val="20"/>
              </w:rPr>
              <w:t>commercial_​small_​business_​fee_​pct_​change_​12m_​lag_​6m</w:t>
            </w:r>
          </w:p>
        </w:tc>
        <w:tc>
          <w:tcPr>
            <w:tcW w:type="dxa" w:w="2448"/>
            <w:vAlign w:val="center"/>
            <w:shd w:fill="FFFFFF"/>
          </w:tcPr>
          <w:p>
            <w:pPr>
              <w:keepNext w:val="0"/>
              <w:widowControl/>
              <w:spacing w:before="0" w:after="40" w:line="247" w:lineRule="auto"/>
            </w:pPr>
            <w:r>
              <w:rPr>
                <w:rFonts w:ascii="Times New Roman" w:hAnsi="Times New Roman"/>
                <w:color w:val="000000"/>
                <w:sz w:val="20"/>
              </w:rPr>
              <w:t>Lagged annual fee growth</w:t>
            </w:r>
          </w:p>
        </w:tc>
        <w:tc>
          <w:tcPr>
            <w:tcW w:type="dxa" w:w="3600"/>
            <w:vAlign w:val="center"/>
            <w:shd w:fill="FFFFFF"/>
          </w:tcPr>
          <w:p>
            <w:pPr>
              <w:keepNext w:val="0"/>
              <w:widowControl/>
              <w:spacing w:before="0" w:after="40" w:line="247" w:lineRule="auto"/>
            </w:pPr>
            <w:r>
              <w:rPr>
                <w:rFonts w:ascii="Times New Roman" w:hAnsi="Times New Roman"/>
                <w:color w:val="000000"/>
                <w:sz w:val="20"/>
              </w:rPr>
              <w:t>Year-over-year percentage change in combined fees, lagged 6 months.</w:t>
            </w:r>
          </w:p>
        </w:tc>
      </w:tr>
      <w:tr>
        <w:trPr>
          <w:cantSplit/>
        </w:trPr>
        <w:tc>
          <w:tcPr>
            <w:tcW w:type="dxa" w:w="3672"/>
            <w:vAlign w:val="center"/>
            <w:shd w:fill="FFFFFF"/>
          </w:tcPr>
          <w:p>
            <w:pPr>
              <w:keepNext w:val="0"/>
              <w:widowControl/>
              <w:spacing w:before="0" w:after="40" w:line="247" w:lineRule="auto"/>
            </w:pPr>
            <w:r>
              <w:rPr>
                <w:rFonts w:ascii="Times New Roman" w:hAnsi="Times New Roman"/>
                <w:color w:val="000000"/>
                <w:sz w:val="20"/>
              </w:rPr>
              <w:t>corporate_​profits_​pct_​change_​12m_​lag_​2m</w:t>
            </w:r>
          </w:p>
        </w:tc>
        <w:tc>
          <w:tcPr>
            <w:tcW w:type="dxa" w:w="2448"/>
            <w:vAlign w:val="center"/>
            <w:shd w:fill="FFFFFF"/>
          </w:tcPr>
          <w:p>
            <w:pPr>
              <w:keepNext w:val="0"/>
              <w:widowControl/>
              <w:spacing w:before="0" w:after="40" w:line="247" w:lineRule="auto"/>
            </w:pPr>
            <w:r>
              <w:rPr>
                <w:rFonts w:ascii="Times New Roman" w:hAnsi="Times New Roman"/>
                <w:color w:val="000000"/>
                <w:sz w:val="20"/>
              </w:rPr>
              <w:t>Business-conditions driver</w:t>
            </w:r>
          </w:p>
        </w:tc>
        <w:tc>
          <w:tcPr>
            <w:tcW w:type="dxa" w:w="3600"/>
            <w:vAlign w:val="center"/>
            <w:shd w:fill="FFFFFF"/>
          </w:tcPr>
          <w:p>
            <w:pPr>
              <w:keepNext w:val="0"/>
              <w:widowControl/>
              <w:spacing w:before="0" w:after="40" w:line="247" w:lineRule="auto"/>
            </w:pPr>
            <w:r>
              <w:rPr>
                <w:rFonts w:ascii="Times New Roman" w:hAnsi="Times New Roman"/>
                <w:color w:val="000000"/>
                <w:sz w:val="20"/>
              </w:rPr>
              <w:t>Year-over-year percentage change in Corporate Profits, lagged 2 months.</w:t>
            </w:r>
          </w:p>
        </w:tc>
      </w:tr>
    </w:tbl>
    <w:p>
      <w:pPr>
        <w:widowControl/>
        <w:spacing w:before="60" w:after="100"/>
      </w:pPr>
      <w:r>
        <w:rPr>
          <w:rFonts w:ascii="Times New Roman" w:hAnsi="Times New Roman"/>
          <w:color w:val="000000"/>
          <w:sz w:val="18"/>
        </w:rPr>
        <w:t>Sources: commercial/​commercial_​card_​model.py, lines 51–60 and 280–319; commercial/​short_​run_​coefficients.csv. CPI belongs to the long-run equation; the other terms belong to the short-run equation. Intercepts are reported in the detailed regression tables.</w:t>
      </w:r>
    </w:p>
    <w:p>
      <w:pPr>
        <w:pStyle w:val="Heading3"/>
        <w:keepNext/>
        <w:widowControl/>
        <w:spacing w:before="160" w:after="80"/>
      </w:pPr>
      <w:r>
        <w:rPr>
          <w:rFonts w:ascii="Times New Roman" w:hAnsi="Times New Roman"/>
          <w:color w:val="000000"/>
        </w:rPr>
        <w:t>Consumer Card</w:t>
      </w:r>
    </w:p>
    <w:p>
      <w:pPr>
        <w:widowControl/>
        <w:spacing w:after="100"/>
      </w:pPr>
      <w:r>
        <w:rPr>
          <w:rFonts w:ascii="Times New Roman" w:hAnsi="Times New Roman" w:eastAsia="Noto Sans CJK SC"/>
          <w:color w:val="000000"/>
          <w:sz w:val="22"/>
          <w:lang w:val="en-US" w:eastAsia="zh-CN"/>
        </w:rPr>
        <w:t>The final Consumer Card specification models monthly logarithmic fee changes using lagged revenue changes, January and December indicators, and smoothed Retail Sales growth. The lagged terms represent short-term adjustment, the calendar indicators represent recurring seasonal effects, and Retail Sales provides a spending-related macroeconomic driver. Together, these terms explain different aspects of monthly revenue behavior within a parsimonious equation. Forecasting assumes that these dynamic, seasonal and spending relationships remain relevant beyond the estimation sample.</w:t>
      </w:r>
    </w:p>
    <w:p>
      <w:pPr>
        <w:pStyle w:val="Caption"/>
        <w:keepNext/>
        <w:widowControl/>
        <w:spacing w:before="180" w:after="100"/>
      </w:pPr>
      <w:r>
        <w:rPr>
          <w:rFonts w:ascii="Times New Roman" w:hAnsi="Times New Roman"/>
          <w:color w:val="000000"/>
        </w:rPr>
        <w:t>Table 1.2 Consumer Card Final Model Variable Summary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0" w:type="dxa"/>
          <w:right w:w="80" w:type="dxa"/>
        </w:tblCellMar>
      </w:tblPr>
      <w:tblGrid>
        <w:gridCol w:w="3672"/>
        <w:gridCol w:w="2448"/>
        <w:gridCol w:w="3600"/>
      </w:tblGrid>
      <w:tr>
        <w:trPr>
          <w:tblHeader/>
          <w:cantSplit/>
        </w:trPr>
        <w:tc>
          <w:tcPr>
            <w:tcW w:type="dxa" w:w="3672"/>
            <w:vAlign w:val="center"/>
            <w:shd w:fill="E6ECF0"/>
          </w:tcPr>
          <w:p>
            <w:pPr>
              <w:keepNext/>
              <w:widowControl/>
              <w:spacing w:before="0" w:after="40" w:line="247" w:lineRule="auto"/>
            </w:pPr>
            <w:r>
              <w:rPr>
                <w:rFonts w:ascii="Times New Roman" w:hAnsi="Times New Roman"/>
                <w:b/>
                <w:color w:val="000000"/>
                <w:sz w:val="20"/>
              </w:rPr>
              <w:t>Variable</w:t>
            </w:r>
          </w:p>
        </w:tc>
        <w:tc>
          <w:tcPr>
            <w:tcW w:type="dxa" w:w="2448"/>
            <w:vAlign w:val="center"/>
            <w:shd w:fill="E6ECF0"/>
          </w:tcPr>
          <w:p>
            <w:pPr>
              <w:keepNext/>
              <w:widowControl/>
              <w:spacing w:before="0" w:after="40" w:line="247" w:lineRule="auto"/>
            </w:pPr>
            <w:r>
              <w:rPr>
                <w:rFonts w:ascii="Times New Roman" w:hAnsi="Times New Roman"/>
                <w:b/>
                <w:color w:val="000000"/>
                <w:sz w:val="20"/>
              </w:rPr>
              <w:t>Description</w:t>
            </w:r>
          </w:p>
        </w:tc>
        <w:tc>
          <w:tcPr>
            <w:tcW w:type="dxa" w:w="3600"/>
            <w:vAlign w:val="center"/>
            <w:shd w:fill="E6ECF0"/>
          </w:tcPr>
          <w:p>
            <w:pPr>
              <w:keepNext/>
              <w:widowControl/>
              <w:spacing w:before="0" w:after="40" w:line="247" w:lineRule="auto"/>
            </w:pPr>
            <w:r>
              <w:rPr>
                <w:rFonts w:ascii="Times New Roman" w:hAnsi="Times New Roman"/>
                <w:b/>
                <w:color w:val="000000"/>
                <w:sz w:val="20"/>
              </w:rPr>
              <w:t>Construction</w:t>
            </w:r>
          </w:p>
        </w:tc>
      </w:tr>
      <w:tr>
        <w:trPr>
          <w:cantSplit/>
        </w:trPr>
        <w:tc>
          <w:tcPr>
            <w:tcW w:type="dxa" w:w="3672"/>
            <w:vAlign w:val="center"/>
            <w:shd w:fill="FFFFFF"/>
          </w:tcPr>
          <w:p>
            <w:pPr>
              <w:keepNext w:val="0"/>
              <w:widowControl/>
              <w:spacing w:before="0" w:after="40" w:line="247" w:lineRule="auto"/>
            </w:pPr>
            <w:r>
              <w:rPr>
                <w:rFonts w:ascii="Times New Roman" w:hAnsi="Times New Roman"/>
                <w:color w:val="000000"/>
                <w:sz w:val="20"/>
              </w:rPr>
              <w:t>consumer_​card_​fee_​log_​change_​1m_​pct_​lag_​1m</w:t>
            </w:r>
          </w:p>
        </w:tc>
        <w:tc>
          <w:tcPr>
            <w:tcW w:type="dxa" w:w="2448"/>
            <w:vAlign w:val="center"/>
            <w:shd w:fill="FFFFFF"/>
          </w:tcPr>
          <w:p>
            <w:pPr>
              <w:keepNext w:val="0"/>
              <w:widowControl/>
              <w:spacing w:before="0" w:after="40" w:line="247" w:lineRule="auto"/>
            </w:pPr>
            <w:r>
              <w:rPr>
                <w:rFonts w:ascii="Times New Roman" w:hAnsi="Times New Roman"/>
                <w:color w:val="000000"/>
                <w:sz w:val="20"/>
              </w:rPr>
              <w:t>Lagged monthly fee log change</w:t>
            </w:r>
          </w:p>
        </w:tc>
        <w:tc>
          <w:tcPr>
            <w:tcW w:type="dxa" w:w="3600"/>
            <w:vAlign w:val="center"/>
            <w:shd w:fill="FFFFFF"/>
          </w:tcPr>
          <w:p>
            <w:pPr>
              <w:keepNext w:val="0"/>
              <w:widowControl/>
              <w:spacing w:before="0" w:after="40" w:line="247" w:lineRule="auto"/>
            </w:pPr>
            <w:r>
              <w:rPr>
                <w:rFonts w:ascii="Times New Roman" w:hAnsi="Times New Roman"/>
                <w:color w:val="000000"/>
                <w:sz w:val="20"/>
              </w:rPr>
              <w:t>Monthly log difference in Consumer fees, multiplied by 100 and lagged 1 month.</w:t>
            </w:r>
          </w:p>
        </w:tc>
      </w:tr>
      <w:tr>
        <w:trPr>
          <w:cantSplit/>
        </w:trPr>
        <w:tc>
          <w:tcPr>
            <w:tcW w:type="dxa" w:w="3672"/>
            <w:vAlign w:val="center"/>
            <w:shd w:fill="FFFFFF"/>
          </w:tcPr>
          <w:p>
            <w:pPr>
              <w:keepNext w:val="0"/>
              <w:widowControl/>
              <w:spacing w:before="0" w:after="40" w:line="247" w:lineRule="auto"/>
            </w:pPr>
            <w:r>
              <w:rPr>
                <w:rFonts w:ascii="Times New Roman" w:hAnsi="Times New Roman"/>
                <w:color w:val="000000"/>
                <w:sz w:val="20"/>
              </w:rPr>
              <w:t>consumer_​card_​fee_​log_​change_​1m_​pct_​lag_​2m</w:t>
            </w:r>
          </w:p>
        </w:tc>
        <w:tc>
          <w:tcPr>
            <w:tcW w:type="dxa" w:w="2448"/>
            <w:vAlign w:val="center"/>
            <w:shd w:fill="FFFFFF"/>
          </w:tcPr>
          <w:p>
            <w:pPr>
              <w:keepNext w:val="0"/>
              <w:widowControl/>
              <w:spacing w:before="0" w:after="40" w:line="247" w:lineRule="auto"/>
            </w:pPr>
            <w:r>
              <w:rPr>
                <w:rFonts w:ascii="Times New Roman" w:hAnsi="Times New Roman"/>
                <w:color w:val="000000"/>
                <w:sz w:val="20"/>
              </w:rPr>
              <w:t>Lagged monthly fee log change</w:t>
            </w:r>
          </w:p>
        </w:tc>
        <w:tc>
          <w:tcPr>
            <w:tcW w:type="dxa" w:w="3600"/>
            <w:vAlign w:val="center"/>
            <w:shd w:fill="FFFFFF"/>
          </w:tcPr>
          <w:p>
            <w:pPr>
              <w:keepNext w:val="0"/>
              <w:widowControl/>
              <w:spacing w:before="0" w:after="40" w:line="247" w:lineRule="auto"/>
            </w:pPr>
            <w:r>
              <w:rPr>
                <w:rFonts w:ascii="Times New Roman" w:hAnsi="Times New Roman"/>
                <w:color w:val="000000"/>
                <w:sz w:val="20"/>
              </w:rPr>
              <w:t>Monthly log difference in Consumer fees, multiplied by 100 and lagged 2 months.</w:t>
            </w:r>
          </w:p>
        </w:tc>
      </w:tr>
      <w:tr>
        <w:trPr>
          <w:cantSplit/>
        </w:trPr>
        <w:tc>
          <w:tcPr>
            <w:tcW w:type="dxa" w:w="3672"/>
            <w:vAlign w:val="center"/>
            <w:shd w:fill="FFFFFF"/>
          </w:tcPr>
          <w:p>
            <w:pPr>
              <w:keepNext w:val="0"/>
              <w:widowControl/>
              <w:spacing w:before="0" w:after="40" w:line="247" w:lineRule="auto"/>
            </w:pPr>
            <w:r>
              <w:rPr>
                <w:rFonts w:ascii="Times New Roman" w:hAnsi="Times New Roman"/>
                <w:color w:val="000000"/>
                <w:sz w:val="20"/>
              </w:rPr>
              <w:t>is_​january</w:t>
            </w:r>
          </w:p>
        </w:tc>
        <w:tc>
          <w:tcPr>
            <w:tcW w:type="dxa" w:w="2448"/>
            <w:vAlign w:val="center"/>
            <w:shd w:fill="FFFFFF"/>
          </w:tcPr>
          <w:p>
            <w:pPr>
              <w:keepNext w:val="0"/>
              <w:widowControl/>
              <w:spacing w:before="0" w:after="40" w:line="247" w:lineRule="auto"/>
            </w:pPr>
            <w:r>
              <w:rPr>
                <w:rFonts w:ascii="Times New Roman" w:hAnsi="Times New Roman"/>
                <w:color w:val="000000"/>
                <w:sz w:val="20"/>
              </w:rPr>
              <w:t>January seasonal indicator</w:t>
            </w:r>
          </w:p>
        </w:tc>
        <w:tc>
          <w:tcPr>
            <w:tcW w:type="dxa" w:w="3600"/>
            <w:vAlign w:val="center"/>
            <w:shd w:fill="FFFFFF"/>
          </w:tcPr>
          <w:p>
            <w:pPr>
              <w:keepNext w:val="0"/>
              <w:widowControl/>
              <w:spacing w:before="0" w:after="40" w:line="247" w:lineRule="auto"/>
            </w:pPr>
            <w:r>
              <w:rPr>
                <w:rFonts w:ascii="Times New Roman" w:hAnsi="Times New Roman"/>
                <w:color w:val="000000"/>
                <w:sz w:val="20"/>
              </w:rPr>
              <w:t>Equals 1 in January and 0 otherwise.</w:t>
            </w:r>
          </w:p>
        </w:tc>
      </w:tr>
      <w:tr>
        <w:trPr>
          <w:cantSplit/>
        </w:trPr>
        <w:tc>
          <w:tcPr>
            <w:tcW w:type="dxa" w:w="3672"/>
            <w:vAlign w:val="center"/>
            <w:shd w:fill="FFFFFF"/>
          </w:tcPr>
          <w:p>
            <w:pPr>
              <w:keepNext w:val="0"/>
              <w:widowControl/>
              <w:spacing w:before="0" w:after="40" w:line="247" w:lineRule="auto"/>
            </w:pPr>
            <w:r>
              <w:rPr>
                <w:rFonts w:ascii="Times New Roman" w:hAnsi="Times New Roman"/>
                <w:color w:val="000000"/>
                <w:sz w:val="20"/>
              </w:rPr>
              <w:t>is_​december</w:t>
            </w:r>
          </w:p>
        </w:tc>
        <w:tc>
          <w:tcPr>
            <w:tcW w:type="dxa" w:w="2448"/>
            <w:vAlign w:val="center"/>
            <w:shd w:fill="FFFFFF"/>
          </w:tcPr>
          <w:p>
            <w:pPr>
              <w:keepNext w:val="0"/>
              <w:widowControl/>
              <w:spacing w:before="0" w:after="40" w:line="247" w:lineRule="auto"/>
            </w:pPr>
            <w:r>
              <w:rPr>
                <w:rFonts w:ascii="Times New Roman" w:hAnsi="Times New Roman"/>
                <w:color w:val="000000"/>
                <w:sz w:val="20"/>
              </w:rPr>
              <w:t>December seasonal indicator</w:t>
            </w:r>
          </w:p>
        </w:tc>
        <w:tc>
          <w:tcPr>
            <w:tcW w:type="dxa" w:w="3600"/>
            <w:vAlign w:val="center"/>
            <w:shd w:fill="FFFFFF"/>
          </w:tcPr>
          <w:p>
            <w:pPr>
              <w:keepNext w:val="0"/>
              <w:widowControl/>
              <w:spacing w:before="0" w:after="40" w:line="247" w:lineRule="auto"/>
            </w:pPr>
            <w:r>
              <w:rPr>
                <w:rFonts w:ascii="Times New Roman" w:hAnsi="Times New Roman"/>
                <w:color w:val="000000"/>
                <w:sz w:val="20"/>
              </w:rPr>
              <w:t>Equals 1 in December and 0 otherwise.</w:t>
            </w:r>
          </w:p>
        </w:tc>
      </w:tr>
      <w:tr>
        <w:trPr>
          <w:cantSplit/>
        </w:trPr>
        <w:tc>
          <w:tcPr>
            <w:tcW w:type="dxa" w:w="3672"/>
            <w:vAlign w:val="center"/>
            <w:shd w:fill="FFFFFF"/>
          </w:tcPr>
          <w:p>
            <w:pPr>
              <w:keepNext w:val="0"/>
              <w:widowControl/>
              <w:spacing w:before="0" w:after="40" w:line="247" w:lineRule="auto"/>
            </w:pPr>
            <w:r>
              <w:rPr>
                <w:rFonts w:ascii="Times New Roman" w:hAnsi="Times New Roman"/>
                <w:color w:val="000000"/>
                <w:sz w:val="20"/>
              </w:rPr>
              <w:t>retail_​sales_​pct_​change_​1m_​ma_​3m</w:t>
            </w:r>
          </w:p>
        </w:tc>
        <w:tc>
          <w:tcPr>
            <w:tcW w:type="dxa" w:w="2448"/>
            <w:vAlign w:val="center"/>
            <w:shd w:fill="FFFFFF"/>
          </w:tcPr>
          <w:p>
            <w:pPr>
              <w:keepNext w:val="0"/>
              <w:widowControl/>
              <w:spacing w:before="0" w:after="40" w:line="247" w:lineRule="auto"/>
            </w:pPr>
            <w:r>
              <w:rPr>
                <w:rFonts w:ascii="Times New Roman" w:hAnsi="Times New Roman"/>
                <w:color w:val="000000"/>
                <w:sz w:val="20"/>
              </w:rPr>
              <w:t>Smoothed spending-growth driver</w:t>
            </w:r>
          </w:p>
        </w:tc>
        <w:tc>
          <w:tcPr>
            <w:tcW w:type="dxa" w:w="3600"/>
            <w:vAlign w:val="center"/>
            <w:shd w:fill="FFFFFF"/>
          </w:tcPr>
          <w:p>
            <w:pPr>
              <w:keepNext w:val="0"/>
              <w:widowControl/>
              <w:spacing w:before="0" w:after="40" w:line="247" w:lineRule="auto"/>
            </w:pPr>
            <w:r>
              <w:rPr>
                <w:rFonts w:ascii="Times New Roman" w:hAnsi="Times New Roman"/>
                <w:color w:val="000000"/>
                <w:sz w:val="20"/>
              </w:rPr>
              <w:t>Arithmetic mean of current and prior two monthly Retail Sales percentage changes.</w:t>
            </w:r>
          </w:p>
        </w:tc>
      </w:tr>
    </w:tbl>
    <w:p>
      <w:pPr>
        <w:widowControl/>
        <w:spacing w:before="60" w:after="100"/>
      </w:pPr>
      <w:r>
        <w:rPr>
          <w:rFonts w:ascii="Times New Roman" w:hAnsi="Times New Roman"/>
          <w:color w:val="000000"/>
          <w:sz w:val="18"/>
        </w:rPr>
        <w:t>Sources: consumer/​consumer_​card_​model.py, lines 49–52 and 107–118; consumer/​coefficients.csv. The table excludes the intercept, which is reported in the detailed regression tables.</w:t>
      </w:r>
    </w:p>
    <w:p>
      <w:pPr>
        <w:pStyle w:val="Heading3"/>
        <w:keepNext/>
        <w:widowControl/>
        <w:spacing w:before="160" w:after="80"/>
      </w:pPr>
      <w:r>
        <w:rPr>
          <w:rFonts w:ascii="Times New Roman" w:hAnsi="Times New Roman"/>
          <w:color w:val="000000"/>
        </w:rPr>
        <w:t>Debit Card</w:t>
      </w:r>
    </w:p>
    <w:p>
      <w:pPr>
        <w:widowControl/>
        <w:spacing w:after="100"/>
      </w:pPr>
      <w:r>
        <w:rPr>
          <w:rFonts w:ascii="Times New Roman" w:hAnsi="Times New Roman" w:eastAsia="Noto Sans CJK SC"/>
          <w:color w:val="000000"/>
          <w:sz w:val="22"/>
          <w:lang w:val="en-US" w:eastAsia="zh-CN"/>
        </w:rPr>
        <w:t>Debit Card uses a historical quarterly calibration rather than a selected macroeconomic regression. The baseline is the mean revenue of the latest 8 complete quarters and represents the recent run rate. The stress floor is the quarterly mean from January 2015 onward less 2 sample standard deviations and provides a historically calibrated downside reference. This method separates the recent operating level from the longer-period severity assessment. Its usefulness depends on the representativeness of the retained history and the appropriateness of the selected severity rule for the intended application.</w:t>
      </w:r>
    </w:p>
    <w:p>
      <w:pPr>
        <w:pStyle w:val="Caption"/>
        <w:keepNext/>
        <w:widowControl/>
        <w:spacing w:before="180" w:after="100"/>
      </w:pPr>
      <w:r>
        <w:rPr>
          <w:b w:val="0"/>
        </w:rPr>
        <w:t>Figure 1.1 Component forecasting framework</w:t>
      </w:r>
    </w:p>
    <w:p>
      <w:pPr>
        <w:keepNext/>
        <w:jc w:val="center"/>
      </w:pPr>
      <w:r>
        <w:drawing>
          <wp:inline xmlns:a="http://schemas.openxmlformats.org/drawingml/2006/main" xmlns:pic="http://schemas.openxmlformats.org/drawingml/2006/picture">
            <wp:extent cx="6080760" cy="2714545"/>
            <wp:docPr id="1" name="Picture 1" descr="Figure 1.1 Component forecasting framework"/>
            <wp:cNvGraphicFramePr>
              <a:graphicFrameLocks noChangeAspect="1"/>
            </wp:cNvGraphicFramePr>
            <a:graphic>
              <a:graphicData uri="http://schemas.openxmlformats.org/drawingml/2006/picture">
                <pic:pic>
                  <pic:nvPicPr>
                    <pic:cNvPr id="0" name="suite_framework.png"/>
                    <pic:cNvPicPr/>
                  </pic:nvPicPr>
                  <pic:blipFill>
                    <a:blip r:embed="rId11"/>
                    <a:stretch>
                      <a:fillRect/>
                    </a:stretch>
                  </pic:blipFill>
                  <pic:spPr>
                    <a:xfrm>
                      <a:off x="0" y="0"/>
                      <a:ext cx="6080760" cy="2714545"/>
                    </a:xfrm>
                    <a:prstGeom prst="rect"/>
                  </pic:spPr>
                </pic:pic>
              </a:graphicData>
            </a:graphic>
          </wp:inline>
        </w:drawing>
      </w:r>
    </w:p>
    <w:p>
      <w:pPr>
        <w:spacing w:after="100"/>
      </w:pPr>
      <w:r>
        <w:rPr>
          <w:rFonts w:ascii="Times New Roman" w:hAnsi="Times New Roman"/>
          <w:color w:val="000000"/>
          <w:sz w:val="18"/>
        </w:rPr>
        <w:t>Methodology diagram based on the component code. Separate lanes preserve differences in target, frequency and judgment. The Debit output is a calibration level, not a generated monthly trajectory. Data sources: commercial/​commercial_​card_​model.py; commercial/​commercial_​card_​model.py; consumer/​consumer_​card_​model.py; debit/​debit_​card_​model.py.</w:t>
      </w:r>
    </w:p>
    <w:p>
      <w:pPr>
        <w:pStyle w:val="Heading2"/>
        <w:keepNext/>
        <w:widowControl/>
        <w:spacing w:before="160" w:after="80"/>
      </w:pPr>
      <w:r>
        <w:rPr>
          <w:rFonts w:ascii="Times New Roman" w:hAnsi="Times New Roman"/>
          <w:color w:val="000000"/>
        </w:rPr>
        <w:t>1.6 Performance Summary</w:t>
      </w:r>
    </w:p>
    <w:p>
      <w:pPr>
        <w:widowControl/>
        <w:spacing w:after="100"/>
      </w:pPr>
      <w:r>
        <w:rPr>
          <w:rFonts w:ascii="Times New Roman" w:hAnsi="Times New Roman" w:eastAsia="Noto Sans CJK SC"/>
          <w:color w:val="000000"/>
          <w:sz w:val="22"/>
          <w:lang w:val="en-US" w:eastAsia="zh-CN"/>
        </w:rPr>
        <w:t>In-sample testing assessed explanatory power, coefficient significance, multicollinearity and residual behavior for the selected regression components. Commercial Card and Small Business and Consumer Card both retained statistically significant coefficients, with limited multicollinearity in their final development equations. The table below presents the principal results; the detailed testing discussion distinguishes equation-scale diagnostics from fee-level forecast accuracy.</w:t>
      </w:r>
    </w:p>
    <w:p>
      <w:pPr>
        <w:pStyle w:val="Caption"/>
        <w:keepNext/>
        <w:widowControl/>
        <w:spacing w:before="180" w:after="100"/>
      </w:pPr>
      <w:r>
        <w:rPr>
          <w:rFonts w:ascii="Times New Roman" w:hAnsi="Times New Roman"/>
          <w:color w:val="000000"/>
        </w:rPr>
        <w:t>Table 1.3 Regression Performance Summary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0" w:type="dxa"/>
          <w:right w:w="80" w:type="dxa"/>
        </w:tblCellMar>
      </w:tblPr>
      <w:tblGrid>
        <w:gridCol w:w="2520"/>
        <w:gridCol w:w="3600"/>
        <w:gridCol w:w="3600"/>
      </w:tblGrid>
      <w:tr>
        <w:trPr>
          <w:tblHeader/>
          <w:cantSplit/>
        </w:trPr>
        <w:tc>
          <w:tcPr>
            <w:tcW w:type="dxa" w:w="2520"/>
            <w:vAlign w:val="center"/>
            <w:shd w:fill="E6ECF0"/>
          </w:tcPr>
          <w:p>
            <w:pPr>
              <w:keepNext/>
              <w:widowControl/>
              <w:spacing w:before="0" w:after="40" w:line="247" w:lineRule="auto"/>
            </w:pPr>
            <w:r>
              <w:rPr>
                <w:rFonts w:ascii="Times New Roman" w:hAnsi="Times New Roman"/>
                <w:b/>
                <w:color w:val="000000"/>
                <w:sz w:val="20"/>
              </w:rPr>
              <w:t>Metric</w:t>
            </w:r>
          </w:p>
        </w:tc>
        <w:tc>
          <w:tcPr>
            <w:tcW w:type="dxa" w:w="3600"/>
            <w:vAlign w:val="center"/>
            <w:shd w:fill="E6ECF0"/>
          </w:tcPr>
          <w:p>
            <w:pPr>
              <w:keepNext/>
              <w:widowControl/>
              <w:spacing w:before="0" w:after="40" w:line="247" w:lineRule="auto"/>
            </w:pPr>
            <w:r>
              <w:rPr>
                <w:rFonts w:ascii="Times New Roman" w:hAnsi="Times New Roman"/>
                <w:b/>
                <w:color w:val="000000"/>
                <w:sz w:val="20"/>
              </w:rPr>
              <w:t>Commercial Card and Small Business</w:t>
            </w:r>
          </w:p>
        </w:tc>
        <w:tc>
          <w:tcPr>
            <w:tcW w:type="dxa" w:w="3600"/>
            <w:vAlign w:val="center"/>
            <w:shd w:fill="E6ECF0"/>
          </w:tcPr>
          <w:p>
            <w:pPr>
              <w:keepNext/>
              <w:widowControl/>
              <w:spacing w:before="0" w:after="40" w:line="247" w:lineRule="auto"/>
            </w:pPr>
            <w:r>
              <w:rPr>
                <w:rFonts w:ascii="Times New Roman" w:hAnsi="Times New Roman"/>
                <w:b/>
                <w:color w:val="000000"/>
                <w:sz w:val="20"/>
              </w:rPr>
              <w:t>Consumer Card</w:t>
            </w:r>
          </w:p>
        </w:tc>
      </w:tr>
      <w:tr>
        <w:trPr>
          <w:cantSplit/>
        </w:trPr>
        <w:tc>
          <w:tcPr>
            <w:tcW w:type="dxa" w:w="2520"/>
            <w:vAlign w:val="center"/>
            <w:shd w:fill="FFFFFF"/>
          </w:tcPr>
          <w:p>
            <w:pPr>
              <w:keepNext w:val="0"/>
              <w:widowControl/>
              <w:spacing w:before="0" w:after="40" w:line="247" w:lineRule="auto"/>
            </w:pPr>
            <w:r>
              <w:rPr>
                <w:rFonts w:ascii="Times New Roman" w:hAnsi="Times New Roman"/>
                <w:color w:val="000000"/>
                <w:sz w:val="20"/>
              </w:rPr>
              <w:t>Adjusted R-squared</w:t>
            </w:r>
          </w:p>
        </w:tc>
        <w:tc>
          <w:tcPr>
            <w:tcW w:type="dxa" w:w="3600"/>
            <w:vAlign w:val="center"/>
            <w:shd w:fill="FFFFFF"/>
          </w:tcPr>
          <w:p>
            <w:pPr>
              <w:keepNext w:val="0"/>
              <w:widowControl/>
              <w:spacing w:before="0" w:after="40" w:line="247" w:lineRule="auto"/>
            </w:pPr>
            <w:r>
              <w:rPr>
                <w:rFonts w:ascii="Times New Roman" w:hAnsi="Times New Roman"/>
                <w:color w:val="000000"/>
                <w:sz w:val="20"/>
              </w:rPr>
              <w:t xml:space="preserve">73.57% </w:t>
            </w:r>
            <w:r>
              <w:rPr>
                <w:rFonts w:ascii="Times New Roman" w:hAnsi="Times New Roman"/>
                <w:color w:val="000000"/>
                <w:sz w:val="17"/>
              </w:rPr>
              <w:t>[commercial/​short_​run_​diagnostics.csv/​row 2 col 3]</w:t>
            </w:r>
          </w:p>
        </w:tc>
        <w:tc>
          <w:tcPr>
            <w:tcW w:type="dxa" w:w="3600"/>
            <w:vAlign w:val="center"/>
            <w:shd w:fill="FFFFFF"/>
          </w:tcPr>
          <w:p>
            <w:pPr>
              <w:keepNext w:val="0"/>
              <w:widowControl/>
              <w:spacing w:before="0" w:after="40" w:line="247" w:lineRule="auto"/>
            </w:pPr>
            <w:r>
              <w:rPr>
                <w:rFonts w:ascii="Times New Roman" w:hAnsi="Times New Roman"/>
                <w:color w:val="000000"/>
                <w:sz w:val="20"/>
              </w:rPr>
              <w:t xml:space="preserve">61.14% </w:t>
            </w:r>
            <w:r>
              <w:rPr>
                <w:rFonts w:ascii="Times New Roman" w:hAnsi="Times New Roman"/>
                <w:color w:val="000000"/>
                <w:sz w:val="17"/>
              </w:rPr>
              <w:t>[consumer/​model_​diagnostics.csv/​row 3 col 6]</w:t>
            </w:r>
          </w:p>
        </w:tc>
      </w:tr>
      <w:tr>
        <w:trPr>
          <w:cantSplit/>
        </w:trPr>
        <w:tc>
          <w:tcPr>
            <w:tcW w:type="dxa" w:w="2520"/>
            <w:vAlign w:val="center"/>
            <w:shd w:fill="FFFFFF"/>
          </w:tcPr>
          <w:p>
            <w:pPr>
              <w:keepNext w:val="0"/>
              <w:widowControl/>
              <w:spacing w:before="0" w:after="40" w:line="247" w:lineRule="auto"/>
            </w:pPr>
            <w:r>
              <w:rPr>
                <w:rFonts w:ascii="Times New Roman" w:hAnsi="Times New Roman"/>
                <w:color w:val="000000"/>
                <w:sz w:val="20"/>
              </w:rPr>
              <w:t>Coefficient significance</w:t>
            </w:r>
          </w:p>
        </w:tc>
        <w:tc>
          <w:tcPr>
            <w:tcW w:type="dxa" w:w="3600"/>
            <w:vAlign w:val="center"/>
            <w:shd w:fill="FFFFFF"/>
          </w:tcPr>
          <w:p>
            <w:pPr>
              <w:keepNext w:val="0"/>
              <w:widowControl/>
              <w:spacing w:before="0" w:after="40" w:line="247" w:lineRule="auto"/>
            </w:pPr>
            <w:r>
              <w:rPr>
                <w:rFonts w:ascii="Times New Roman" w:hAnsi="Times New Roman"/>
                <w:color w:val="000000"/>
                <w:sz w:val="20"/>
              </w:rPr>
              <w:t xml:space="preserve">All final coefficients have p &lt; 0.05 </w:t>
            </w:r>
            <w:r>
              <w:rPr>
                <w:rFonts w:ascii="Times New Roman" w:hAnsi="Times New Roman"/>
                <w:color w:val="000000"/>
                <w:sz w:val="17"/>
              </w:rPr>
              <w:t>[commercial/​short_​run_​coefficients.csv/​row 2–6 col 6]</w:t>
            </w:r>
          </w:p>
        </w:tc>
        <w:tc>
          <w:tcPr>
            <w:tcW w:type="dxa" w:w="3600"/>
            <w:vAlign w:val="center"/>
            <w:shd w:fill="FFFFFF"/>
          </w:tcPr>
          <w:p>
            <w:pPr>
              <w:keepNext w:val="0"/>
              <w:widowControl/>
              <w:spacing w:before="0" w:after="40" w:line="247" w:lineRule="auto"/>
            </w:pPr>
            <w:r>
              <w:rPr>
                <w:rFonts w:ascii="Times New Roman" w:hAnsi="Times New Roman"/>
                <w:color w:val="000000"/>
                <w:sz w:val="20"/>
              </w:rPr>
              <w:t xml:space="preserve">All final coefficients have p &lt; 0.05 </w:t>
            </w:r>
            <w:r>
              <w:rPr>
                <w:rFonts w:ascii="Times New Roman" w:hAnsi="Times New Roman"/>
                <w:color w:val="000000"/>
                <w:sz w:val="17"/>
              </w:rPr>
              <w:t>[consumer/​coefficients.csv/​row 7–12 col 6]</w:t>
            </w:r>
          </w:p>
        </w:tc>
      </w:tr>
      <w:tr>
        <w:trPr>
          <w:cantSplit/>
        </w:trPr>
        <w:tc>
          <w:tcPr>
            <w:tcW w:type="dxa" w:w="2520"/>
            <w:vAlign w:val="center"/>
            <w:shd w:fill="FFFFFF"/>
          </w:tcPr>
          <w:p>
            <w:pPr>
              <w:keepNext w:val="0"/>
              <w:widowControl/>
              <w:spacing w:before="0" w:after="40" w:line="247" w:lineRule="auto"/>
            </w:pPr>
            <w:r>
              <w:rPr>
                <w:rFonts w:ascii="Times New Roman" w:hAnsi="Times New Roman"/>
                <w:color w:val="000000"/>
                <w:sz w:val="20"/>
              </w:rPr>
              <w:t>Maximum VIF</w:t>
            </w:r>
          </w:p>
        </w:tc>
        <w:tc>
          <w:tcPr>
            <w:tcW w:type="dxa" w:w="3600"/>
            <w:vAlign w:val="center"/>
            <w:shd w:fill="FFFFFF"/>
          </w:tcPr>
          <w:p>
            <w:pPr>
              <w:keepNext w:val="0"/>
              <w:widowControl/>
              <w:spacing w:before="0" w:after="40" w:line="247" w:lineRule="auto"/>
            </w:pPr>
            <w:r>
              <w:rPr>
                <w:rFonts w:ascii="Times New Roman" w:hAnsi="Times New Roman"/>
                <w:color w:val="000000"/>
                <w:sz w:val="20"/>
              </w:rPr>
              <w:t xml:space="preserve">2.25 </w:t>
            </w:r>
            <w:r>
              <w:rPr>
                <w:rFonts w:ascii="Times New Roman" w:hAnsi="Times New Roman"/>
                <w:color w:val="000000"/>
                <w:sz w:val="17"/>
              </w:rPr>
              <w:t>[commercial/​short_​run_​diagnostics.csv/​row 2 col 11]</w:t>
            </w:r>
          </w:p>
        </w:tc>
        <w:tc>
          <w:tcPr>
            <w:tcW w:type="dxa" w:w="3600"/>
            <w:vAlign w:val="center"/>
            <w:shd w:fill="FFFFFF"/>
          </w:tcPr>
          <w:p>
            <w:pPr>
              <w:keepNext w:val="0"/>
              <w:widowControl/>
              <w:spacing w:before="0" w:after="40" w:line="247" w:lineRule="auto"/>
            </w:pPr>
            <w:r>
              <w:rPr>
                <w:rFonts w:ascii="Times New Roman" w:hAnsi="Times New Roman"/>
                <w:color w:val="000000"/>
                <w:sz w:val="20"/>
              </w:rPr>
              <w:t xml:space="preserve">1.70 </w:t>
            </w:r>
            <w:r>
              <w:rPr>
                <w:rFonts w:ascii="Times New Roman" w:hAnsi="Times New Roman"/>
                <w:color w:val="000000"/>
                <w:sz w:val="17"/>
              </w:rPr>
              <w:t>[consumer/​model_​diagnostics.csv/​row 3 col 12]</w:t>
            </w:r>
          </w:p>
        </w:tc>
      </w:tr>
      <w:tr>
        <w:trPr>
          <w:cantSplit/>
        </w:trPr>
        <w:tc>
          <w:tcPr>
            <w:tcW w:type="dxa" w:w="2520"/>
            <w:vAlign w:val="center"/>
            <w:shd w:fill="FFFFFF"/>
          </w:tcPr>
          <w:p>
            <w:pPr>
              <w:keepNext w:val="0"/>
              <w:widowControl/>
              <w:spacing w:before="0" w:after="40" w:line="247" w:lineRule="auto"/>
            </w:pPr>
            <w:r>
              <w:rPr>
                <w:rFonts w:ascii="Times New Roman" w:hAnsi="Times New Roman"/>
                <w:color w:val="000000"/>
                <w:sz w:val="20"/>
              </w:rPr>
              <w:t>Durbin-Watson statistic</w:t>
            </w:r>
          </w:p>
        </w:tc>
        <w:tc>
          <w:tcPr>
            <w:tcW w:type="dxa" w:w="3600"/>
            <w:vAlign w:val="center"/>
            <w:shd w:fill="FFFFFF"/>
          </w:tcPr>
          <w:p>
            <w:pPr>
              <w:keepNext w:val="0"/>
              <w:widowControl/>
              <w:spacing w:before="0" w:after="40" w:line="247" w:lineRule="auto"/>
            </w:pPr>
            <w:r>
              <w:rPr>
                <w:rFonts w:ascii="Times New Roman" w:hAnsi="Times New Roman"/>
                <w:color w:val="000000"/>
                <w:sz w:val="20"/>
              </w:rPr>
              <w:t xml:space="preserve">2.032 </w:t>
            </w:r>
            <w:r>
              <w:rPr>
                <w:rFonts w:ascii="Times New Roman" w:hAnsi="Times New Roman"/>
                <w:color w:val="000000"/>
                <w:sz w:val="17"/>
              </w:rPr>
              <w:t>[commercial/​short_​run_​diagnostics.csv/​row 2 col 5]</w:t>
            </w:r>
          </w:p>
        </w:tc>
        <w:tc>
          <w:tcPr>
            <w:tcW w:type="dxa" w:w="3600"/>
            <w:vAlign w:val="center"/>
            <w:shd w:fill="FFFFFF"/>
          </w:tcPr>
          <w:p>
            <w:pPr>
              <w:keepNext w:val="0"/>
              <w:widowControl/>
              <w:spacing w:before="0" w:after="40" w:line="247" w:lineRule="auto"/>
            </w:pPr>
            <w:r>
              <w:rPr>
                <w:rFonts w:ascii="Times New Roman" w:hAnsi="Times New Roman"/>
                <w:color w:val="000000"/>
                <w:sz w:val="20"/>
              </w:rPr>
              <w:t xml:space="preserve">2.356 </w:t>
            </w:r>
            <w:r>
              <w:rPr>
                <w:rFonts w:ascii="Times New Roman" w:hAnsi="Times New Roman"/>
                <w:color w:val="000000"/>
                <w:sz w:val="17"/>
              </w:rPr>
              <w:t>[consumer/​model_​diagnostics.csv/​row 3 col 7]</w:t>
            </w:r>
          </w:p>
        </w:tc>
      </w:tr>
    </w:tbl>
    <w:p>
      <w:pPr>
        <w:widowControl/>
        <w:spacing w:before="60" w:after="100"/>
      </w:pPr>
      <w:r>
        <w:rPr>
          <w:rFonts w:ascii="Times New Roman" w:hAnsi="Times New Roman"/>
          <w:color w:val="000000"/>
          <w:sz w:val="18"/>
        </w:rPr>
        <w:t>Sources: commercial/​short_​run_​diagnostics.csv; commercial/​short_​run_​coefficients.csv; consumer/​model_​diagnostics.csv; consumer/​coefficients.csv. Consumer results refer to the selected development model, not the production refit.</w:t>
      </w:r>
    </w:p>
    <w:p>
      <w:pPr>
        <w:widowControl/>
        <w:spacing w:after="100"/>
      </w:pPr>
      <w:r>
        <w:rPr>
          <w:rFonts w:ascii="Times New Roman" w:hAnsi="Times New Roman" w:eastAsia="Noto Sans CJK SC"/>
          <w:color w:val="000000"/>
          <w:sz w:val="22"/>
          <w:lang w:val="en-US" w:eastAsia="zh-CN"/>
        </w:rPr>
        <w:t>Stability evidence is component-specific. Consumer Card rolling estimates retained the signs of all final explanatory variables, although their magnitudes changed across windows. Debit Card did not retain a regression because no tested specification met all acceptance criteria. Its performance assessment therefore focuses on the transparency and reasonableness of the adopted historical calibration.</w:t>
      </w:r>
    </w:p>
    <w:p>
      <w:pPr>
        <w:widowControl/>
        <w:spacing w:after="100"/>
      </w:pPr>
      <w:r>
        <w:rPr>
          <w:rFonts w:ascii="Times New Roman" w:hAnsi="Times New Roman" w:eastAsia="Noto Sans CJK SC"/>
          <w:color w:val="000000"/>
          <w:sz w:val="22"/>
          <w:lang w:val="en-US" w:eastAsia="zh-CN"/>
        </w:rPr>
        <w:t>For Debit Card, the baseline and stress floor summarize different aspects of the historical distribution. The baseline measures the recent quarterly revenue run rate, while the floor reflects the selected downside-severity rule. The following table reports calibration outputs rather than regression fit or forecast-error statistics.</w:t>
      </w:r>
    </w:p>
    <w:p>
      <w:pPr>
        <w:pStyle w:val="Caption"/>
        <w:keepNext/>
        <w:widowControl/>
        <w:spacing w:before="180" w:after="100"/>
      </w:pPr>
      <w:r>
        <w:rPr>
          <w:rFonts w:ascii="Times New Roman" w:hAnsi="Times New Roman"/>
          <w:color w:val="000000"/>
        </w:rPr>
        <w:t>Table 1.4 Debit Card Historical Calibration Summary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0" w:type="dxa"/>
          <w:right w:w="80" w:type="dxa"/>
        </w:tblCellMar>
      </w:tblPr>
      <w:tblGrid>
        <w:gridCol w:w="6768"/>
        <w:gridCol w:w="2952"/>
      </w:tblGrid>
      <w:tr>
        <w:trPr>
          <w:tblHeader/>
          <w:cantSplit/>
        </w:trPr>
        <w:tc>
          <w:tcPr>
            <w:tcW w:type="dxa" w:w="6768"/>
            <w:vAlign w:val="center"/>
            <w:shd w:fill="E6ECF0"/>
          </w:tcPr>
          <w:p>
            <w:pPr>
              <w:keepNext/>
              <w:widowControl/>
              <w:spacing w:before="0" w:after="40" w:line="247" w:lineRule="auto"/>
            </w:pPr>
            <w:r>
              <w:rPr>
                <w:rFonts w:ascii="Times New Roman" w:hAnsi="Times New Roman"/>
                <w:b/>
                <w:color w:val="000000"/>
                <w:sz w:val="20"/>
              </w:rPr>
              <w:t>Measure</w:t>
            </w:r>
          </w:p>
        </w:tc>
        <w:tc>
          <w:tcPr>
            <w:tcW w:type="dxa" w:w="2952"/>
            <w:vAlign w:val="center"/>
            <w:shd w:fill="E6ECF0"/>
          </w:tcPr>
          <w:p>
            <w:pPr>
              <w:keepNext/>
              <w:widowControl/>
              <w:spacing w:before="0" w:after="40" w:line="247" w:lineRule="auto"/>
            </w:pPr>
            <w:r>
              <w:rPr>
                <w:rFonts w:ascii="Times New Roman" w:hAnsi="Times New Roman"/>
                <w:b/>
                <w:color w:val="000000"/>
                <w:sz w:val="20"/>
              </w:rPr>
              <w:t>Value</w:t>
            </w:r>
          </w:p>
        </w:tc>
      </w:tr>
      <w:tr>
        <w:trPr>
          <w:cantSplit/>
        </w:trPr>
        <w:tc>
          <w:tcPr>
            <w:tcW w:type="dxa" w:w="6768"/>
            <w:vAlign w:val="center"/>
            <w:shd w:fill="FFFFFF"/>
          </w:tcPr>
          <w:p>
            <w:pPr>
              <w:keepNext w:val="0"/>
              <w:widowControl/>
              <w:spacing w:before="0" w:after="40" w:line="247" w:lineRule="auto"/>
            </w:pPr>
            <w:r>
              <w:rPr>
                <w:rFonts w:ascii="Times New Roman" w:hAnsi="Times New Roman"/>
                <w:color w:val="000000"/>
                <w:sz w:val="20"/>
              </w:rPr>
              <w:t>Quarterly baseline revenue ($000)</w:t>
            </w:r>
          </w:p>
        </w:tc>
        <w:tc>
          <w:tcPr>
            <w:tcW w:type="dxa" w:w="2952"/>
            <w:vAlign w:val="center"/>
            <w:shd w:fill="FFFFFF"/>
          </w:tcPr>
          <w:p>
            <w:pPr>
              <w:keepNext w:val="0"/>
              <w:widowControl/>
              <w:spacing w:before="0" w:after="40" w:line="247" w:lineRule="auto"/>
            </w:pPr>
            <w:r>
              <w:rPr>
                <w:rFonts w:ascii="Times New Roman" w:hAnsi="Times New Roman"/>
                <w:color w:val="000000"/>
                <w:sz w:val="20"/>
              </w:rPr>
              <w:t>4,747.625</w:t>
            </w:r>
          </w:p>
        </w:tc>
      </w:tr>
      <w:tr>
        <w:trPr>
          <w:cantSplit/>
        </w:trPr>
        <w:tc>
          <w:tcPr>
            <w:tcW w:type="dxa" w:w="6768"/>
            <w:vAlign w:val="center"/>
            <w:shd w:fill="FFFFFF"/>
          </w:tcPr>
          <w:p>
            <w:pPr>
              <w:keepNext w:val="0"/>
              <w:widowControl/>
              <w:spacing w:before="0" w:after="40" w:line="247" w:lineRule="auto"/>
            </w:pPr>
            <w:r>
              <w:rPr>
                <w:rFonts w:ascii="Times New Roman" w:hAnsi="Times New Roman"/>
                <w:color w:val="000000"/>
                <w:sz w:val="20"/>
              </w:rPr>
              <w:t>Quarterly stress floor ($000)</w:t>
            </w:r>
          </w:p>
        </w:tc>
        <w:tc>
          <w:tcPr>
            <w:tcW w:type="dxa" w:w="2952"/>
            <w:vAlign w:val="center"/>
            <w:shd w:fill="FFFFFF"/>
          </w:tcPr>
          <w:p>
            <w:pPr>
              <w:keepNext w:val="0"/>
              <w:widowControl/>
              <w:spacing w:before="0" w:after="40" w:line="247" w:lineRule="auto"/>
            </w:pPr>
            <w:r>
              <w:rPr>
                <w:rFonts w:ascii="Times New Roman" w:hAnsi="Times New Roman"/>
                <w:color w:val="000000"/>
                <w:sz w:val="20"/>
              </w:rPr>
              <w:t>3,813.653</w:t>
            </w:r>
          </w:p>
        </w:tc>
      </w:tr>
      <w:tr>
        <w:trPr>
          <w:cantSplit/>
        </w:trPr>
        <w:tc>
          <w:tcPr>
            <w:tcW w:type="dxa" w:w="6768"/>
            <w:vAlign w:val="center"/>
            <w:shd w:fill="FFFFFF"/>
          </w:tcPr>
          <w:p>
            <w:pPr>
              <w:keepNext w:val="0"/>
              <w:widowControl/>
              <w:spacing w:before="0" w:after="40" w:line="247" w:lineRule="auto"/>
            </w:pPr>
            <w:r>
              <w:rPr>
                <w:rFonts w:ascii="Times New Roman" w:hAnsi="Times New Roman"/>
                <w:color w:val="000000"/>
                <w:sz w:val="20"/>
              </w:rPr>
              <w:t>Decline from baseline to stress floor</w:t>
            </w:r>
          </w:p>
        </w:tc>
        <w:tc>
          <w:tcPr>
            <w:tcW w:type="dxa" w:w="2952"/>
            <w:vAlign w:val="center"/>
            <w:shd w:fill="FFFFFF"/>
          </w:tcPr>
          <w:p>
            <w:pPr>
              <w:keepNext w:val="0"/>
              <w:widowControl/>
              <w:spacing w:before="0" w:after="40" w:line="247" w:lineRule="auto"/>
            </w:pPr>
            <w:r>
              <w:rPr>
                <w:rFonts w:ascii="Times New Roman" w:hAnsi="Times New Roman"/>
                <w:color w:val="000000"/>
                <w:sz w:val="20"/>
              </w:rPr>
              <w:t>19.67%</w:t>
            </w:r>
          </w:p>
        </w:tc>
      </w:tr>
    </w:tbl>
    <w:p>
      <w:pPr>
        <w:widowControl/>
        <w:spacing w:before="60" w:after="100"/>
      </w:pPr>
      <w:r>
        <w:rPr>
          <w:rFonts w:ascii="Times New Roman" w:hAnsi="Times New Roman"/>
          <w:color w:val="000000"/>
          <w:sz w:val="18"/>
        </w:rPr>
        <w:t>Data source: debit/​qualitative_​scenarios.csv. These are historical calibration outputs, not OOT forecast-accuracy statistics.</w:t>
      </w:r>
    </w:p>
    <w:p>
      <w:pPr>
        <w:pStyle w:val="Heading2"/>
        <w:keepNext/>
        <w:widowControl/>
        <w:spacing w:before="160" w:after="80"/>
      </w:pPr>
      <w:r>
        <w:rPr>
          <w:rFonts w:ascii="Times New Roman" w:hAnsi="Times New Roman"/>
          <w:color w:val="000000"/>
        </w:rPr>
        <w:t>1.7 Out-of-Time Results</w:t>
      </w:r>
    </w:p>
    <w:p>
      <w:pPr>
        <w:widowControl/>
        <w:spacing w:after="100"/>
      </w:pPr>
      <w:r>
        <w:rPr>
          <w:rFonts w:ascii="Times New Roman" w:hAnsi="Times New Roman" w:eastAsia="Noto Sans CJK SC"/>
          <w:color w:val="000000"/>
          <w:sz w:val="22"/>
          <w:lang w:val="en-US" w:eastAsia="zh-CN"/>
        </w:rPr>
        <w:t>Out-of-time assessment used October 2023 through December 2025 to examine later-period forecasting behavior of the regression components.</w:t>
      </w:r>
    </w:p>
    <w:p>
      <w:pPr>
        <w:widowControl/>
        <w:spacing w:after="100"/>
      </w:pPr>
      <w:r>
        <w:rPr>
          <w:rFonts w:ascii="Times New Roman" w:hAnsi="Times New Roman" w:eastAsia="Noto Sans CJK SC"/>
          <w:color w:val="000000"/>
          <w:sz w:val="22"/>
          <w:lang w:val="en-US" w:eastAsia="zh-CN"/>
        </w:rPr>
        <w:t>Commercial Card and Small Business testing evaluated static forecasts and Full Recursive OOT forecasts. Full Recursive OOT initializes endogenous states with actual history through September 2023 and then updates fee levels, own-growth lags and adjusted error-correction states using prior predictions. Historical macroeconomic inputs and the calibrated EC trend adjustment are retained.</w:t>
      </w:r>
    </w:p>
    <w:p>
      <w:pPr>
        <w:widowControl/>
        <w:spacing w:after="100"/>
      </w:pPr>
      <w:r>
        <w:rPr>
          <w:rFonts w:ascii="Times New Roman" w:hAnsi="Times New Roman"/>
          <w:color w:val="000000"/>
        </w:rPr>
        <w:t>Consumer Card testing retained the selected development-period coefficients and evaluated both static and recursive forecasts. The recursive procedure updated revenue levels and lagged revenue changes using model predictions, while using observed macroeconomic inputs.</w:t>
      </w:r>
    </w:p>
    <w:p>
      <w:pPr>
        <w:widowControl/>
        <w:spacing w:after="100"/>
      </w:pPr>
      <w:r>
        <w:rPr>
          <w:rFonts w:ascii="Times New Roman" w:hAnsi="Times New Roman"/>
          <w:color w:val="000000"/>
        </w:rPr>
        <w:t>Debit Card uses a historical quarterly calibration approach; regression-based OOT testing is not applicable.</w:t>
      </w:r>
    </w:p>
    <w:p>
      <w:pPr>
        <w:pStyle w:val="Caption"/>
        <w:keepNext/>
        <w:widowControl/>
        <w:spacing w:before="180" w:after="100"/>
      </w:pPr>
      <w:r>
        <w:rPr>
          <w:rFonts w:ascii="Times New Roman" w:hAnsi="Times New Roman"/>
          <w:color w:val="000000"/>
        </w:rPr>
        <w:t>Table 1.5 Out-of-Time Results by Component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0" w:type="dxa"/>
          <w:right w:w="80" w:type="dxa"/>
        </w:tblCellMar>
      </w:tblPr>
      <w:tblGrid>
        <w:gridCol w:w="2376"/>
        <w:gridCol w:w="2304"/>
        <w:gridCol w:w="2520"/>
        <w:gridCol w:w="2520"/>
      </w:tblGrid>
      <w:tr>
        <w:trPr>
          <w:tblHeader/>
          <w:cantSplit/>
        </w:trPr>
        <w:tc>
          <w:tcPr>
            <w:tcW w:type="dxa" w:w="2376"/>
            <w:vAlign w:val="center"/>
            <w:shd w:fill="E6ECF0"/>
          </w:tcPr>
          <w:p>
            <w:pPr>
              <w:keepNext/>
              <w:widowControl/>
              <w:spacing w:before="0" w:after="40" w:line="247" w:lineRule="auto"/>
            </w:pPr>
            <w:r>
              <w:rPr>
                <w:rFonts w:ascii="Times New Roman" w:hAnsi="Times New Roman"/>
                <w:b/>
                <w:color w:val="000000"/>
                <w:sz w:val="20"/>
              </w:rPr>
              <w:t>Component</w:t>
            </w:r>
          </w:p>
        </w:tc>
        <w:tc>
          <w:tcPr>
            <w:tcW w:type="dxa" w:w="2304"/>
            <w:vAlign w:val="center"/>
            <w:shd w:fill="E6ECF0"/>
          </w:tcPr>
          <w:p>
            <w:pPr>
              <w:keepNext/>
              <w:widowControl/>
              <w:spacing w:before="0" w:after="40" w:line="247" w:lineRule="auto"/>
            </w:pPr>
            <w:r>
              <w:rPr>
                <w:rFonts w:ascii="Times New Roman" w:hAnsi="Times New Roman"/>
                <w:b/>
                <w:color w:val="000000"/>
                <w:sz w:val="20"/>
              </w:rPr>
              <w:t>Test method</w:t>
            </w:r>
          </w:p>
        </w:tc>
        <w:tc>
          <w:tcPr>
            <w:tcW w:type="dxa" w:w="2520"/>
            <w:vAlign w:val="center"/>
            <w:shd w:fill="E6ECF0"/>
          </w:tcPr>
          <w:p>
            <w:pPr>
              <w:keepNext/>
              <w:widowControl/>
              <w:spacing w:before="0" w:after="40" w:line="247" w:lineRule="auto"/>
            </w:pPr>
            <w:r>
              <w:rPr>
                <w:rFonts w:ascii="Times New Roman" w:hAnsi="Times New Roman"/>
                <w:b/>
                <w:color w:val="000000"/>
                <w:sz w:val="20"/>
              </w:rPr>
              <w:t>MAPE</w:t>
            </w:r>
          </w:p>
        </w:tc>
        <w:tc>
          <w:tcPr>
            <w:tcW w:type="dxa" w:w="2520"/>
            <w:vAlign w:val="center"/>
            <w:shd w:fill="E6ECF0"/>
          </w:tcPr>
          <w:p>
            <w:pPr>
              <w:keepNext/>
              <w:widowControl/>
              <w:spacing w:before="0" w:after="40" w:line="247" w:lineRule="auto"/>
            </w:pPr>
            <w:r>
              <w:rPr>
                <w:rFonts w:ascii="Times New Roman" w:hAnsi="Times New Roman"/>
                <w:b/>
                <w:color w:val="000000"/>
                <w:sz w:val="20"/>
              </w:rPr>
              <w:t>RMSE ($000)</w:t>
            </w:r>
          </w:p>
        </w:tc>
      </w:tr>
      <w:tr>
        <w:trPr>
          <w:cantSplit/>
        </w:trPr>
        <w:tc>
          <w:tcPr>
            <w:tcW w:type="dxa" w:w="2376"/>
            <w:vAlign w:val="center"/>
            <w:shd w:fill="FFFFFF"/>
          </w:tcPr>
          <w:p>
            <w:pPr>
              <w:keepNext w:val="0"/>
              <w:widowControl/>
              <w:spacing w:before="0" w:after="40" w:line="247" w:lineRule="auto"/>
            </w:pPr>
            <w:r>
              <w:rPr>
                <w:rFonts w:ascii="Times New Roman" w:hAnsi="Times New Roman"/>
                <w:color w:val="000000"/>
                <w:sz w:val="20"/>
              </w:rPr>
              <w:t>Commercial Card and Small Business</w:t>
            </w:r>
          </w:p>
        </w:tc>
        <w:tc>
          <w:tcPr>
            <w:tcW w:type="dxa" w:w="2304"/>
            <w:vAlign w:val="center"/>
            <w:shd w:fill="FFFFFF"/>
          </w:tcPr>
          <w:p>
            <w:pPr>
              <w:keepNext w:val="0"/>
              <w:widowControl/>
              <w:spacing w:before="0" w:after="40" w:line="247" w:lineRule="auto"/>
            </w:pPr>
            <w:r>
              <w:rPr>
                <w:rFonts w:ascii="Times New Roman" w:hAnsi="Times New Roman"/>
                <w:color w:val="000000"/>
                <w:sz w:val="20"/>
              </w:rPr>
              <w:t>Static OOT</w:t>
            </w:r>
          </w:p>
        </w:tc>
        <w:tc>
          <w:tcPr>
            <w:tcW w:type="dxa" w:w="2520"/>
            <w:vAlign w:val="center"/>
            <w:shd w:fill="FFFFFF"/>
          </w:tcPr>
          <w:p>
            <w:pPr>
              <w:keepNext w:val="0"/>
              <w:widowControl/>
              <w:spacing w:before="0" w:after="40" w:line="247" w:lineRule="auto"/>
            </w:pPr>
            <w:r>
              <w:rPr>
                <w:rFonts w:ascii="Times New Roman" w:hAnsi="Times New Roman"/>
                <w:color w:val="000000"/>
                <w:sz w:val="20"/>
              </w:rPr>
              <w:t xml:space="preserve">8.76% </w:t>
            </w:r>
            <w:r>
              <w:rPr>
                <w:rFonts w:ascii="Times New Roman" w:hAnsi="Times New Roman"/>
                <w:color w:val="000000"/>
                <w:sz w:val="17"/>
              </w:rPr>
              <w:t>[commercial/​forecast_​accuracy.csv/​row 3 col 5]</w:t>
            </w:r>
          </w:p>
        </w:tc>
        <w:tc>
          <w:tcPr>
            <w:tcW w:type="dxa" w:w="2520"/>
            <w:vAlign w:val="center"/>
            <w:shd w:fill="FFFFFF"/>
          </w:tcPr>
          <w:p>
            <w:pPr>
              <w:keepNext w:val="0"/>
              <w:widowControl/>
              <w:spacing w:before="0" w:after="40" w:line="247" w:lineRule="auto"/>
            </w:pPr>
            <w:r>
              <w:rPr>
                <w:rFonts w:ascii="Times New Roman" w:hAnsi="Times New Roman"/>
                <w:color w:val="000000"/>
                <w:sz w:val="20"/>
              </w:rPr>
              <w:t xml:space="preserve">231.43 </w:t>
            </w:r>
            <w:r>
              <w:rPr>
                <w:rFonts w:ascii="Times New Roman" w:hAnsi="Times New Roman"/>
                <w:color w:val="000000"/>
                <w:sz w:val="17"/>
              </w:rPr>
              <w:t>[commercial/​forecast_​accuracy.csv/​row 3 col 3]</w:t>
            </w:r>
          </w:p>
        </w:tc>
      </w:tr>
      <w:tr>
        <w:trPr>
          <w:cantSplit/>
        </w:trPr>
        <w:tc>
          <w:tcPr>
            <w:tcW w:type="dxa" w:w="2376"/>
            <w:vAlign w:val="center"/>
            <w:shd w:fill="FFFFFF"/>
          </w:tcPr>
          <w:p>
            <w:pPr>
              <w:keepNext w:val="0"/>
              <w:widowControl/>
              <w:spacing w:before="0" w:after="40" w:line="247" w:lineRule="auto"/>
            </w:pPr>
            <w:r>
              <w:rPr>
                <w:rFonts w:ascii="Times New Roman" w:hAnsi="Times New Roman"/>
                <w:color w:val="000000"/>
                <w:sz w:val="20"/>
              </w:rPr>
              <w:t>Commercial Card and Small Business</w:t>
            </w:r>
          </w:p>
        </w:tc>
        <w:tc>
          <w:tcPr>
            <w:tcW w:type="dxa" w:w="2304"/>
            <w:vAlign w:val="center"/>
            <w:shd w:fill="FFFFFF"/>
          </w:tcPr>
          <w:p>
            <w:pPr>
              <w:keepNext w:val="0"/>
              <w:widowControl/>
              <w:spacing w:before="0" w:after="40" w:line="247" w:lineRule="auto"/>
            </w:pPr>
            <w:r>
              <w:rPr>
                <w:rFonts w:ascii="Times New Roman" w:hAnsi="Times New Roman" w:eastAsia="Noto Sans CJK SC"/>
                <w:color w:val="000000"/>
                <w:sz w:val="22"/>
                <w:lang w:val="en-US" w:eastAsia="zh-CN"/>
              </w:rPr>
              <w:t>Full Recursive OOT</w:t>
            </w:r>
          </w:p>
        </w:tc>
        <w:tc>
          <w:tcPr>
            <w:tcW w:type="dxa" w:w="2520"/>
            <w:vAlign w:val="center"/>
            <w:shd w:fill="FFFFFF"/>
          </w:tcPr>
          <w:p>
            <w:pPr>
              <w:keepNext w:val="0"/>
              <w:widowControl/>
              <w:spacing w:before="0" w:after="40" w:line="247" w:lineRule="auto"/>
            </w:pPr>
            <w:r>
              <w:rPr>
                <w:rFonts w:ascii="Times New Roman" w:hAnsi="Times New Roman" w:eastAsia="Noto Sans CJK SC"/>
                <w:color w:val="000000"/>
                <w:sz w:val="20"/>
                <w:lang w:val="en-US" w:eastAsia="zh-CN"/>
              </w:rPr>
              <w:t xml:space="preserve">16.95% </w:t>
            </w:r>
            <w:r>
              <w:rPr>
                <w:rFonts w:ascii="Times New Roman" w:hAnsi="Times New Roman" w:eastAsia="Noto Sans CJK SC"/>
                <w:color w:val="000000"/>
                <w:sz w:val="17"/>
                <w:lang w:val="en-US" w:eastAsia="zh-CN"/>
              </w:rPr>
              <w:t>[commercial/​forecast_​accuracy.csv/​row 4 col 5]</w:t>
            </w:r>
          </w:p>
        </w:tc>
        <w:tc>
          <w:tcPr>
            <w:tcW w:type="dxa" w:w="2520"/>
            <w:vAlign w:val="center"/>
            <w:shd w:fill="FFFFFF"/>
          </w:tcPr>
          <w:p>
            <w:pPr>
              <w:keepNext w:val="0"/>
              <w:widowControl/>
              <w:spacing w:before="0" w:after="40" w:line="247" w:lineRule="auto"/>
            </w:pPr>
            <w:r>
              <w:rPr>
                <w:rFonts w:ascii="Times New Roman" w:hAnsi="Times New Roman" w:eastAsia="Noto Sans CJK SC"/>
                <w:color w:val="000000"/>
                <w:sz w:val="20"/>
                <w:lang w:val="en-US" w:eastAsia="zh-CN"/>
              </w:rPr>
              <w:t xml:space="preserve">399.13 </w:t>
            </w:r>
            <w:r>
              <w:rPr>
                <w:rFonts w:ascii="Times New Roman" w:hAnsi="Times New Roman" w:eastAsia="Noto Sans CJK SC"/>
                <w:color w:val="000000"/>
                <w:sz w:val="17"/>
                <w:lang w:val="en-US" w:eastAsia="zh-CN"/>
              </w:rPr>
              <w:t>[commercial/​forecast_​accuracy.csv/​row 4 col 3]</w:t>
            </w:r>
          </w:p>
        </w:tc>
      </w:tr>
      <w:tr>
        <w:trPr>
          <w:cantSplit/>
        </w:trPr>
        <w:tc>
          <w:tcPr>
            <w:tcW w:type="dxa" w:w="2376"/>
            <w:vAlign w:val="center"/>
            <w:shd w:fill="FFFFFF"/>
          </w:tcPr>
          <w:p>
            <w:pPr>
              <w:keepNext w:val="0"/>
              <w:widowControl/>
              <w:spacing w:before="0" w:after="40" w:line="247" w:lineRule="auto"/>
            </w:pPr>
            <w:r>
              <w:rPr>
                <w:rFonts w:ascii="Times New Roman" w:hAnsi="Times New Roman"/>
                <w:color w:val="000000"/>
                <w:sz w:val="20"/>
              </w:rPr>
              <w:t>Consumer Card</w:t>
            </w:r>
          </w:p>
        </w:tc>
        <w:tc>
          <w:tcPr>
            <w:tcW w:type="dxa" w:w="2304"/>
            <w:vAlign w:val="center"/>
            <w:shd w:fill="FFFFFF"/>
          </w:tcPr>
          <w:p>
            <w:pPr>
              <w:keepNext w:val="0"/>
              <w:widowControl/>
              <w:spacing w:before="0" w:after="40" w:line="247" w:lineRule="auto"/>
            </w:pPr>
            <w:r>
              <w:rPr>
                <w:rFonts w:ascii="Times New Roman" w:hAnsi="Times New Roman"/>
                <w:color w:val="000000"/>
                <w:sz w:val="20"/>
              </w:rPr>
              <w:t>Static OOT</w:t>
            </w:r>
          </w:p>
        </w:tc>
        <w:tc>
          <w:tcPr>
            <w:tcW w:type="dxa" w:w="2520"/>
            <w:vAlign w:val="center"/>
            <w:shd w:fill="FFFFFF"/>
          </w:tcPr>
          <w:p>
            <w:pPr>
              <w:keepNext w:val="0"/>
              <w:widowControl/>
              <w:spacing w:before="0" w:after="40" w:line="247" w:lineRule="auto"/>
            </w:pPr>
            <w:r>
              <w:rPr>
                <w:rFonts w:ascii="Times New Roman" w:hAnsi="Times New Roman"/>
                <w:color w:val="000000"/>
                <w:sz w:val="20"/>
              </w:rPr>
              <w:t xml:space="preserve">5.05% </w:t>
            </w:r>
            <w:r>
              <w:rPr>
                <w:rFonts w:ascii="Times New Roman" w:hAnsi="Times New Roman"/>
                <w:color w:val="000000"/>
                <w:sz w:val="17"/>
              </w:rPr>
              <w:t>[consumer/​forecast_​accuracy.csv/​row 3 col 3]</w:t>
            </w:r>
          </w:p>
        </w:tc>
        <w:tc>
          <w:tcPr>
            <w:tcW w:type="dxa" w:w="2520"/>
            <w:vAlign w:val="center"/>
            <w:shd w:fill="FFFFFF"/>
          </w:tcPr>
          <w:p>
            <w:pPr>
              <w:keepNext w:val="0"/>
              <w:widowControl/>
              <w:spacing w:before="0" w:after="40" w:line="247" w:lineRule="auto"/>
            </w:pPr>
            <w:r>
              <w:rPr>
                <w:rFonts w:ascii="Times New Roman" w:hAnsi="Times New Roman"/>
                <w:color w:val="000000"/>
                <w:sz w:val="20"/>
              </w:rPr>
              <w:t xml:space="preserve">45.89 </w:t>
            </w:r>
            <w:r>
              <w:rPr>
                <w:rFonts w:ascii="Times New Roman" w:hAnsi="Times New Roman"/>
                <w:color w:val="000000"/>
                <w:sz w:val="17"/>
              </w:rPr>
              <w:t>[consumer/​forecast_​accuracy.csv/​row 3 col 4]</w:t>
            </w:r>
          </w:p>
        </w:tc>
      </w:tr>
      <w:tr>
        <w:trPr>
          <w:cantSplit/>
        </w:trPr>
        <w:tc>
          <w:tcPr>
            <w:tcW w:type="dxa" w:w="2376"/>
            <w:vAlign w:val="center"/>
            <w:shd w:fill="FFFFFF"/>
          </w:tcPr>
          <w:p>
            <w:pPr>
              <w:keepNext w:val="0"/>
              <w:widowControl/>
              <w:spacing w:before="0" w:after="40" w:line="247" w:lineRule="auto"/>
            </w:pPr>
            <w:r>
              <w:rPr>
                <w:rFonts w:ascii="Times New Roman" w:hAnsi="Times New Roman"/>
                <w:color w:val="000000"/>
                <w:sz w:val="20"/>
              </w:rPr>
              <w:t>Consumer Card</w:t>
            </w:r>
          </w:p>
        </w:tc>
        <w:tc>
          <w:tcPr>
            <w:tcW w:type="dxa" w:w="2304"/>
            <w:vAlign w:val="center"/>
            <w:shd w:fill="FFFFFF"/>
          </w:tcPr>
          <w:p>
            <w:pPr>
              <w:keepNext w:val="0"/>
              <w:widowControl/>
              <w:spacing w:before="0" w:after="40" w:line="247" w:lineRule="auto"/>
            </w:pPr>
            <w:r>
              <w:rPr>
                <w:rFonts w:ascii="Times New Roman" w:hAnsi="Times New Roman"/>
                <w:color w:val="000000"/>
                <w:sz w:val="20"/>
              </w:rPr>
              <w:t>Recursive OOT</w:t>
            </w:r>
          </w:p>
        </w:tc>
        <w:tc>
          <w:tcPr>
            <w:tcW w:type="dxa" w:w="2520"/>
            <w:vAlign w:val="center"/>
            <w:shd w:fill="FFFFFF"/>
          </w:tcPr>
          <w:p>
            <w:pPr>
              <w:keepNext w:val="0"/>
              <w:widowControl/>
              <w:spacing w:before="0" w:after="40" w:line="247" w:lineRule="auto"/>
            </w:pPr>
            <w:r>
              <w:rPr>
                <w:rFonts w:ascii="Times New Roman" w:hAnsi="Times New Roman"/>
                <w:color w:val="000000"/>
                <w:sz w:val="20"/>
              </w:rPr>
              <w:t xml:space="preserve">5.96% </w:t>
            </w:r>
            <w:r>
              <w:rPr>
                <w:rFonts w:ascii="Times New Roman" w:hAnsi="Times New Roman"/>
                <w:color w:val="000000"/>
                <w:sz w:val="17"/>
              </w:rPr>
              <w:t>[consumer/​forecast_​accuracy.csv/​row 4 col 3]</w:t>
            </w:r>
          </w:p>
        </w:tc>
        <w:tc>
          <w:tcPr>
            <w:tcW w:type="dxa" w:w="2520"/>
            <w:vAlign w:val="center"/>
            <w:shd w:fill="FFFFFF"/>
          </w:tcPr>
          <w:p>
            <w:pPr>
              <w:keepNext w:val="0"/>
              <w:widowControl/>
              <w:spacing w:before="0" w:after="40" w:line="247" w:lineRule="auto"/>
            </w:pPr>
            <w:r>
              <w:rPr>
                <w:rFonts w:ascii="Times New Roman" w:hAnsi="Times New Roman"/>
                <w:color w:val="000000"/>
                <w:sz w:val="20"/>
              </w:rPr>
              <w:t xml:space="preserve">53.34 </w:t>
            </w:r>
            <w:r>
              <w:rPr>
                <w:rFonts w:ascii="Times New Roman" w:hAnsi="Times New Roman"/>
                <w:color w:val="000000"/>
                <w:sz w:val="17"/>
              </w:rPr>
              <w:t>[consumer/​forecast_​accuracy.csv/​row 4 col 4]</w:t>
            </w:r>
          </w:p>
        </w:tc>
      </w:tr>
      <w:tr>
        <w:trPr>
          <w:cantSplit/>
        </w:trPr>
        <w:tc>
          <w:tcPr>
            <w:tcW w:type="dxa" w:w="2376"/>
            <w:vAlign w:val="center"/>
            <w:shd w:fill="FFFFFF"/>
          </w:tcPr>
          <w:p>
            <w:pPr>
              <w:keepNext w:val="0"/>
              <w:widowControl/>
              <w:spacing w:before="0" w:after="40" w:line="247" w:lineRule="auto"/>
            </w:pPr>
            <w:r>
              <w:rPr>
                <w:rFonts w:ascii="Times New Roman" w:hAnsi="Times New Roman"/>
                <w:color w:val="000000"/>
                <w:sz w:val="20"/>
              </w:rPr>
              <w:t>Debit Card</w:t>
            </w:r>
          </w:p>
        </w:tc>
        <w:tc>
          <w:tcPr>
            <w:tcW w:type="dxa" w:w="2304"/>
            <w:vAlign w:val="center"/>
            <w:shd w:fill="FFFFFF"/>
          </w:tcPr>
          <w:p>
            <w:pPr>
              <w:keepNext w:val="0"/>
              <w:widowControl/>
              <w:spacing w:before="0" w:after="40" w:line="247" w:lineRule="auto"/>
            </w:pPr>
            <w:r>
              <w:rPr>
                <w:rFonts w:ascii="Times New Roman" w:hAnsi="Times New Roman"/>
                <w:color w:val="000000"/>
                <w:sz w:val="20"/>
              </w:rPr>
              <w:t>Historical quarterly calibration</w:t>
            </w:r>
          </w:p>
        </w:tc>
        <w:tc>
          <w:tcPr>
            <w:tcW w:type="dxa" w:w="2520"/>
            <w:vAlign w:val="center"/>
            <w:shd w:fill="FFFFFF"/>
          </w:tcPr>
          <w:p>
            <w:pPr>
              <w:keepNext w:val="0"/>
              <w:widowControl/>
              <w:spacing w:before="0" w:after="40" w:line="247" w:lineRule="auto"/>
            </w:pPr>
            <w:r>
              <w:rPr>
                <w:rFonts w:ascii="Times New Roman" w:hAnsi="Times New Roman"/>
                <w:color w:val="000000"/>
                <w:sz w:val="20"/>
              </w:rPr>
              <w:t>N/​A</w:t>
            </w:r>
          </w:p>
        </w:tc>
        <w:tc>
          <w:tcPr>
            <w:tcW w:type="dxa" w:w="2520"/>
            <w:vAlign w:val="center"/>
            <w:shd w:fill="FFFFFF"/>
          </w:tcPr>
          <w:p>
            <w:pPr>
              <w:keepNext w:val="0"/>
              <w:widowControl/>
              <w:spacing w:before="0" w:after="40" w:line="247" w:lineRule="auto"/>
            </w:pPr>
            <w:r>
              <w:rPr>
                <w:rFonts w:ascii="Times New Roman" w:hAnsi="Times New Roman"/>
                <w:color w:val="000000"/>
                <w:sz w:val="20"/>
              </w:rPr>
              <w:t>N/​A</w:t>
            </w:r>
          </w:p>
        </w:tc>
      </w:tr>
    </w:tbl>
    <w:p>
      <w:pPr>
        <w:widowControl/>
        <w:spacing w:before="60" w:after="100"/>
      </w:pPr>
      <w:r>
        <w:rPr>
          <w:rFonts w:ascii="Times New Roman" w:hAnsi="Times New Roman" w:eastAsia="Noto Sans CJK SC"/>
          <w:color w:val="000000"/>
          <w:sz w:val="18"/>
          <w:lang w:val="en-US" w:eastAsia="zh-CN"/>
        </w:rPr>
        <w:t>Sources: commercial/​forecast_​accuracy.csv; commercial/​fully_​recursive_​oot.csv; consumer/​forecast_​accuracy.csv; debit/​debit_​card_​model.py. Commercial and Consumer recursive tests update their respective endogenous fee states under fixed development coefficients. Commercial also retains its calibrated EC trend adjustment. N/​A means that OOT testing is not applicable to the adopted Debit methodology.</w:t>
      </w:r>
    </w:p>
    <w:p>
      <w:pPr>
        <w:pStyle w:val="Heading2"/>
        <w:keepNext/>
        <w:widowControl/>
        <w:spacing w:before="160" w:after="80"/>
      </w:pPr>
      <w:r>
        <w:rPr>
          <w:rFonts w:ascii="Times New Roman" w:hAnsi="Times New Roman"/>
          <w:color w:val="000000"/>
        </w:rPr>
        <w:t>1.8 Overlay Summary</w:t>
      </w:r>
    </w:p>
    <w:p>
      <w:pPr>
        <w:widowControl/>
        <w:spacing w:after="100"/>
      </w:pPr>
      <w:r>
        <w:rPr>
          <w:rFonts w:ascii="Times New Roman" w:hAnsi="Times New Roman" w:eastAsia="Noto Sans CJK SC"/>
          <w:color w:val="000000"/>
          <w:sz w:val="22"/>
          <w:lang w:val="en-US" w:eastAsia="zh-CN"/>
        </w:rPr>
        <w:t>The Commercial Card and Small Business model compares actual fee revenue with the fitted value from the CPI-based long-run model. It expresses the gap as a percentage of the fitted value. This percentage gap is called scaled EC.</w:t>
      </w:r>
    </w:p>
    <w:p>
      <w:pPr>
        <w:keepNext w:val="0"/>
        <w:keepLines w:val="0"/>
        <w:pageBreakBefore w:val="0"/>
        <w:widowControl/>
        <w:spacing w:after="100"/>
      </w:pPr>
      <w:r>
        <w:rPr>
          <w:rFonts w:ascii="Times New Roman" w:hAnsi="Times New Roman" w:eastAsia="Noto Sans CJK SC"/>
          <w:color w:val="000000"/>
          <w:sz w:val="22"/>
          <w:lang w:val="en-US" w:eastAsia="zh-CN"/>
        </w:rPr>
        <w:t>The model estimates a time trend in scaled EC during the OOT period. It subtracts this trend to obtain adjusted EC. The short-run equation uses adjusted EC from twelve months earlier.</w:t>
      </w:r>
    </w:p>
    <w:p>
      <w:pPr>
        <w:keepNext w:val="0"/>
        <w:keepLines w:val="0"/>
        <w:pageBreakBefore w:val="0"/>
        <w:widowControl/>
        <w:spacing w:after="100"/>
      </w:pPr>
      <w:r>
        <w:rPr>
          <w:rFonts w:ascii="Times New Roman" w:hAnsi="Times New Roman" w:eastAsia="Noto Sans CJK SC"/>
          <w:color w:val="000000"/>
          <w:sz w:val="22"/>
          <w:lang w:val="en-US" w:eastAsia="zh-CN"/>
        </w:rPr>
        <w:t>For future forecasts, the trend adjustment stays at its December 2025 value. The model updates EC each month using forecast revenue.</w:t>
      </w:r>
    </w:p>
    <w:p>
      <w:pPr>
        <w:widowControl/>
        <w:spacing w:after="100"/>
      </w:pPr>
      <w:r>
        <w:rPr>
          <w:rFonts w:ascii="Times New Roman" w:hAnsi="Times New Roman"/>
          <w:color w:val="000000"/>
        </w:rPr>
        <w:t>Consumer Card forecasts do not include a separate management overlay in the current implementation.</w:t>
      </w:r>
    </w:p>
    <w:p>
      <w:pPr>
        <w:widowControl/>
        <w:spacing w:after="100"/>
      </w:pPr>
      <w:r>
        <w:rPr>
          <w:rFonts w:ascii="Times New Roman" w:hAnsi="Times New Roman"/>
          <w:color w:val="000000"/>
        </w:rPr>
        <w:t>Debit Card uses a historical quarterly calibration approach. Its baseline and stress-floor calculations constitute the forecasting methodology rather than an overlay applied to regression forecasts.</w:t>
      </w:r>
    </w:p>
    <w:p>
      <w:pPr>
        <w:pStyle w:val="Caption"/>
        <w:keepNext/>
        <w:widowControl/>
        <w:spacing w:before="180" w:after="100"/>
      </w:pPr>
      <w:r>
        <w:rPr>
          <w:rFonts w:ascii="Times New Roman" w:hAnsi="Times New Roman"/>
          <w:color w:val="000000"/>
        </w:rPr>
        <w:t>Table 1.6 Overlay Summary by Component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0" w:type="dxa"/>
          <w:right w:w="80" w:type="dxa"/>
        </w:tblCellMar>
      </w:tblPr>
      <w:tblGrid>
        <w:gridCol w:w="2376"/>
        <w:gridCol w:w="2592"/>
        <w:gridCol w:w="4752"/>
      </w:tblGrid>
      <w:tr>
        <w:trPr>
          <w:tblHeader/>
          <w:cantSplit/>
        </w:trPr>
        <w:tc>
          <w:tcPr>
            <w:tcW w:type="dxa" w:w="2376"/>
            <w:vAlign w:val="center"/>
            <w:shd w:fill="E6ECF0"/>
          </w:tcPr>
          <w:p>
            <w:pPr>
              <w:keepNext/>
              <w:widowControl/>
              <w:spacing w:before="0" w:after="40" w:line="247" w:lineRule="auto"/>
            </w:pPr>
            <w:r>
              <w:rPr>
                <w:rFonts w:ascii="Times New Roman" w:hAnsi="Times New Roman"/>
                <w:b/>
                <w:color w:val="000000"/>
                <w:sz w:val="20"/>
              </w:rPr>
              <w:t>Component</w:t>
            </w:r>
          </w:p>
        </w:tc>
        <w:tc>
          <w:tcPr>
            <w:tcW w:type="dxa" w:w="2592"/>
            <w:vAlign w:val="center"/>
            <w:shd w:fill="E6ECF0"/>
          </w:tcPr>
          <w:p>
            <w:pPr>
              <w:keepNext/>
              <w:widowControl/>
              <w:spacing w:before="0" w:after="40" w:line="247" w:lineRule="auto"/>
            </w:pPr>
            <w:r>
              <w:rPr>
                <w:rFonts w:ascii="Times New Roman" w:hAnsi="Times New Roman"/>
                <w:b/>
                <w:color w:val="000000"/>
                <w:sz w:val="20"/>
              </w:rPr>
              <w:t>Treatment</w:t>
            </w:r>
          </w:p>
        </w:tc>
        <w:tc>
          <w:tcPr>
            <w:tcW w:type="dxa" w:w="4752"/>
            <w:vAlign w:val="center"/>
            <w:shd w:fill="E6ECF0"/>
          </w:tcPr>
          <w:p>
            <w:pPr>
              <w:keepNext/>
              <w:widowControl/>
              <w:spacing w:before="0" w:after="40" w:line="247" w:lineRule="auto"/>
            </w:pPr>
            <w:r>
              <w:rPr>
                <w:rFonts w:ascii="Times New Roman" w:hAnsi="Times New Roman"/>
                <w:b/>
                <w:color w:val="000000"/>
                <w:sz w:val="20"/>
              </w:rPr>
              <w:t>Implementation</w:t>
            </w:r>
          </w:p>
        </w:tc>
      </w:tr>
      <w:tr>
        <w:trPr>
          <w:cantSplit/>
        </w:trPr>
        <w:tc>
          <w:tcPr>
            <w:tcW w:type="dxa" w:w="2376"/>
            <w:vAlign w:val="center"/>
            <w:shd w:fill="FFFFFF"/>
          </w:tcPr>
          <w:p>
            <w:pPr>
              <w:keepNext w:val="0"/>
              <w:widowControl/>
              <w:spacing w:before="0" w:after="40" w:line="247" w:lineRule="auto"/>
            </w:pPr>
            <w:r>
              <w:rPr>
                <w:rFonts w:ascii="Times New Roman" w:hAnsi="Times New Roman"/>
                <w:color w:val="000000"/>
                <w:sz w:val="20"/>
              </w:rPr>
              <w:t>Commercial Card and Small Business</w:t>
            </w:r>
          </w:p>
        </w:tc>
        <w:tc>
          <w:tcPr>
            <w:tcW w:type="dxa" w:w="2592"/>
            <w:vAlign w:val="center"/>
            <w:shd w:fill="FFFFFF"/>
          </w:tcPr>
          <w:p>
            <w:pPr>
              <w:keepNext w:val="0"/>
              <w:widowControl/>
              <w:spacing w:before="0" w:after="40" w:line="247" w:lineRule="auto"/>
            </w:pPr>
            <w:r>
              <w:rPr>
                <w:rFonts w:ascii="Times New Roman" w:hAnsi="Times New Roman"/>
                <w:color w:val="000000"/>
                <w:sz w:val="20"/>
              </w:rPr>
              <w:t>Trend adjustment to scaled error correction</w:t>
            </w:r>
          </w:p>
        </w:tc>
        <w:tc>
          <w:tcPr>
            <w:tcW w:type="dxa" w:w="4752"/>
            <w:vAlign w:val="center"/>
            <w:shd w:fill="FFFFFF"/>
          </w:tcPr>
          <w:p>
            <w:pPr>
              <w:keepNext w:val="0"/>
              <w:widowControl/>
              <w:spacing w:before="0" w:after="40" w:line="247" w:lineRule="auto"/>
            </w:pPr>
            <w:r>
              <w:rPr>
                <w:rFonts w:ascii="Times New Roman" w:hAnsi="Times New Roman"/>
                <w:color w:val="000000"/>
                <w:sz w:val="20"/>
              </w:rPr>
              <w:t>Trend intercept −5.5930 percentage points; monthly slope −0.9093 percentage points; held future adjustment −30.1428 percentage points. Subtracted before constructing the lagged EC input.</w:t>
            </w:r>
          </w:p>
        </w:tc>
      </w:tr>
      <w:tr>
        <w:trPr>
          <w:cantSplit/>
        </w:trPr>
        <w:tc>
          <w:tcPr>
            <w:tcW w:type="dxa" w:w="2376"/>
            <w:vAlign w:val="center"/>
            <w:shd w:fill="FFFFFF"/>
          </w:tcPr>
          <w:p>
            <w:pPr>
              <w:keepNext w:val="0"/>
              <w:widowControl/>
              <w:spacing w:before="0" w:after="40" w:line="247" w:lineRule="auto"/>
            </w:pPr>
            <w:r>
              <w:rPr>
                <w:rFonts w:ascii="Times New Roman" w:hAnsi="Times New Roman"/>
                <w:color w:val="000000"/>
                <w:sz w:val="20"/>
              </w:rPr>
              <w:t>Consumer Card</w:t>
            </w:r>
          </w:p>
        </w:tc>
        <w:tc>
          <w:tcPr>
            <w:tcW w:type="dxa" w:w="2592"/>
            <w:vAlign w:val="center"/>
            <w:shd w:fill="FFFFFF"/>
          </w:tcPr>
          <w:p>
            <w:pPr>
              <w:keepNext w:val="0"/>
              <w:widowControl/>
              <w:spacing w:before="0" w:after="40" w:line="247" w:lineRule="auto"/>
            </w:pPr>
            <w:r>
              <w:rPr>
                <w:rFonts w:ascii="Times New Roman" w:hAnsi="Times New Roman"/>
                <w:color w:val="000000"/>
                <w:sz w:val="20"/>
              </w:rPr>
              <w:t>No separate management overlay</w:t>
            </w:r>
          </w:p>
        </w:tc>
        <w:tc>
          <w:tcPr>
            <w:tcW w:type="dxa" w:w="4752"/>
            <w:vAlign w:val="center"/>
            <w:shd w:fill="FFFFFF"/>
          </w:tcPr>
          <w:p>
            <w:pPr>
              <w:keepNext w:val="0"/>
              <w:widowControl/>
              <w:spacing w:before="0" w:after="40" w:line="247" w:lineRule="auto"/>
            </w:pPr>
            <w:r>
              <w:rPr>
                <w:rFonts w:ascii="Times New Roman" w:hAnsi="Times New Roman"/>
                <w:color w:val="000000"/>
                <w:sz w:val="20"/>
              </w:rPr>
              <w:t>Forecasts follow the selected recursive equation and the applicable scenario inputs.</w:t>
            </w:r>
          </w:p>
        </w:tc>
      </w:tr>
      <w:tr>
        <w:trPr>
          <w:cantSplit/>
        </w:trPr>
        <w:tc>
          <w:tcPr>
            <w:tcW w:type="dxa" w:w="2376"/>
            <w:vAlign w:val="center"/>
            <w:shd w:fill="FFFFFF"/>
          </w:tcPr>
          <w:p>
            <w:pPr>
              <w:keepNext w:val="0"/>
              <w:widowControl/>
              <w:spacing w:before="0" w:after="40" w:line="247" w:lineRule="auto"/>
            </w:pPr>
            <w:r>
              <w:rPr>
                <w:rFonts w:ascii="Times New Roman" w:hAnsi="Times New Roman"/>
                <w:color w:val="000000"/>
                <w:sz w:val="20"/>
              </w:rPr>
              <w:t>Debit Card</w:t>
            </w:r>
          </w:p>
        </w:tc>
        <w:tc>
          <w:tcPr>
            <w:tcW w:type="dxa" w:w="2592"/>
            <w:vAlign w:val="center"/>
            <w:shd w:fill="FFFFFF"/>
          </w:tcPr>
          <w:p>
            <w:pPr>
              <w:keepNext w:val="0"/>
              <w:widowControl/>
              <w:spacing w:before="0" w:after="40" w:line="247" w:lineRule="auto"/>
            </w:pPr>
            <w:r>
              <w:rPr>
                <w:rFonts w:ascii="Times New Roman" w:hAnsi="Times New Roman"/>
                <w:color w:val="000000"/>
                <w:sz w:val="20"/>
              </w:rPr>
              <w:t>No separate management overlay</w:t>
            </w:r>
          </w:p>
        </w:tc>
        <w:tc>
          <w:tcPr>
            <w:tcW w:type="dxa" w:w="4752"/>
            <w:vAlign w:val="center"/>
            <w:shd w:fill="FFFFFF"/>
          </w:tcPr>
          <w:p>
            <w:pPr>
              <w:keepNext w:val="0"/>
              <w:widowControl/>
              <w:spacing w:before="0" w:after="40" w:line="247" w:lineRule="auto"/>
            </w:pPr>
            <w:r>
              <w:rPr>
                <w:rFonts w:ascii="Times New Roman" w:hAnsi="Times New Roman"/>
                <w:color w:val="000000"/>
                <w:sz w:val="20"/>
              </w:rPr>
              <w:t>Historical baseline and stress-floor calculations are the forecasting methodology.</w:t>
            </w:r>
          </w:p>
        </w:tc>
      </w:tr>
    </w:tbl>
    <w:p>
      <w:pPr>
        <w:widowControl/>
        <w:spacing w:before="60" w:after="100"/>
      </w:pPr>
      <w:r>
        <w:rPr>
          <w:rFonts w:ascii="Times New Roman" w:hAnsi="Times New Roman"/>
          <w:color w:val="000000"/>
          <w:sz w:val="18"/>
        </w:rPr>
        <w:t>Sources: commercial/​overlay_​trend.csv; commercial/​commercial_​card_​model.py; consumer/​consumer_​card_​model.py; debit/​qualitative_​scenarios.csv. Commercial adjustment values are percentage points on the scaled EC state, not direct percentage changes in fee revenue.</w:t>
      </w:r>
    </w:p>
    <w:p>
      <w:pPr>
        <w:pStyle w:val="Heading2"/>
        <w:keepNext/>
        <w:widowControl/>
        <w:spacing w:before="160" w:after="80"/>
      </w:pPr>
      <w:r>
        <w:rPr>
          <w:rFonts w:ascii="Times New Roman" w:hAnsi="Times New Roman"/>
          <w:color w:val="000000"/>
        </w:rPr>
        <w:t>1.9 Key Assumptions</w:t>
      </w:r>
    </w:p>
    <w:p>
      <w:pPr>
        <w:widowControl/>
        <w:spacing w:after="100"/>
      </w:pPr>
      <w:r>
        <w:rPr>
          <w:rFonts w:ascii="Times New Roman" w:hAnsi="Times New Roman" w:eastAsia="Noto Sans CJK SC"/>
          <w:color w:val="000000"/>
          <w:sz w:val="22"/>
          <w:lang w:val="en-US" w:eastAsia="zh-CN"/>
        </w:rPr>
        <w:t>The model assumes that historical fee definitions remain comparable and that the selected business relationships continue to provide useful forecasting information. Commercial Card and Small Business relies on the CPI-based revenue reference, lagged fee dynamics, Corporate Profits growth and the held EC adjustment. Consumer Card relies on recurring seasonal patterns, short-term revenue adjustment and the Retail Sales association. Debit Card relies on the recent-quarter mean as a run-rate measure and the retained historical distribution as a downside-calibration reference. The regression components also assume approximately linear relationships in the specified transformations, sufficiently stable coefficients and residual properties appropriate for estimation and inference. These assumptions depend on complete and consistently defined source data.</w:t>
      </w:r>
    </w:p>
    <w:p>
      <w:pPr>
        <w:pStyle w:val="Heading2"/>
        <w:keepNext/>
        <w:widowControl/>
        <w:spacing w:before="160" w:after="80"/>
      </w:pPr>
      <w:r>
        <w:rPr>
          <w:rFonts w:ascii="Times New Roman" w:hAnsi="Times New Roman"/>
          <w:color w:val="000000"/>
        </w:rPr>
        <w:t>1.10 Key Strengths</w:t>
      </w:r>
    </w:p>
    <w:p>
      <w:pPr>
        <w:widowControl/>
        <w:spacing w:after="100"/>
      </w:pPr>
      <w:r>
        <w:rPr>
          <w:rFonts w:ascii="Times New Roman" w:hAnsi="Times New Roman" w:eastAsia="Noto Sans CJK SC"/>
          <w:color w:val="000000"/>
          <w:sz w:val="22"/>
          <w:lang w:val="en-US" w:eastAsia="zh-CN"/>
        </w:rPr>
        <w:t>The principal strength of the framework is its separation of distinct revenue mechanisms into interpretable component methods. Commercial Card and Small Business combines a nominal revenue reference with short-run persistence, error correction and business conditions. Consumer Card combines spending growth with seasonal and lagged revenue effects, supported by consistent coefficient signs in the reported rolling exercise. Debit Card provides an explicit calculation of the recent run rate and historical downside reference. Retained inputs, equations, calibration rules and source-linked exhibits make these mechanisms reproducible and open to review.</w:t>
      </w:r>
    </w:p>
    <w:p>
      <w:pPr>
        <w:pStyle w:val="Heading2"/>
        <w:keepNext/>
        <w:widowControl/>
        <w:spacing w:before="160" w:after="80"/>
      </w:pPr>
      <w:r>
        <w:rPr>
          <w:rFonts w:ascii="Times New Roman" w:hAnsi="Times New Roman"/>
          <w:color w:val="000000"/>
        </w:rPr>
        <w:t>1.11 Key Limitations</w:t>
      </w:r>
    </w:p>
    <w:p>
      <w:pPr>
        <w:widowControl/>
        <w:spacing w:after="100"/>
      </w:pPr>
      <w:r>
        <w:rPr>
          <w:rFonts w:ascii="Times New Roman" w:hAnsi="Times New Roman" w:eastAsia="Noto Sans CJK SC"/>
          <w:color w:val="000000"/>
          <w:sz w:val="22"/>
          <w:lang w:val="en-US" w:eastAsia="zh-CN"/>
        </w:rPr>
        <w:t>The framework does not explicitly model future pricing actions, new products or services, regulatory developments or one-time management initiatives. Such changes may weaken historical relationships or produce forecast bias. Commercial Card and Small Business is sensitive to the continued relevance of its long-run reference and fixed EC adjustment. Consumer Card is sensitive to changes in spending behavior, portfolio mix and seasonality. Debit Card does not respond directly to macroeconomic scenario paths, and its stress floor is a judgmental downside reference rather than a probability quantile. Monitoring, review of the Commercial adjustment and Debit calibration, and recalibration or redevelopment when warranted are the proposed mitigants.</w:t>
      </w:r>
    </w:p>
    <w:p>
      <w:pPr>
        <w:pStyle w:val="Heading2"/>
        <w:keepNext/>
        <w:widowControl/>
        <w:spacing w:before="160" w:after="80"/>
      </w:pPr>
      <w:r>
        <w:rPr>
          <w:rFonts w:ascii="Times New Roman" w:hAnsi="Times New Roman"/>
          <w:color w:val="000000"/>
        </w:rPr>
        <w:t>1.12 Governance and Ownership</w:t>
      </w:r>
    </w:p>
    <w:p>
      <w:pPr>
        <w:widowControl/>
        <w:spacing w:after="100"/>
      </w:pPr>
      <w:r>
        <w:rPr>
          <w:rFonts w:ascii="Times New Roman" w:hAnsi="Times New Roman"/>
          <w:color w:val="000000"/>
        </w:rPr>
        <w:t>The model is governed under applicable Model Risk Management standards and SR 26-2 guidance. Performance is subject to periodic review, monitoring, and validation. Material changes to methodology, assumptions, inputs, implementation, or intended use require review and approval through established governance processes.</w:t>
      </w:r>
    </w:p>
    <w:p>
      <w:pPr>
        <w:keepNext/>
        <w:keepLines/>
        <w:pageBreakBefore w:val="0"/>
        <w:spacing w:after="140"/>
      </w:pPr>
      <w:r>
        <w:rPr>
          <w:rFonts w:ascii="Times New Roman" w:hAnsi="Times New Roman" w:eastAsia="Noto Sans CJK SC"/>
          <w:color w:val="000000"/>
          <w:sz w:val="22"/>
          <w:lang w:val="en-US" w:eastAsia="zh-CN"/>
        </w:rPr>
        <w:t>The table identifies the governance and ownership information to be completed for each responsible role.</w:t>
      </w:r>
    </w:p>
    <w:p>
      <w:pPr>
        <w:pStyle w:val="Caption"/>
        <w:keepNext/>
        <w:widowControl/>
        <w:spacing w:before="180" w:after="100"/>
      </w:pPr>
      <w:r>
        <w:rPr>
          <w:rFonts w:ascii="Times New Roman" w:hAnsi="Times New Roman"/>
          <w:color w:val="000000"/>
        </w:rPr>
        <w:t>Table 1.7 Governance and Ownership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0" w:type="dxa"/>
          <w:right w:w="80" w:type="dxa"/>
        </w:tblCellMar>
      </w:tblPr>
      <w:tblGrid>
        <w:gridCol w:w="3168"/>
        <w:gridCol w:w="6552"/>
      </w:tblGrid>
      <w:tr>
        <w:trPr>
          <w:tblHeader/>
          <w:cantSplit/>
        </w:trPr>
        <w:tc>
          <w:tcPr>
            <w:tcW w:type="dxa" w:w="3168"/>
            <w:vAlign w:val="center"/>
            <w:shd w:fill="E6ECF0"/>
          </w:tcPr>
          <w:p>
            <w:pPr>
              <w:keepNext/>
              <w:widowControl/>
              <w:spacing w:before="0" w:after="40" w:line="247" w:lineRule="auto"/>
            </w:pPr>
            <w:r>
              <w:rPr>
                <w:rFonts w:ascii="Times New Roman" w:hAnsi="Times New Roman"/>
                <w:b/>
                <w:color w:val="000000"/>
                <w:sz w:val="20"/>
              </w:rPr>
              <w:t>Field</w:t>
            </w:r>
          </w:p>
        </w:tc>
        <w:tc>
          <w:tcPr>
            <w:tcW w:type="dxa" w:w="6552"/>
            <w:vAlign w:val="center"/>
            <w:shd w:fill="E6ECF0"/>
          </w:tcPr>
          <w:p>
            <w:pPr>
              <w:keepNext/>
              <w:widowControl/>
              <w:spacing w:before="0" w:after="40" w:line="247" w:lineRule="auto"/>
            </w:pPr>
            <w:r>
              <w:rPr>
                <w:rFonts w:ascii="Times New Roman" w:hAnsi="Times New Roman"/>
                <w:b/>
                <w:color w:val="000000"/>
                <w:sz w:val="20"/>
              </w:rPr>
              <w:t>Information</w:t>
            </w:r>
          </w:p>
        </w:tc>
      </w:tr>
      <w:tr>
        <w:trPr>
          <w:cantSplit/>
        </w:trPr>
        <w:tc>
          <w:tcPr>
            <w:tcW w:type="dxa" w:w="3168"/>
            <w:vAlign w:val="center"/>
            <w:shd w:fill="FFFFFF"/>
          </w:tcPr>
          <w:p>
            <w:pPr>
              <w:keepNext w:val="0"/>
              <w:widowControl/>
              <w:spacing w:before="0" w:after="40" w:line="247" w:lineRule="auto"/>
            </w:pPr>
            <w:r>
              <w:rPr>
                <w:rFonts w:ascii="Times New Roman" w:hAnsi="Times New Roman"/>
                <w:color w:val="000000"/>
                <w:sz w:val="20"/>
              </w:rPr>
              <w:t>Model Name</w:t>
            </w:r>
          </w:p>
        </w:tc>
        <w:tc>
          <w:tcPr>
            <w:tcW w:type="dxa" w:w="6552"/>
            <w:vAlign w:val="center"/>
            <w:shd w:fill="FFFFFF"/>
          </w:tcPr>
          <w:p>
            <w:pPr>
              <w:keepNext w:val="0"/>
              <w:widowControl/>
              <w:spacing w:before="0" w:after="40" w:line="247" w:lineRule="auto"/>
            </w:pPr>
          </w:p>
        </w:tc>
      </w:tr>
      <w:tr>
        <w:trPr>
          <w:cantSplit/>
        </w:trPr>
        <w:tc>
          <w:tcPr>
            <w:tcW w:type="dxa" w:w="3168"/>
            <w:vAlign w:val="center"/>
            <w:shd w:fill="FFFFFF"/>
          </w:tcPr>
          <w:p>
            <w:pPr>
              <w:keepNext w:val="0"/>
              <w:widowControl/>
              <w:spacing w:before="0" w:after="40" w:line="247" w:lineRule="auto"/>
            </w:pPr>
            <w:r>
              <w:rPr>
                <w:rFonts w:ascii="Times New Roman" w:hAnsi="Times New Roman"/>
                <w:color w:val="000000"/>
                <w:sz w:val="20"/>
              </w:rPr>
              <w:t>Model Owner</w:t>
            </w:r>
          </w:p>
        </w:tc>
        <w:tc>
          <w:tcPr>
            <w:tcW w:type="dxa" w:w="6552"/>
            <w:vAlign w:val="center"/>
            <w:shd w:fill="FFFFFF"/>
          </w:tcPr>
          <w:p>
            <w:pPr>
              <w:keepNext w:val="0"/>
              <w:widowControl/>
              <w:spacing w:before="0" w:after="40" w:line="247" w:lineRule="auto"/>
            </w:pPr>
          </w:p>
        </w:tc>
      </w:tr>
      <w:tr>
        <w:trPr>
          <w:cantSplit/>
        </w:trPr>
        <w:tc>
          <w:tcPr>
            <w:tcW w:type="dxa" w:w="3168"/>
            <w:vAlign w:val="center"/>
            <w:shd w:fill="FFFFFF"/>
          </w:tcPr>
          <w:p>
            <w:pPr>
              <w:keepNext w:val="0"/>
              <w:widowControl/>
              <w:spacing w:before="0" w:after="40" w:line="247" w:lineRule="auto"/>
            </w:pPr>
            <w:r>
              <w:rPr>
                <w:rFonts w:ascii="Times New Roman" w:hAnsi="Times New Roman"/>
                <w:color w:val="000000"/>
                <w:sz w:val="20"/>
              </w:rPr>
              <w:t>Model Developer</w:t>
            </w:r>
          </w:p>
        </w:tc>
        <w:tc>
          <w:tcPr>
            <w:tcW w:type="dxa" w:w="6552"/>
            <w:vAlign w:val="center"/>
            <w:shd w:fill="FFFFFF"/>
          </w:tcPr>
          <w:p>
            <w:pPr>
              <w:keepNext w:val="0"/>
              <w:widowControl/>
              <w:spacing w:before="0" w:after="40" w:line="247" w:lineRule="auto"/>
            </w:pPr>
          </w:p>
        </w:tc>
      </w:tr>
      <w:tr>
        <w:trPr>
          <w:cantSplit/>
        </w:trPr>
        <w:tc>
          <w:tcPr>
            <w:tcW w:type="dxa" w:w="3168"/>
            <w:vAlign w:val="center"/>
            <w:shd w:fill="FFFFFF"/>
          </w:tcPr>
          <w:p>
            <w:pPr>
              <w:keepNext w:val="0"/>
              <w:widowControl/>
              <w:spacing w:before="0" w:after="40" w:line="247" w:lineRule="auto"/>
            </w:pPr>
            <w:r>
              <w:rPr>
                <w:rFonts w:ascii="Times New Roman" w:hAnsi="Times New Roman"/>
                <w:color w:val="000000"/>
                <w:sz w:val="20"/>
              </w:rPr>
              <w:t>Model Users</w:t>
            </w:r>
          </w:p>
        </w:tc>
        <w:tc>
          <w:tcPr>
            <w:tcW w:type="dxa" w:w="6552"/>
            <w:vAlign w:val="center"/>
            <w:shd w:fill="FFFFFF"/>
          </w:tcPr>
          <w:p>
            <w:pPr>
              <w:keepNext w:val="0"/>
              <w:widowControl/>
              <w:spacing w:before="0" w:after="40" w:line="247" w:lineRule="auto"/>
            </w:pPr>
          </w:p>
        </w:tc>
      </w:tr>
      <w:tr>
        <w:trPr>
          <w:cantSplit/>
        </w:trPr>
        <w:tc>
          <w:tcPr>
            <w:tcW w:type="dxa" w:w="3168"/>
            <w:vAlign w:val="center"/>
            <w:shd w:fill="FFFFFF"/>
          </w:tcPr>
          <w:p>
            <w:pPr>
              <w:keepNext w:val="0"/>
              <w:widowControl/>
              <w:spacing w:before="0" w:after="40" w:line="247" w:lineRule="auto"/>
            </w:pPr>
            <w:r>
              <w:rPr>
                <w:rFonts w:ascii="Times New Roman" w:hAnsi="Times New Roman"/>
                <w:color w:val="000000"/>
                <w:sz w:val="20"/>
              </w:rPr>
              <w:t>Primary Use</w:t>
            </w:r>
          </w:p>
        </w:tc>
        <w:tc>
          <w:tcPr>
            <w:tcW w:type="dxa" w:w="6552"/>
            <w:vAlign w:val="center"/>
            <w:shd w:fill="FFFFFF"/>
          </w:tcPr>
          <w:p>
            <w:pPr>
              <w:keepNext w:val="0"/>
              <w:widowControl/>
              <w:spacing w:before="0" w:after="40" w:line="247" w:lineRule="auto"/>
            </w:pPr>
          </w:p>
        </w:tc>
      </w:tr>
      <w:tr>
        <w:trPr>
          <w:cantSplit/>
        </w:trPr>
        <w:tc>
          <w:tcPr>
            <w:tcW w:type="dxa" w:w="3168"/>
            <w:vAlign w:val="center"/>
            <w:shd w:fill="FFFFFF"/>
          </w:tcPr>
          <w:p>
            <w:pPr>
              <w:keepNext w:val="0"/>
              <w:widowControl/>
              <w:spacing w:before="0" w:after="40" w:line="247" w:lineRule="auto"/>
            </w:pPr>
            <w:r>
              <w:rPr>
                <w:rFonts w:ascii="Times New Roman" w:hAnsi="Times New Roman"/>
                <w:color w:val="000000"/>
                <w:sz w:val="20"/>
              </w:rPr>
              <w:t>Governance Review</w:t>
            </w:r>
          </w:p>
        </w:tc>
        <w:tc>
          <w:tcPr>
            <w:tcW w:type="dxa" w:w="6552"/>
            <w:vAlign w:val="center"/>
            <w:shd w:fill="FFFFFF"/>
          </w:tcPr>
          <w:p>
            <w:pPr>
              <w:keepNext w:val="0"/>
              <w:widowControl/>
              <w:spacing w:before="0" w:after="40" w:line="247" w:lineRule="auto"/>
            </w:pPr>
          </w:p>
        </w:tc>
      </w:tr>
    </w:tbl>
    <w:p>
      <w:pPr>
        <w:pStyle w:val="Heading2"/>
        <w:keepNext/>
        <w:widowControl/>
        <w:spacing w:before="160" w:after="80"/>
      </w:pPr>
      <w:r>
        <w:rPr>
          <w:rFonts w:ascii="Times New Roman" w:hAnsi="Times New Roman"/>
          <w:color w:val="000000"/>
        </w:rPr>
        <w:t>1.13 Executive Conclusion</w:t>
      </w:r>
    </w:p>
    <w:p>
      <w:pPr>
        <w:widowControl/>
        <w:spacing w:after="100"/>
      </w:pPr>
      <w:r>
        <w:rPr>
          <w:rFonts w:ascii="Times New Roman" w:hAnsi="Times New Roman" w:eastAsia="Noto Sans CJK SC"/>
          <w:color w:val="000000"/>
          <w:sz w:val="22"/>
          <w:lang w:val="en-US" w:eastAsia="zh-CN"/>
        </w:rPr>
        <w:t>The selected Card Fee framework combines revenue dynamics and economically interpretable drivers without imposing a single model form on all card activities. Commercial Card and Small Business uses a CPI reference, error correction, revenue persistence and Corporate Profits growth. Consumer Card uses lagged fee changes, seasonal indicators and Retail Sales growth. Debit Card uses quarterly historical calibration. Development and testing provide a documented basis for assessing these methods for CCAR forecasting, stress testing, capital planning and related applications. Continued use and eventual production approval remain subject to the component-specific limitations, additional evidence and governance requirements described in this document.</w:t>
      </w:r>
    </w:p>
    <w:p>
      <w:pPr>
        <w:pStyle w:val="Heading1"/>
        <w:keepNext/>
        <w:pageBreakBefore/>
      </w:pPr>
      <w:commentRangeStart w:id="1"/>
      <w:r>
        <w:t>2. Model Theory and Design</w:t>
      </w:r>
      <w:commentRangeEnd w:id="1"/>
      <w:r>
        <w:rPr>
          <w:rStyle w:val="CommentReference"/>
        </w:rPr>
        <w:commentReference w:id="1"/>
      </w:r>
    </w:p>
    <w:p>
      <w:pPr>
        <w:pStyle w:val="Heading2"/>
        <w:keepNext/>
      </w:pPr>
      <w:r>
        <w:rPr>
          <w:rFonts w:ascii="Times New Roman" w:hAnsi="Times New Roman" w:eastAsia="Noto Sans CJK SC"/>
          <w:color w:val="000000"/>
          <w:sz w:val="26"/>
          <w:lang w:val="en-US" w:eastAsia="zh-CN"/>
        </w:rPr>
        <w:t>2.1 Business Purpose and Conceptual Framework</w:t>
      </w:r>
    </w:p>
    <w:p>
      <w:pPr>
        <w:widowControl/>
      </w:pPr>
      <w:r>
        <w:rPr>
          <w:rFonts w:ascii="Times New Roman" w:hAnsi="Times New Roman" w:eastAsia="Noto Sans CJK SC"/>
          <w:color w:val="000000"/>
          <w:sz w:val="22"/>
          <w:lang w:val="en-US" w:eastAsia="zh-CN"/>
        </w:rPr>
        <w:t>The Card Fee Model translates historical fee behavior and economic conditions into revenue projections for planning and stress testing. Fee generation reflects customer activity, pricing, portfolio composition and service utilization. The objective is to identify interpretable relationships that explain recurring movements in fee revenue and can be projected under alternative economic conditions.</w:t>
      </w:r>
    </w:p>
    <w:p>
      <w:pPr>
        <w:widowControl/>
      </w:pPr>
      <w:r>
        <w:rPr>
          <w:rFonts w:ascii="Times New Roman" w:hAnsi="Times New Roman" w:eastAsia="Noto Sans CJK SC"/>
          <w:color w:val="000000"/>
          <w:sz w:val="22"/>
          <w:lang w:val="en-US" w:eastAsia="zh-CN"/>
        </w:rPr>
        <w:t>The design follows a component-specific modeling philosophy. Commercial Card and Small Business uses a nominal long-run reference and a short-run growth equation. Consumer Card uses monthly log changes to represent adjustment and calendar effects. Debit Card uses historical quarterly levels after the tested regressions failed the complete selection criteria.</w:t>
      </w:r>
    </w:p>
    <w:p>
      <w:pPr>
        <w:pStyle w:val="Heading2"/>
        <w:keepNext/>
      </w:pPr>
      <w:r>
        <w:rPr>
          <w:rFonts w:ascii="Times New Roman" w:hAnsi="Times New Roman" w:eastAsia="Noto Sans CJK SC"/>
          <w:color w:val="000000"/>
          <w:sz w:val="26"/>
          <w:lang w:val="en-US" w:eastAsia="zh-CN"/>
        </w:rPr>
        <w:t>2.2 Business Context and Component Segmentation</w:t>
      </w:r>
    </w:p>
    <w:p>
      <w:pPr>
        <w:widowControl/>
      </w:pPr>
      <w:r>
        <w:rPr>
          <w:rFonts w:ascii="Times New Roman" w:hAnsi="Times New Roman" w:eastAsia="Noto Sans CJK SC"/>
          <w:color w:val="000000"/>
          <w:sz w:val="22"/>
          <w:lang w:val="en-US" w:eastAsia="zh-CN"/>
        </w:rPr>
        <w:t>The historical revenue series display different operating patterns and require separate treatment. Commercial Card and Small Business form the combined target implemented in the source data mapping. Consumer Card remains separate because recurring year-end movements are central to its monthly dynamics. Debit Card history includes a substantial 2011 discontinuity, isolated 2012 reversals, 2014 anomalies and a sustained 2015 level shift. Segmentation preserves those differences and allows data treatment, estimation and monitoring to be explained within the relevant business series.</w:t>
      </w:r>
    </w:p>
    <w:p>
      <w:pPr>
        <w:pStyle w:val="Heading2"/>
        <w:keepNext/>
      </w:pPr>
      <w:r>
        <w:t>2.3 Commercial Long-Run Relationship</w:t>
      </w:r>
    </w:p>
    <w:p>
      <w:pPr>
        <w:widowControl/>
      </w:pPr>
      <w:r>
        <w:rPr>
          <w:rFonts w:ascii="Times New Roman" w:hAnsi="Times New Roman" w:eastAsia="Noto Sans CJK SC"/>
          <w:color w:val="000000"/>
          <w:sz w:val="22"/>
          <w:lang w:val="en-US" w:eastAsia="zh-CN"/>
        </w:rPr>
        <w:t>The Commercial Card and Small Business model integrates a long-run revenue relationship with a short-run growth equation through an explicit error-correction mechanism. The long-run component uses CPI to establish a reference level for combined fee revenue. This reference is not the final revenue forecast; instead, it provides the basis for measuring how actual or projected revenue differs from the model’s longer-term relationship.</w:t>
      </w:r>
    </w:p>
    <w:p>
      <w:pPr>
        <w:widowControl/>
      </w:pPr>
      <w:r>
        <w:rPr>
          <w:rFonts w:ascii="Times New Roman" w:hAnsi="Times New Roman" w:eastAsia="Noto Sans CJK SC"/>
          <w:color w:val="000000"/>
          <w:sz w:val="22"/>
          <w:lang w:val="en-US" w:eastAsia="zh-CN"/>
        </w:rPr>
        <w:t>The connection between the two components is the adjusted error-correction term. The difference between fee revenue and the long-run fitted level is expressed as a percentage of that fitted level, adjusted for the EC trend overlay, and lagged twelve months. This term is retained as a required component throughout short-run variable selection, ensuring that the selected growth equation remains explicitly linked to the long-run relationship.</w:t>
      </w:r>
    </w:p>
    <w:p>
      <w:pPr>
        <w:widowControl/>
      </w:pPr>
      <w:r>
        <w:rPr>
          <w:rFonts w:ascii="Times New Roman" w:hAnsi="Times New Roman" w:eastAsia="Noto Sans CJK SC"/>
          <w:color w:val="000000"/>
          <w:sz w:val="22"/>
          <w:lang w:val="en-US" w:eastAsia="zh-CN"/>
        </w:rPr>
        <w:t>The positive CPI coefficient is consistent with the relationship between nominal revenue and the general price level. The actual-versus-reference exhibit illustrates historical alignment and the later-period divergence used in EC calibration.</w:t>
      </w:r>
    </w:p>
    <w:p>
      <w:pPr>
        <w:pStyle w:val="Caption"/>
        <w:keepNext/>
        <w:widowControl/>
        <w:spacing w:before="180" w:after="100"/>
      </w:pPr>
      <w:r>
        <w:rPr>
          <w:b w:val="0"/>
        </w:rPr>
        <w:t>Figure 2.1 Commercial fees and the long-run reference</w:t>
      </w:r>
    </w:p>
    <w:p>
      <w:pPr>
        <w:keepNext/>
        <w:jc w:val="center"/>
      </w:pPr>
      <w:r>
        <w:drawing>
          <wp:inline xmlns:a="http://schemas.openxmlformats.org/drawingml/2006/main" xmlns:pic="http://schemas.openxmlformats.org/drawingml/2006/picture">
            <wp:extent cx="6080760" cy="2364740"/>
            <wp:docPr id="2" name="Picture 2" descr="Figure 2.1 Commercial fees and the long-run reference"/>
            <wp:cNvGraphicFramePr>
              <a:graphicFrameLocks noChangeAspect="1"/>
            </wp:cNvGraphicFramePr>
            <a:graphic>
              <a:graphicData uri="http://schemas.openxmlformats.org/drawingml/2006/picture">
                <pic:pic>
                  <pic:nvPicPr>
                    <pic:cNvPr id="0" name="longrun_reference.png"/>
                    <pic:cNvPicPr/>
                  </pic:nvPicPr>
                  <pic:blipFill>
                    <a:blip r:embed="rId12"/>
                    <a:stretch>
                      <a:fillRect/>
                    </a:stretch>
                  </pic:blipFill>
                  <pic:spPr>
                    <a:xfrm>
                      <a:off x="0" y="0"/>
                      <a:ext cx="6080760" cy="2364740"/>
                    </a:xfrm>
                    <a:prstGeom prst="rect"/>
                  </pic:spPr>
                </pic:pic>
              </a:graphicData>
            </a:graphic>
          </wp:inline>
        </w:drawing>
      </w:r>
    </w:p>
    <w:p>
      <w:r>
        <w:rPr>
          <w:rFonts w:ascii="Times New Roman" w:hAnsi="Times New Roman"/>
          <w:color w:val="000000"/>
          <w:sz w:val="18"/>
        </w:rPr>
        <w:t>The dotted line marks the end of coefficient estimation. The later-period reference uses the same long-run coefficients; it is not an independently refitted relationship. Data sources: commercial/​long_​run_​history.csv; commercial/​commercial_​card_​model.py.</w:t>
      </w:r>
    </w:p>
    <w:p>
      <w:pPr>
        <w:keepLines/>
        <w:widowControl/>
        <w:spacing w:line="288" w:lineRule="auto" w:before="120" w:after="140"/>
        <w:jc w:val="center"/>
        <w:rPr>
          <w:sz w:val="24"/>
        </w:rPr>
      </w:pPr>
      <m:oMath>
        <m:eqArr>
          <m:eqArrPr>
            <m:baseJc m:val="center"/>
          </m:eqArrPr>
          <m:e>
            <m:r>
              <m:rPr>
                <m:sty m:val="p"/>
              </m:rPr>
              <w:rPr>
                <w:rFonts w:ascii="Cambria Math" w:hAnsi="Cambria Math"/>
                <w:sz w:val="24"/>
              </w:rPr>
              <m:t xml:space="preserve">fitted_lr(t) = −3386.960717 + 19.419549 × CPI(t)</m:t>
            </m:r>
          </m:e>
        </m:eqArr>
      </m:oMath>
    </w:p>
    <w:p>
      <w:r>
        <w:rPr>
          <w:rFonts w:ascii="Times New Roman" w:hAnsi="Times New Roman"/>
          <w:color w:val="000000"/>
          <w:sz w:val="18"/>
        </w:rPr>
        <w:t>Coefficient sources: commercial/​long_​run_​coefficients.csv/​row 2 col 3 (intercept); commercial/​long_​run_​coefficients.csv/​row 3 col 3 (CPI slope).</w:t>
      </w:r>
    </w:p>
    <w:p>
      <w:pPr>
        <w:widowControl/>
        <w:spacing w:line="300" w:lineRule="exact"/>
      </w:pPr>
      <w:r>
        <w:rPr>
          <w:rFonts w:ascii="Times New Roman" w:hAnsi="Times New Roman" w:eastAsia="Noto Sans CJK SC"/>
          <w:color w:val="000000"/>
          <w:sz w:val="22"/>
          <w:lang w:val="en-US" w:eastAsia="zh-CN"/>
        </w:rPr>
        <w:t>fitted_​lr(t) is the fitted long-run Commercial Card and Small Business fee revenue (long_​run_​fitted_​fee), in $000. CPI(t) is the contemporaneous Consumer Price Index level (consumer_​price_​index). Coefficients are displayed to six decimal places; calculations retain full precision.</w:t>
      </w:r>
    </w:p>
    <w:p>
      <w:pPr>
        <w:widowControl/>
        <w:spacing w:line="300" w:lineRule="exact"/>
      </w:pPr>
      <w:r>
        <w:rPr>
          <w:rFonts w:ascii="Times New Roman" w:hAnsi="Times New Roman" w:eastAsia="Noto Sans CJK SC"/>
          <w:color w:val="000000"/>
          <w:sz w:val="22"/>
          <w:lang w:val="en-US" w:eastAsia="zh-CN"/>
        </w:rPr>
        <w:t>Combined2(t) denotes combined Commercial Card and Small Business fee revenue (commercial_​small_​business_​fee), in $000. EC(t) measures its deviation from fitted_​lr(t). Dividing this deviation by the fitted level and multiplying by 100 gives EC_​scaled(t). The contemporaneous Overlay(t) is subtracted before the adjusted EC state is lagged 12 months.</w:t>
      </w:r>
    </w:p>
    <w:p>
      <w:pPr>
        <w:keepLines/>
        <w:widowControl/>
        <w:spacing w:line="288" w:lineRule="auto" w:before="120" w:after="140"/>
        <w:jc w:val="center"/>
        <w:rPr>
          <w:sz w:val="24"/>
        </w:rPr>
      </w:pPr>
      <m:oMath>
        <m:eqArr>
          <m:eqArrPr>
            <m:baseJc m:val="center"/>
          </m:eqArrPr>
          <m:e>
            <m:r>
              <m:rPr>
                <m:sty m:val="p"/>
              </m:rPr>
              <w:rPr>
                <w:rFonts w:ascii="Cambria Math" w:hAnsi="Cambria Math"/>
                <w:sz w:val="24"/>
              </w:rPr>
              <m:t xml:space="preserve">EC(t) = Combined2(t) − fitted_lr(t)</m:t>
            </m:r>
          </m:e>
          <m:e>
            <m:r>
              <m:rPr>
                <m:sty m:val="p"/>
              </m:rPr>
              <w:rPr>
                <w:rFonts w:ascii="Cambria Math" w:hAnsi="Cambria Math"/>
                <w:sz w:val="24"/>
              </w:rPr>
              <m:t xml:space="preserve">EC_scaled(t) = 100 × </m:t>
            </m:r>
            <m:f>
              <m:num>
                <m:r>
                  <m:rPr>
                    <m:sty m:val="p"/>
                  </m:rPr>
                  <w:rPr>
                    <w:rFonts w:ascii="Cambria Math" w:hAnsi="Cambria Math"/>
                    <w:sz w:val="24"/>
                  </w:rPr>
                  <m:t xml:space="preserve">EC(t)</m:t>
                </m:r>
              </m:num>
              <m:den>
                <m:r>
                  <m:rPr>
                    <m:sty m:val="p"/>
                  </m:rPr>
                  <w:rPr>
                    <w:rFonts w:ascii="Cambria Math" w:hAnsi="Cambria Math"/>
                    <w:sz w:val="24"/>
                  </w:rPr>
                  <m:t xml:space="preserve">fitted_lr(t)</m:t>
                </m:r>
              </m:den>
            </m:f>
          </m:e>
          <m:e>
            <m:r>
              <m:rPr>
                <m:sty m:val="p"/>
              </m:rPr>
              <w:rPr>
                <w:rFonts w:ascii="Cambria Math" w:hAnsi="Cambria Math"/>
                <w:sz w:val="24"/>
              </w:rPr>
              <m:t xml:space="preserve">EC_scaled_adj(t) = EC_scaled(t) − Overlay(t)</m:t>
            </m:r>
          </m:e>
          <m:e>
            <m:r>
              <m:rPr>
                <m:sty m:val="p"/>
              </m:rPr>
              <w:rPr>
                <w:rFonts w:ascii="Cambria Math" w:hAnsi="Cambria Math"/>
                <w:sz w:val="24"/>
              </w:rPr>
              <m:t xml:space="preserve">EC_scaled_adj_lag12(t) = EC_scaled_adj(t − 12)</m:t>
            </m:r>
          </m:e>
        </m:eqArr>
      </m:oMath>
    </w:p>
    <w:p>
      <w:pPr>
        <w:spacing w:line="300" w:lineRule="exact"/>
      </w:pPr>
      <w:r>
        <w:rPr>
          <w:rFonts w:ascii="Times New Roman" w:hAnsi="Times New Roman" w:eastAsia="Noto Sans CJK SC"/>
          <w:color w:val="000000"/>
          <w:sz w:val="22"/>
          <w:lang w:val="en-US" w:eastAsia="zh-CN"/>
        </w:rPr>
        <w:t>Formula definitions: EC = ec_​residual; EC_​scaled = ec_​scaled_​pct; Overlay = ec_​trend_​overlay_​pct; EC_​scaled_​adj = ec_​scaled_​adjusted_​pct. Source: commercial/​commercial_​card_​model.py, lines 278–297; commercial/​historical_​data_​and_​features.csv.</w:t>
      </w:r>
    </w:p>
    <w:p>
      <w:pPr>
        <w:pStyle w:val="Heading2"/>
        <w:keepNext/>
      </w:pPr>
      <w:r>
        <w:rPr>
          <w:rFonts w:ascii="Times New Roman" w:hAnsi="Times New Roman" w:eastAsia="Noto Sans CJK SC"/>
          <w:color w:val="000000"/>
          <w:sz w:val="26"/>
          <w:lang w:val="en-US" w:eastAsia="zh-CN"/>
        </w:rPr>
        <w:t>2.4 Short-Run Growth and Adjustment Dynamics</w:t>
      </w:r>
    </w:p>
    <w:p>
      <w:pPr>
        <w:widowControl/>
      </w:pPr>
      <w:r>
        <w:rPr>
          <w:rFonts w:ascii="Times New Roman" w:hAnsi="Times New Roman" w:eastAsia="Noto Sans CJK SC"/>
          <w:color w:val="000000"/>
          <w:sz w:val="22"/>
          <w:lang w:val="en-US" w:eastAsia="zh-CN"/>
        </w:rPr>
        <w:t>The Commercial short-run equation models annual fee growth from monthly observations. It combines the twelve-month-lagged adjustment mechanism with recent fee-growth dynamics and Corporate Profits growth. Its negative error-correction coefficient means that a positive adjusted deviation reduces predicted year-over-year fee growth, while a negative adjusted deviation increases predicted growth, holding the other inputs constant. The one-month and six-month lags of annual fee growth capture persistence, while Corporate Profits annual growth, lagged two months, captures additional business-cycle variation. Together, these terms describe how revenue growth responds to the longer-term reference, recent revenue performance, and changing business conditions. The annual growth transformation and the monthly timing lag have separate economic and computational meanings.</w:t>
      </w:r>
    </w:p>
    <w:p>
      <w:pPr>
        <w:keepLines/>
        <w:widowControl/>
        <w:spacing w:line="288" w:lineRule="auto" w:before="120" w:after="140"/>
        <w:jc w:val="center"/>
        <w:rPr>
          <w:sz w:val="24"/>
        </w:rPr>
      </w:pPr>
      <m:oMath>
        <m:eqArr>
          <m:eqArrPr>
            <m:baseJc m:val="center"/>
          </m:eqArrPr>
          <m:e>
            <m:r>
              <m:rPr>
                <m:sty m:val="p"/>
              </m:rPr>
              <w:rPr>
                <w:rFonts w:ascii="Cambria Math" w:hAnsi="Cambria Math"/>
                <w:sz w:val="24"/>
              </w:rPr>
              <m:t xml:space="preserve">y(t) = 100 × [</m:t>
            </m:r>
            <m:f>
              <m:num>
                <m:r>
                  <m:rPr>
                    <m:sty m:val="p"/>
                  </m:rPr>
                  <w:rPr>
                    <w:rFonts w:ascii="Cambria Math" w:hAnsi="Cambria Math"/>
                    <w:sz w:val="24"/>
                  </w:rPr>
                  <m:t xml:space="preserve">Combined2(t)</m:t>
                </m:r>
              </m:num>
              <m:den>
                <m:r>
                  <m:rPr>
                    <m:sty m:val="p"/>
                  </m:rPr>
                  <w:rPr>
                    <w:rFonts w:ascii="Cambria Math" w:hAnsi="Cambria Math"/>
                    <w:sz w:val="24"/>
                  </w:rPr>
                  <m:t xml:space="preserve">Combined2(t − 12)</m:t>
                </m:r>
              </m:den>
            </m:f>
            <m:r>
              <m:rPr>
                <m:sty m:val="p"/>
              </m:rPr>
              <w:rPr>
                <w:rFonts w:ascii="Cambria Math" w:hAnsi="Cambria Math"/>
                <w:sz w:val="24"/>
              </w:rPr>
              <m:t xml:space="preserve"> − 1]</m:t>
            </m:r>
          </m:e>
        </m:eqArr>
      </m:oMath>
    </w:p>
    <w:p>
      <w:r>
        <w:rPr>
          <w:rFonts w:ascii="Times New Roman" w:hAnsi="Times New Roman"/>
          <w:color w:val="000000"/>
          <w:sz w:val="18"/>
        </w:rPr>
        <w:t>Formula definition and parameter mapping: commercial/​commercial_​card_​model.py; commercial/​short_​run_​coefficients.csv.</w:t>
      </w:r>
    </w:p>
    <w:p>
      <w:pPr>
        <w:keepLines/>
        <w:widowControl/>
        <w:spacing w:line="288" w:lineRule="auto" w:before="120" w:after="140"/>
        <w:jc w:val="center"/>
        <w:rPr>
          <w:sz w:val="24"/>
        </w:rPr>
      </w:pPr>
      <m:oMath>
        <m:eqArr>
          <m:eqArrPr>
            <m:baseJc m:val="center"/>
          </m:eqArrPr>
          <m:e>
            <m:r>
              <m:rPr>
                <m:sty m:val="p"/>
              </m:rPr>
              <w:rPr>
                <w:rFonts w:ascii="Cambria Math" w:hAnsi="Cambria Math"/>
                <w:sz w:val="24"/>
              </w:rPr>
              <m:t xml:space="preserve">y(t) = 1.783143 − 0.653518 × EC_scaled_adj_lag12(t)</m:t>
            </m:r>
          </m:e>
          <m:e>
            <m:r>
              <m:rPr>
                <m:sty m:val="p"/>
              </m:rPr>
              <w:rPr>
                <w:rFonts w:ascii="Cambria Math" w:hAnsi="Cambria Math"/>
                <w:sz w:val="24"/>
              </w:rPr>
              <m:t xml:space="preserve">       + 0.296379 × y_lag1(t) + 0.250188 × y_lag6(t)</m:t>
            </m:r>
          </m:e>
          <m:e>
            <m:r>
              <m:rPr>
                <m:sty m:val="p"/>
              </m:rPr>
              <w:rPr>
                <w:rFonts w:ascii="Cambria Math" w:hAnsi="Cambria Math"/>
                <w:sz w:val="24"/>
              </w:rPr>
              <m:t xml:space="preserve">       + 0.422022 × CorpProfits_lag2(t) + ε(t)</m:t>
            </m:r>
          </m:e>
        </m:eqArr>
      </m:oMath>
    </w:p>
    <w:p>
      <w:r>
        <w:rPr>
          <w:rFonts w:ascii="Times New Roman" w:hAnsi="Times New Roman" w:eastAsia="Noto Sans CJK SC"/>
          <w:color w:val="000000"/>
          <w:sz w:val="22"/>
          <w:lang w:val="en-US" w:eastAsia="zh-CN"/>
        </w:rPr>
        <w:t>Formula definition and parameter mapping: commercial/​commercial_​card_​model.py; commercial/​short_​run_​coefficients.csv/​rows 2–6 col 3. All regressors in the displayed equation are evaluated at month t after their named lag transformations.</w:t>
      </w:r>
    </w:p>
    <w:p>
      <w:pPr>
        <w:widowControl/>
        <w:spacing w:line="300" w:lineRule="exact"/>
      </w:pPr>
      <w:r>
        <w:rPr>
          <w:rFonts w:ascii="Times New Roman" w:hAnsi="Times New Roman" w:eastAsia="Noto Sans CJK SC"/>
          <w:color w:val="000000"/>
          <w:sz w:val="22"/>
          <w:lang w:val="en-US" w:eastAsia="zh-CN"/>
        </w:rPr>
        <w:t>y(t) is annual fee growth (commercial_​small_​business_​fee_​pct_​change_​12m). y_​lag1(t) and y_​lag6(t) are its one-month and six-month lags, exported as commercial_​small_​business_​fee_​pct_​change_​12m_​lag_​1m and commercial_​small_​business_​fee_​pct_​change_​12m_​lag_​6m. CorpProfits_​lag2(t) is Corporate Profits annual percentage growth lagged two months (corporate_​profits_​pct_​change_​12m_​lag_​2m). EC_​scaled_​adj_​lag12(t) corresponds to ec_​scaled_​adjusted_​pct_​lag_​12m. ε(t) is the equation error; its value is set to zero when calculating point forecasts. Growth and scaled EC terms use percentage units. Displayed coefficients are rounded; calculations retain the full output precision.</w:t>
      </w:r>
    </w:p>
    <w:p>
      <w:pPr>
        <w:pStyle w:val="Heading2"/>
        <w:keepNext/>
      </w:pPr>
      <w:r>
        <w:t>2.5 Commercial Overlay and Recursion</w:t>
      </w:r>
    </w:p>
    <w:p>
      <w:pPr>
        <w:widowControl/>
      </w:pPr>
      <w:r>
        <w:rPr>
          <w:rFonts w:ascii="Times New Roman" w:hAnsi="Times New Roman" w:eastAsia="Noto Sans CJK SC"/>
          <w:color w:val="000000"/>
          <w:sz w:val="22"/>
          <w:lang w:val="en-US" w:eastAsia="zh-CN"/>
        </w:rPr>
        <w:t>The EC adjustment addresses a pattern observed in the later historical period through an explicit calibration rule. The script sets the development overlay to zero, fits a linear trend to OOT month indices 1 through 27, subtracts the contemporaneous trend from scaled EC, and then forms the 12-month lag.</w:t>
      </w:r>
    </w:p>
    <w:p>
      <w:pPr>
        <w:widowControl/>
      </w:pPr>
      <w:r>
        <w:rPr>
          <w:rFonts w:ascii="Times New Roman" w:hAnsi="Times New Roman" w:eastAsia="Noto Sans CJK SC"/>
          <w:color w:val="000000"/>
          <w:sz w:val="22"/>
          <w:lang w:val="en-US" w:eastAsia="zh-CN"/>
        </w:rPr>
        <w:t>The future forecasting process initializes with actual history through December 2025. Commercial development coefficients remain fixed in this future projection process. Predicted annual growth is applied to the actual or previously forecast fee revenue level from twelve months earlier to obtain the current revenue forecast.</w:t>
      </w:r>
    </w:p>
    <w:p>
      <w:pPr>
        <w:widowControl/>
      </w:pPr>
      <w:r>
        <w:rPr>
          <w:rFonts w:ascii="Times New Roman" w:hAnsi="Times New Roman" w:eastAsia="Noto Sans CJK SC"/>
          <w:color w:val="000000"/>
          <w:sz w:val="22"/>
          <w:lang w:val="en-US" w:eastAsia="zh-CN"/>
        </w:rPr>
        <w:t>That forecast is then compared with the contemporaneous CPI-based long-run reference to calculate a new adjusted error-correction state. The updated revenue, growth, and error-correction states become inputs to later forecasts through their respective lags. Consequently, the long-run component provides the reference, the short-run component determines the growth response, and recursive updating links both components throughout the forecast horizon.</w:t>
      </w:r>
    </w:p>
    <w:p>
      <w:pPr>
        <w:pStyle w:val="Heading2"/>
        <w:keepNext/>
      </w:pPr>
      <w:r>
        <w:t>2.6 Consumer Target and Seasonal Structure</w:t>
      </w:r>
    </w:p>
    <w:p>
      <w:pPr>
        <w:widowControl/>
      </w:pPr>
      <w:r>
        <w:rPr>
          <w:rFonts w:ascii="Times New Roman" w:hAnsi="Times New Roman" w:eastAsia="Noto Sans CJK SC"/>
          <w:color w:val="000000"/>
          <w:sz w:val="22"/>
          <w:lang w:val="en-US" w:eastAsia="zh-CN"/>
        </w:rPr>
        <w:t>Consumer Card is modeled in monthly logarithmic changes because its revenue history contains recurring month-to-month adjustment and year-end seasonality. Modeling changes separates these movements from the level of the revenue series. The log representation expresses proportional movement and permits a multiplicative reconstruction of fee levels, subject to positive historical fee values.</w:t>
      </w:r>
    </w:p>
    <w:p>
      <w:pPr>
        <w:widowControl/>
      </w:pPr>
      <w:r>
        <w:rPr>
          <w:rFonts w:ascii="Times New Roman" w:hAnsi="Times New Roman" w:eastAsia="Noto Sans CJK SC"/>
          <w:color w:val="000000"/>
          <w:sz w:val="22"/>
          <w:lang w:val="en-US" w:eastAsia="zh-CN"/>
        </w:rPr>
        <w:t>The lagged revenue-change terms represent short-run dynamics, while January and December indicators represent recurring calendar effects. Negative lag coefficients indicate partial reversal in the transformed target after controlling for the other terms. The seasonal exhibit provides descriptive context; the regression estimates calendar effects jointly with revenue dynamics and Retail Sales rather than treating monthly averages as fitted coefficients.</w:t>
      </w:r>
    </w:p>
    <w:p>
      <w:pPr>
        <w:pStyle w:val="Caption"/>
        <w:keepNext/>
        <w:widowControl/>
        <w:spacing w:before="180" w:after="100"/>
      </w:pPr>
      <w:r>
        <w:rPr>
          <w:b w:val="0"/>
        </w:rPr>
        <w:t>Figure 2.2 Consumer development-period calendar pattern</w:t>
      </w:r>
    </w:p>
    <w:p>
      <w:pPr>
        <w:keepNext/>
        <w:jc w:val="center"/>
      </w:pPr>
      <w:r>
        <w:drawing>
          <wp:inline xmlns:a="http://schemas.openxmlformats.org/drawingml/2006/main" xmlns:pic="http://schemas.openxmlformats.org/drawingml/2006/picture">
            <wp:extent cx="6080760" cy="2179205"/>
            <wp:docPr id="3" name="Picture 3" descr="Figure 2.2 Consumer development-period calendar pattern"/>
            <wp:cNvGraphicFramePr>
              <a:graphicFrameLocks noChangeAspect="1"/>
            </wp:cNvGraphicFramePr>
            <a:graphic>
              <a:graphicData uri="http://schemas.openxmlformats.org/drawingml/2006/picture">
                <pic:pic>
                  <pic:nvPicPr>
                    <pic:cNvPr id="0" name="consumer_seasonality.png"/>
                    <pic:cNvPicPr/>
                  </pic:nvPicPr>
                  <pic:blipFill>
                    <a:blip r:embed="rId13"/>
                    <a:stretch>
                      <a:fillRect/>
                    </a:stretch>
                  </pic:blipFill>
                  <pic:spPr>
                    <a:xfrm>
                      <a:off x="0" y="0"/>
                      <a:ext cx="6080760" cy="2179205"/>
                    </a:xfrm>
                    <a:prstGeom prst="rect"/>
                  </pic:spPr>
                </pic:pic>
              </a:graphicData>
            </a:graphic>
          </wp:inline>
        </w:drawing>
      </w:r>
    </w:p>
    <w:p>
      <w:r>
        <w:rPr>
          <w:rFonts w:ascii="Times New Roman" w:hAnsi="Times New Roman"/>
          <w:color w:val="000000"/>
          <w:sz w:val="18"/>
        </w:rPr>
        <w:t>Derived display: arithmetic mean of exported monthly fee log changes grouped by calendar month. These unconditional averages motivate examination of calendar effects; they are not the fitted seasonal coefficients. Data sources: consumer/​historical_​data_​and_​features.csv.</w:t>
      </w:r>
    </w:p>
    <w:p>
      <w:pPr>
        <w:widowControl/>
        <w:jc w:val="center"/>
      </w:pPr>
      <m:oMath>
        <m:sSub>
          <m:e>
            <m:r>
              <m:t>z</m:t>
            </m:r>
          </m:e>
          <m:sub>
            <m:r>
              <m:t>t</m:t>
            </m:r>
          </m:sub>
        </m:sSub>
        <m:r>
          <m:t> = 100 [ln(</m:t>
        </m:r>
        <m:sSub>
          <m:e>
            <m:r>
              <m:t>Y</m:t>
            </m:r>
          </m:e>
          <m:sub>
            <m:r>
              <m:t>t</m:t>
            </m:r>
          </m:sub>
        </m:sSub>
        <m:r>
          <m:t>) − ln(</m:t>
        </m:r>
        <m:sSub>
          <m:e>
            <m:r>
              <m:t>Y</m:t>
            </m:r>
          </m:e>
          <m:sub>
            <m:r>
              <m:t>t−1</m:t>
            </m:r>
          </m:sub>
        </m:sSub>
        <m:r>
          <m:t>)]</m:t>
        </m:r>
      </m:oMath>
    </w:p>
    <w:p>
      <w:r>
        <w:rPr>
          <w:rFonts w:ascii="Times New Roman" w:hAnsi="Times New Roman"/>
          <w:color w:val="000000"/>
          <w:sz w:val="18"/>
        </w:rPr>
        <w:t>Formula definition and parameter mapping: consumer/​consumer_​card_​model.py.</w:t>
      </w:r>
    </w:p>
    <w:p>
      <w:pPr>
        <w:pStyle w:val="Heading2"/>
        <w:keepNext/>
      </w:pPr>
      <w:r>
        <w:t>2.7 Consumer Retail Sales Effect</w:t>
      </w:r>
    </w:p>
    <w:p>
      <w:pPr>
        <w:widowControl/>
      </w:pPr>
      <w:r>
        <w:rPr>
          <w:rFonts w:ascii="Times New Roman" w:hAnsi="Times New Roman" w:eastAsia="Noto Sans CJK SC"/>
          <w:color w:val="000000"/>
          <w:sz w:val="22"/>
          <w:lang w:val="en-US" w:eastAsia="zh-CN"/>
        </w:rPr>
        <w:t>Retail Sales provides the Consumer model with a spending-related macroeconomic explanation. The input is the arithmetic average of current and prior two monthly percentage changes, which smooths short-term variation. Its positive coefficient links stronger retail spending growth to stronger fee log growth conditional on seasonality and own lags. In the production equation, a one-percentage-point increase in this MA3 input increases the predicted monthly log change by approximately 2.50685 percentage points before recursive effects.</w:t>
      </w:r>
    </w:p>
    <w:p>
      <w:pPr>
        <w:widowControl/>
        <w:jc w:val="center"/>
      </w:pPr>
      <m:oMath>
        <m:sSub>
          <m:e>
            <m:r>
              <m:t>z</m:t>
            </m:r>
          </m:e>
          <m:sub>
            <m:r>
              <m:t>t</m:t>
            </m:r>
          </m:sub>
        </m:sSub>
        <m:r>
          <m:t> = κ + </m:t>
        </m:r>
        <m:sSub>
          <m:e>
            <m:r>
              <m:t>φ</m:t>
            </m:r>
          </m:e>
          <m:sub>
            <m:r>
              <m:t>1</m:t>
            </m:r>
          </m:sub>
        </m:sSub>
        <m:sSub>
          <m:e>
            <m:r>
              <m:t>z</m:t>
            </m:r>
          </m:e>
          <m:sub>
            <m:r>
              <m:t>t−1</m:t>
            </m:r>
          </m:sub>
        </m:sSub>
        <m:r>
          <m:t> + </m:t>
        </m:r>
        <m:sSub>
          <m:e>
            <m:r>
              <m:t>φ</m:t>
            </m:r>
          </m:e>
          <m:sub>
            <m:r>
              <m:t>2</m:t>
            </m:r>
          </m:sub>
        </m:sSub>
        <m:sSub>
          <m:e>
            <m:r>
              <m:t>z</m:t>
            </m:r>
          </m:e>
          <m:sub>
            <m:r>
              <m:t>t−2</m:t>
            </m:r>
          </m:sub>
        </m:sSub>
        <m:r>
          <m:t> + </m:t>
        </m:r>
        <m:sSub>
          <m:e>
            <m:r>
              <m:t>δ</m:t>
            </m:r>
          </m:e>
          <m:sub>
            <m:r>
              <m:t>J</m:t>
            </m:r>
          </m:sub>
        </m:sSub>
        <m:sSub>
          <m:e>
            <m:r>
              <m:t>J</m:t>
            </m:r>
          </m:e>
          <m:sub>
            <m:r>
              <m:t>t</m:t>
            </m:r>
          </m:sub>
        </m:sSub>
        <m:r>
          <m:t> + </m:t>
        </m:r>
        <m:sSub>
          <m:e>
            <m:r>
              <m:t>δ</m:t>
            </m:r>
          </m:e>
          <m:sub>
            <m:r>
              <m:t>D</m:t>
            </m:r>
          </m:sub>
        </m:sSub>
        <m:sSub>
          <m:e>
            <m:r>
              <m:t>D</m:t>
            </m:r>
          </m:e>
          <m:sub>
            <m:r>
              <m:t>t</m:t>
            </m:r>
          </m:sub>
        </m:sSub>
        <m:r>
          <m:t> + θ </m:t>
        </m:r>
        <m:sSub>
          <m:e>
            <m:r>
              <m:t>r</m:t>
            </m:r>
          </m:e>
          <m:sub>
            <m:r>
              <m:t>t</m:t>
            </m:r>
          </m:sub>
        </m:sSub>
      </m:oMath>
    </w:p>
    <w:p>
      <w:r>
        <w:rPr>
          <w:rFonts w:ascii="Times New Roman" w:hAnsi="Times New Roman"/>
          <w:color w:val="000000"/>
          <w:sz w:val="18"/>
        </w:rPr>
        <w:t>Formula definition and parameter mapping: consumer/​consumer_​card_​model.py; consumer/​coefficients.csv.</w:t>
      </w:r>
    </w:p>
    <w:p>
      <w:pPr>
        <w:widowControl/>
      </w:pPr>
      <w:r>
        <w:rPr>
          <w:rFonts w:ascii="Times New Roman" w:hAnsi="Times New Roman" w:eastAsia="Noto Sans CJK SC"/>
          <w:color w:val="000000"/>
          <w:sz w:val="22"/>
          <w:lang w:val="en-US" w:eastAsia="zh-CN"/>
        </w:rPr>
        <w:t>J and D are January and December indicators; r is Retail Sales MoM growth MA3. The production coefficients above are refitted through December 2025. A future fee level equals the prior actual or predicted fee multiplied by the exponential of predicted log change divided by 100.</w:t>
      </w:r>
    </w:p>
    <w:p>
      <w:pPr>
        <w:pStyle w:val="Heading2"/>
        <w:keepNext/>
      </w:pPr>
      <w:r>
        <w:t>2.8 Debit Qualitative Method</w:t>
      </w:r>
    </w:p>
    <w:p>
      <w:pPr>
        <w:widowControl/>
      </w:pPr>
      <w:r>
        <w:rPr>
          <w:rFonts w:ascii="Times New Roman" w:hAnsi="Times New Roman" w:eastAsia="Noto Sans CJK SC"/>
          <w:color w:val="000000"/>
          <w:sz w:val="22"/>
          <w:lang w:val="en-US" w:eastAsia="zh-CN"/>
        </w:rPr>
        <w:t>The Debit methodology separates recent revenue expectations from downside severity. Baseline uses the latest eight complete actual quarters, currently 2024Q1–2025Q4. Stress uses the mean of complete quarters from 2015Q1–2025Q4 less twice the sample standard deviation. The first window represents the current run rate; the second provides a longer post-break distribution. The two-standard-deviation multiplier remains a judgmental rule, not a model-estimated probability or a guaranteed bound.</w:t>
      </w:r>
    </w:p>
    <w:p>
      <w:pPr>
        <w:widowControl/>
      </w:pPr>
      <w:r>
        <w:rPr>
          <w:rFonts w:ascii="Times New Roman" w:hAnsi="Times New Roman" w:eastAsia="Noto Sans CJK SC"/>
          <w:color w:val="000000"/>
          <w:sz w:val="22"/>
          <w:lang w:val="en-US" w:eastAsia="zh-CN"/>
        </w:rPr>
        <w:t>The current stress floor is below every observed post-2015 quarter, which provides a useful historical comparison of severity.</w:t>
      </w:r>
    </w:p>
    <w:p>
      <w:pPr>
        <w:pStyle w:val="Heading2"/>
        <w:keepNext/>
      </w:pPr>
      <w:r>
        <w:rPr>
          <w:rFonts w:ascii="Times New Roman" w:hAnsi="Times New Roman" w:eastAsia="Noto Sans CJK SC"/>
          <w:color w:val="000000"/>
          <w:sz w:val="26"/>
          <w:lang w:val="en-US" w:eastAsia="zh-CN"/>
        </w:rPr>
        <w:t>2.9 Assumptions and Mitigating Review</w:t>
      </w:r>
    </w:p>
    <w:p>
      <w:pPr>
        <w:widowControl/>
      </w:pPr>
      <w:r>
        <w:rPr>
          <w:rFonts w:ascii="Times New Roman" w:hAnsi="Times New Roman" w:eastAsia="Noto Sans CJK SC"/>
          <w:color w:val="000000"/>
          <w:sz w:val="22"/>
          <w:lang w:val="en-US" w:eastAsia="zh-CN"/>
        </w:rPr>
        <w:t>The model assumes that historical reporting definitions remain materially comparable and that the selected economic relationships remain relevant during the forecast horizon. Recursive forecasts use previously projected fee values to construct the subsequent period's lagged inputs. Monitoring therefore evaluates both short-horizon accuracy and the behavior of the complete forecast path.</w:t>
      </w:r>
    </w:p>
    <w:p>
      <w:pPr>
        <w:widowControl/>
      </w:pPr>
      <w:r>
        <w:rPr>
          <w:rFonts w:ascii="Times New Roman" w:hAnsi="Times New Roman" w:eastAsia="Noto Sans CJK SC"/>
          <w:color w:val="000000"/>
          <w:sz w:val="22"/>
          <w:lang w:val="en-US" w:eastAsia="zh-CN"/>
        </w:rPr>
        <w:t>Commercial assumes that the CPI reference and EC adjustment remain relevant to fee dynamics. Consumer assumes that seasonal patterns, own-growth dynamics and the Retail Sales relationship persist. Debit assumes that the recent-quarter average represents the current run rate and that the post-2015 history is appropriate for downside calibration. These assumptions are reviewed through performance monitoring and periodic reassessment.</w:t>
      </w:r>
    </w:p>
    <w:p>
      <w:pPr>
        <w:pStyle w:val="Heading2"/>
        <w:keepNext/>
      </w:pPr>
      <w:r>
        <w:rPr>
          <w:rFonts w:ascii="Times New Roman" w:hAnsi="Times New Roman" w:eastAsia="Noto Sans CJK SC"/>
          <w:color w:val="000000"/>
          <w:sz w:val="26"/>
          <w:lang w:val="en-US" w:eastAsia="zh-CN"/>
        </w:rPr>
        <w:t>2.10 Design Limitations and Conclusions</w:t>
      </w:r>
    </w:p>
    <w:p>
      <w:pPr>
        <w:widowControl/>
      </w:pPr>
      <w:r>
        <w:rPr>
          <w:rFonts w:ascii="Times New Roman" w:hAnsi="Times New Roman" w:eastAsia="Noto Sans CJK SC"/>
          <w:color w:val="000000"/>
          <w:sz w:val="22"/>
          <w:lang w:val="en-US" w:eastAsia="zh-CN"/>
        </w:rPr>
        <w:t>The selected design combines economically interpretable regression relationships with a transparent historical calibration for Debit Card. Aggregate fee histories do not separately represent every future pricing initiative, product change or shift in customer mix. Debit calibration does not include a direct macroeconomic response, and its historical windows require periodic review. These limitations are addressed through scenario analysis, monitoring and reassessment of model assumptions.</w:t>
      </w:r>
    </w:p>
    <w:p>
      <w:pPr>
        <w:pStyle w:val="Heading1"/>
        <w:keepNext/>
        <w:pageBreakBefore/>
      </w:pPr>
      <w:commentRangeStart w:id="2"/>
      <w:r>
        <w:t>3. Model Estimation</w:t>
      </w:r>
      <w:commentRangeEnd w:id="2"/>
      <w:r>
        <w:rPr>
          <w:rStyle w:val="CommentReference"/>
        </w:rPr>
        <w:commentReference w:id="2"/>
      </w:r>
    </w:p>
    <w:p>
      <w:pPr>
        <w:pStyle w:val="Heading2"/>
        <w:keepNext/>
      </w:pPr>
      <w:r>
        <w:rPr>
          <w:rFonts w:ascii="Times New Roman" w:hAnsi="Times New Roman" w:eastAsia="Noto Sans CJK SC"/>
          <w:color w:val="000000"/>
          <w:sz w:val="26"/>
          <w:lang w:val="en-US" w:eastAsia="zh-CN"/>
        </w:rPr>
        <w:t>3.1 Overview of the Estimation Process</w:t>
      </w:r>
    </w:p>
    <w:p>
      <w:pPr>
        <w:widowControl/>
      </w:pPr>
      <w:r>
        <w:rPr>
          <w:rFonts w:ascii="Times New Roman" w:hAnsi="Times New Roman" w:eastAsia="Noto Sans CJK SC"/>
          <w:color w:val="000000"/>
          <w:sz w:val="22"/>
          <w:lang w:val="en-US" w:eastAsia="zh-CN"/>
        </w:rPr>
        <w:t>Model estimation followed a staged framework intended to balance statistical evidence, economic interpretation and forecasting suitability. Target construction and date alignment preceded candidate screening, multivariate selection and evaluation. The objective was to reduce each candidate set to a small number of understandable forecasting inputs while preserving the evidence behind selection decisions.</w:t>
      </w:r>
    </w:p>
    <w:p>
      <w:pPr>
        <w:widowControl/>
      </w:pPr>
      <w:r>
        <w:rPr>
          <w:rFonts w:ascii="Times New Roman" w:hAnsi="Times New Roman" w:eastAsia="Noto Sans CJK SC"/>
          <w:color w:val="000000"/>
          <w:sz w:val="22"/>
          <w:lang w:val="en-US" w:eastAsia="zh-CN"/>
        </w:rPr>
        <w:t>Commercial Card and Small Business estimation follows an integrated two-stage process. The first stage estimates a long-run relationship between combined fee revenue and macroeconomic levels. The resulting fitted revenue provides the reference for constructing the adjusted error-correction term. The second stage incorporates this term into a short-run equation for year-over-year fee growth and evaluates additional revenue-growth lags and macroeconomic drivers. This sequence establishes a direct connection between the long-run revenue relationship and the short-run adjustment dynamics.</w:t>
      </w:r>
    </w:p>
    <w:p>
      <w:pPr>
        <w:widowControl/>
      </w:pPr>
      <w:r>
        <w:rPr>
          <w:rFonts w:ascii="Times New Roman" w:hAnsi="Times New Roman" w:eastAsia="Noto Sans CJK SC"/>
          <w:color w:val="000000"/>
          <w:sz w:val="22"/>
          <w:lang w:val="en-US" w:eastAsia="zh-CN"/>
        </w:rPr>
        <w:t>Consumer tests macroeconomic additions to a fixed lag-and-seasonal base, evaluates the selected development equation on later data and then refits the retained structure. Debit records each regression-screening outcome before calibrating its historical rule. The flow diagram makes these differences explicit.</w:t>
      </w:r>
    </w:p>
    <w:p>
      <w:pPr>
        <w:pStyle w:val="Caption"/>
        <w:keepNext/>
        <w:widowControl/>
        <w:spacing w:before="180" w:after="100"/>
      </w:pPr>
      <w:r>
        <w:rPr>
          <w:b w:val="0"/>
        </w:rPr>
        <w:t>Figure 3.1 Component estimation and selection process</w:t>
      </w:r>
    </w:p>
    <w:p>
      <w:pPr>
        <w:keepNext/>
        <w:jc w:val="center"/>
      </w:pPr>
      <w:r>
        <w:drawing>
          <wp:inline xmlns:a="http://schemas.openxmlformats.org/drawingml/2006/main" xmlns:pic="http://schemas.openxmlformats.org/drawingml/2006/picture">
            <wp:extent cx="6080760" cy="2751145"/>
            <wp:docPr id="4" name="Picture 4" descr="Figure 3.1 Component estimation and selection process"/>
            <wp:cNvGraphicFramePr>
              <a:graphicFrameLocks noChangeAspect="1"/>
            </wp:cNvGraphicFramePr>
            <a:graphic>
              <a:graphicData uri="http://schemas.openxmlformats.org/drawingml/2006/picture">
                <pic:pic>
                  <pic:nvPicPr>
                    <pic:cNvPr id="0" name="selection_process.png"/>
                    <pic:cNvPicPr/>
                  </pic:nvPicPr>
                  <pic:blipFill>
                    <a:blip r:embed="rId14"/>
                    <a:stretch>
                      <a:fillRect/>
                    </a:stretch>
                  </pic:blipFill>
                  <pic:spPr>
                    <a:xfrm>
                      <a:off x="0" y="0"/>
                      <a:ext cx="6080760" cy="2751145"/>
                    </a:xfrm>
                    <a:prstGeom prst="rect"/>
                  </pic:spPr>
                </pic:pic>
              </a:graphicData>
            </a:graphic>
          </wp:inline>
        </w:drawing>
      </w:r>
    </w:p>
    <w:p>
      <w:r>
        <w:rPr>
          <w:rFonts w:ascii="Times New Roman" w:hAnsi="Times New Roman" w:eastAsia="Noto Sans CJK SC"/>
          <w:color w:val="000000"/>
          <w:sz w:val="22"/>
          <w:lang w:val="en-US" w:eastAsia="zh-CN"/>
        </w:rPr>
        <w:t>Selection stages follow the component procedures, including Commercial partial-correlation screening across development and OOT periods. Data sources: commercial/​long_​run_​trials.csv; commercial/​short_​run_​screen_​all.csv; consumer/​macro_​screening.csv; debit/​regression_​summary.csv.</w:t>
      </w:r>
    </w:p>
    <w:p>
      <w:pPr>
        <w:pStyle w:val="Heading2"/>
        <w:keepNext/>
      </w:pPr>
      <w:r>
        <w:t>3.2 Candidate Variable Universe</w:t>
      </w:r>
    </w:p>
    <w:p>
      <w:pPr>
        <w:widowControl/>
      </w:pPr>
      <w:r>
        <w:rPr>
          <w:rFonts w:ascii="Times New Roman" w:hAnsi="Times New Roman"/>
          <w:color w:val="000000"/>
        </w:rPr>
        <w:t>Commercial’s long-run pool contains CPI, disposable income, wholesale-trade GDP, Corporate Profits and the total-market index in levels. Its transformed short-run pool spans eight macro families, plus own annual-growth lags 1–12. Macro lags cover 0–12 months. Consumer considers unemployment, CPI, disposable income, Retail Sales and consumer confidence, each in current monthly change and a trailing three-month average. Debit considers 14 macro families under four target and frequency treatments. The data inventory and exact source mappings are retained in Appendix A.</w:t>
      </w:r>
    </w:p>
    <w:p>
      <w:pPr>
        <w:pStyle w:val="Heading2"/>
        <w:keepNext/>
      </w:pPr>
      <w:r>
        <w:t>3.3 Transformations and Alignment</w:t>
      </w:r>
    </w:p>
    <w:p>
      <w:pPr>
        <w:widowControl/>
      </w:pPr>
      <w:r>
        <w:rPr>
          <w:rFonts w:ascii="Times New Roman" w:hAnsi="Times New Roman"/>
          <w:color w:val="000000"/>
        </w:rPr>
        <w:t>Fee and macro records are joined by a monthly date key. Growth calculations use percentage changes multiplied by 100, except Consumer fee growth, which uses log differences multiplied by 100. Unemployment uses percentage-point differences. Lags are applied after transformations, and moving averages are calculated on already transformed growth. Debit quarterly revenue sums three monthly fees, while its quarterly macro variables use the quarter-end monthly observation. Design-specific complete-case alignment explains effective sample reductions; those losses should not be labeled raw missing source data.</w:t>
      </w:r>
    </w:p>
    <w:p>
      <w:pPr>
        <w:pStyle w:val="Heading2"/>
        <w:keepNext/>
      </w:pPr>
      <w:r>
        <w:t>3.4 Commercial Long Run Estimation and Error Correction Construction</w:t>
      </w:r>
    </w:p>
    <w:p>
      <w:pPr>
        <w:widowControl/>
      </w:pPr>
      <w:r>
        <w:rPr>
          <w:rFonts w:ascii="Times New Roman" w:hAnsi="Times New Roman" w:eastAsia="Noto Sans CJK SC"/>
          <w:color w:val="000000"/>
          <w:sz w:val="22"/>
          <w:lang w:val="en-US" w:eastAsia="zh-CN"/>
        </w:rPr>
        <w:t>Long-run estimation establishes the revenue reference used in the subsequent short-run model. Candidate macroeconomic level variables are evaluated using development-period observations. Each proposed addition must satisfy the implemented Student-t significance, multicollinearity, and residual-stationarity criteria. Eligible additions are ranked by adjusted R-squared. CPI is selected as the final long-run explanatory variable.</w:t>
      </w:r>
    </w:p>
    <w:p>
      <w:pPr>
        <w:widowControl/>
      </w:pPr>
      <w:r>
        <w:rPr>
          <w:rFonts w:ascii="Times New Roman" w:hAnsi="Times New Roman" w:eastAsia="Noto Sans CJK SC"/>
          <w:color w:val="000000"/>
          <w:sz w:val="22"/>
          <w:lang w:val="en-US" w:eastAsia="zh-CN"/>
        </w:rPr>
        <w:t>The selected CPI relationship is then carried forward into feature construction. Fee revenue is compared with the fitted long-run level, and the resulting deviation is scaled relative to that level. After applying the EC trend adjustment, the adjusted deviation is lagged twelve months to form the error-correction input for the short-run equation. Long-run estimation therefore supplies both a revenue reference and a directly linked explanatory variable for the next estimation stage.</w:t>
      </w:r>
    </w:p>
    <w:p>
      <w:pPr>
        <w:widowControl/>
      </w:pPr>
      <w:r>
        <w:rPr>
          <w:rFonts w:ascii="Times New Roman" w:hAnsi="Times New Roman"/>
          <w:color w:val="000000"/>
        </w:rPr>
        <w:t xml:space="preserve">The selected CPI relationship has a coefficient of 19.41955 and standard error of 0.44293 in $000 per CPI index point. Its ordinary residual ADF p-value is 0.00915 </w:t>
      </w:r>
      <w:r>
        <w:rPr>
          <w:rFonts w:ascii="Times New Roman" w:hAnsi="Times New Roman"/>
          <w:color w:val="444444"/>
          <w:sz w:val="17"/>
        </w:rPr>
        <w:t>[commercial/​long_​run_​residual_​stationarity.csv/​row 2 col 3]</w:t>
      </w:r>
      <w:r>
        <w:rPr>
          <w:rFonts w:ascii="Times New Roman" w:hAnsi="Times New Roman"/>
          <w:color w:val="000000"/>
        </w:rPr>
        <w:t>.</w:t>
      </w:r>
    </w:p>
    <w:p>
      <w:pPr>
        <w:widowControl/>
      </w:pPr>
      <w:r>
        <w:rPr>
          <w:rFonts w:ascii="Times New Roman" w:hAnsi="Times New Roman" w:eastAsia="Noto Sans CJK SC"/>
          <w:color w:val="000000"/>
          <w:sz w:val="22"/>
          <w:lang w:val="en-US" w:eastAsia="zh-CN"/>
        </w:rPr>
        <w:t>The comparison below shows why the largest unqualified fit statistic does not automatically determine the selected driver. Wholesale-trade GDP has a higher initial adjusted fit but fails the residual ADF gate. CPI is the highest-ranked eligible initial addition. Subsequent additions are evaluated conditional on CPI.</w:t>
      </w:r>
    </w:p>
    <w:p>
      <w:pPr>
        <w:pStyle w:val="Caption"/>
        <w:keepNext/>
        <w:widowControl/>
        <w:spacing w:before="180" w:after="100"/>
      </w:pPr>
      <w:r>
        <w:rPr>
          <w:rFonts w:ascii="Times New Roman" w:hAnsi="Times New Roman" w:eastAsia="Noto Sans CJK SC"/>
          <w:color w:val="000000"/>
          <w:sz w:val="21"/>
          <w:lang w:val="en-US" w:eastAsia="zh-CN"/>
        </w:rPr>
        <w:t>Table 3.1 Commercial initial long-run candidate comparison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0" w:type="dxa"/>
          <w:right w:w="80" w:type="dxa"/>
        </w:tblCellMar>
      </w:tblPr>
      <w:tblGrid>
        <w:gridCol w:w="2448"/>
        <w:gridCol w:w="2016"/>
        <w:gridCol w:w="2016"/>
        <w:gridCol w:w="1152"/>
        <w:gridCol w:w="2304"/>
      </w:tblGrid>
      <w:tr>
        <w:trPr>
          <w:cantSplit/>
          <w:tblHeader/>
        </w:trPr>
        <w:tc>
          <w:tcPr>
            <w:tcW w:type="dxa" w:w="244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E6ECF0"/>
          </w:tcPr>
          <w:p>
            <w:pPr>
              <w:keepNext/>
              <w:widowControl/>
              <w:spacing w:after="40" w:line="247" w:lineRule="auto" w:before="0"/>
              <w:jc w:val="left"/>
            </w:pPr>
            <w:r>
              <w:rPr>
                <w:rFonts w:ascii="Times New Roman" w:hAnsi="Times New Roman"/>
                <w:b/>
                <w:color w:val="000000"/>
                <w:sz w:val="19"/>
              </w:rPr>
              <w:t>Candidate</w:t>
            </w:r>
          </w:p>
        </w:tc>
        <w:tc>
          <w:tcPr>
            <w:tcW w:type="dxa" w:w="201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E6ECF0"/>
          </w:tcPr>
          <w:p>
            <w:pPr>
              <w:keepNext/>
              <w:widowControl/>
              <w:spacing w:after="40" w:line="247" w:lineRule="auto" w:before="0"/>
              <w:jc w:val="center"/>
            </w:pPr>
            <w:r>
              <w:rPr>
                <w:rFonts w:ascii="Times New Roman" w:hAnsi="Times New Roman"/>
                <w:b/>
                <w:color w:val="000000"/>
                <w:sz w:val="19"/>
              </w:rPr>
              <w:t>Adjusted fit</w:t>
            </w:r>
          </w:p>
        </w:tc>
        <w:tc>
          <w:tcPr>
            <w:tcW w:type="dxa" w:w="201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E6ECF0"/>
          </w:tcPr>
          <w:p>
            <w:pPr>
              <w:keepNext/>
              <w:widowControl/>
              <w:spacing w:after="40" w:line="247" w:lineRule="auto" w:before="0"/>
              <w:jc w:val="center"/>
            </w:pPr>
            <w:r>
              <w:rPr>
                <w:rFonts w:ascii="Times New Roman" w:hAnsi="Times New Roman"/>
                <w:b/>
                <w:color w:val="000000"/>
                <w:sz w:val="19"/>
              </w:rPr>
              <w:t>Residual ADF p</w:t>
            </w:r>
          </w:p>
        </w:tc>
        <w:tc>
          <w:tcPr>
            <w:tcW w:type="dxa" w:w="115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E6ECF0"/>
          </w:tcPr>
          <w:p>
            <w:pPr>
              <w:keepNext/>
              <w:widowControl/>
              <w:spacing w:after="40" w:line="247" w:lineRule="auto" w:before="0"/>
              <w:jc w:val="center"/>
            </w:pPr>
            <w:r>
              <w:rPr>
                <w:rFonts w:ascii="Times New Roman" w:hAnsi="Times New Roman"/>
                <w:b/>
                <w:color w:val="000000"/>
                <w:sz w:val="19"/>
              </w:rPr>
              <w:t>Eligible</w:t>
            </w:r>
          </w:p>
        </w:tc>
        <w:tc>
          <w:tcPr>
            <w:tcW w:type="dxa" w:w="230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E6ECF0"/>
          </w:tcPr>
          <w:p>
            <w:pPr>
              <w:keepNext/>
              <w:widowControl/>
              <w:spacing w:after="40" w:line="247" w:lineRule="auto" w:before="0"/>
              <w:jc w:val="center"/>
            </w:pPr>
            <w:r>
              <w:rPr>
                <w:rFonts w:ascii="Times New Roman" w:hAnsi="Times New Roman"/>
                <w:b/>
                <w:color w:val="000000"/>
                <w:sz w:val="19"/>
              </w:rPr>
              <w:t>Outcome</w:t>
            </w:r>
          </w:p>
        </w:tc>
      </w:tr>
      <w:tr>
        <w:trPr>
          <w:cantSplit/>
        </w:trPr>
        <w:tc>
          <w:tcPr>
            <w:tcW w:type="dxa" w:w="244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CPI</w:t>
            </w:r>
          </w:p>
        </w:tc>
        <w:tc>
          <w:tcPr>
            <w:tcW w:type="dxa" w:w="201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 xml:space="preserve">0.9267 </w:t>
            </w:r>
            <w:r>
              <w:rPr>
                <w:rFonts w:ascii="Times New Roman" w:hAnsi="Times New Roman"/>
                <w:b w:val="0"/>
                <w:color w:val="000000"/>
                <w:sz w:val="17"/>
              </w:rPr>
              <w:t>[commercial/​long_​run_​trials.csv/​row 2 col 10]</w:t>
            </w:r>
          </w:p>
        </w:tc>
        <w:tc>
          <w:tcPr>
            <w:tcW w:type="dxa" w:w="201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 xml:space="preserve">0.0091 </w:t>
            </w:r>
            <w:r>
              <w:rPr>
                <w:rFonts w:ascii="Times New Roman" w:hAnsi="Times New Roman"/>
                <w:b w:val="0"/>
                <w:color w:val="000000"/>
                <w:sz w:val="17"/>
              </w:rPr>
              <w:t>[commercial/​long_​run_​trials.csv/​row 2 col 7]</w:t>
            </w:r>
          </w:p>
        </w:tc>
        <w:tc>
          <w:tcPr>
            <w:tcW w:type="dxa" w:w="115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Yes</w:t>
            </w:r>
          </w:p>
        </w:tc>
        <w:tc>
          <w:tcPr>
            <w:tcW w:type="dxa" w:w="230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Selected</w:t>
            </w:r>
          </w:p>
        </w:tc>
      </w:tr>
      <w:tr>
        <w:trPr>
          <w:cantSplit/>
        </w:trPr>
        <w:tc>
          <w:tcPr>
            <w:tcW w:type="dxa" w:w="244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Disposable income</w:t>
            </w:r>
          </w:p>
        </w:tc>
        <w:tc>
          <w:tcPr>
            <w:tcW w:type="dxa" w:w="201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 xml:space="preserve">0.8164 </w:t>
            </w:r>
            <w:r>
              <w:rPr>
                <w:rFonts w:ascii="Times New Roman" w:hAnsi="Times New Roman"/>
                <w:b w:val="0"/>
                <w:color w:val="000000"/>
                <w:sz w:val="17"/>
              </w:rPr>
              <w:t>[commercial/​long_​run_​trials.csv/​row 3 col 10]</w:t>
            </w:r>
          </w:p>
        </w:tc>
        <w:tc>
          <w:tcPr>
            <w:tcW w:type="dxa" w:w="201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 xml:space="preserve">0.0029 </w:t>
            </w:r>
            <w:r>
              <w:rPr>
                <w:rFonts w:ascii="Times New Roman" w:hAnsi="Times New Roman"/>
                <w:b w:val="0"/>
                <w:color w:val="000000"/>
                <w:sz w:val="17"/>
              </w:rPr>
              <w:t>[commercial/​long_​run_​trials.csv/​row 3 col 7]</w:t>
            </w:r>
          </w:p>
        </w:tc>
        <w:tc>
          <w:tcPr>
            <w:tcW w:type="dxa" w:w="115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Yes</w:t>
            </w:r>
          </w:p>
        </w:tc>
        <w:tc>
          <w:tcPr>
            <w:tcW w:type="dxa" w:w="230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Not selected</w:t>
            </w:r>
          </w:p>
        </w:tc>
      </w:tr>
      <w:tr>
        <w:trPr>
          <w:cantSplit/>
        </w:trPr>
        <w:tc>
          <w:tcPr>
            <w:tcW w:type="dxa" w:w="244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Wholesale GDP</w:t>
            </w:r>
          </w:p>
        </w:tc>
        <w:tc>
          <w:tcPr>
            <w:tcW w:type="dxa" w:w="201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 xml:space="preserve">0.9326 </w:t>
            </w:r>
            <w:r>
              <w:rPr>
                <w:rFonts w:ascii="Times New Roman" w:hAnsi="Times New Roman"/>
                <w:b w:val="0"/>
                <w:color w:val="000000"/>
                <w:sz w:val="17"/>
              </w:rPr>
              <w:t>[commercial/​long_​run_​trials.csv/​row 4 col 10]</w:t>
            </w:r>
          </w:p>
        </w:tc>
        <w:tc>
          <w:tcPr>
            <w:tcW w:type="dxa" w:w="201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 xml:space="preserve">0.0626 </w:t>
            </w:r>
            <w:r>
              <w:rPr>
                <w:rFonts w:ascii="Times New Roman" w:hAnsi="Times New Roman"/>
                <w:b w:val="0"/>
                <w:color w:val="000000"/>
                <w:sz w:val="17"/>
              </w:rPr>
              <w:t>[commercial/​long_​run_​trials.csv/​row 4 col 7]</w:t>
            </w:r>
          </w:p>
        </w:tc>
        <w:tc>
          <w:tcPr>
            <w:tcW w:type="dxa" w:w="115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No</w:t>
            </w:r>
          </w:p>
        </w:tc>
        <w:tc>
          <w:tcPr>
            <w:tcW w:type="dxa" w:w="230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Not selected</w:t>
            </w:r>
          </w:p>
        </w:tc>
      </w:tr>
      <w:tr>
        <w:trPr>
          <w:cantSplit/>
        </w:trPr>
        <w:tc>
          <w:tcPr>
            <w:tcW w:type="dxa" w:w="244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Corporate Profits</w:t>
            </w:r>
          </w:p>
        </w:tc>
        <w:tc>
          <w:tcPr>
            <w:tcW w:type="dxa" w:w="201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 xml:space="preserve">0.8921 </w:t>
            </w:r>
            <w:r>
              <w:rPr>
                <w:rFonts w:ascii="Times New Roman" w:hAnsi="Times New Roman"/>
                <w:b w:val="0"/>
                <w:color w:val="000000"/>
                <w:sz w:val="17"/>
              </w:rPr>
              <w:t>[commercial/​long_​run_​trials.csv/​row 5 col 10]</w:t>
            </w:r>
          </w:p>
        </w:tc>
        <w:tc>
          <w:tcPr>
            <w:tcW w:type="dxa" w:w="201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 xml:space="preserve">0.0400 </w:t>
            </w:r>
            <w:r>
              <w:rPr>
                <w:rFonts w:ascii="Times New Roman" w:hAnsi="Times New Roman"/>
                <w:b w:val="0"/>
                <w:color w:val="000000"/>
                <w:sz w:val="17"/>
              </w:rPr>
              <w:t>[commercial/​long_​run_​trials.csv/​row 5 col 7]</w:t>
            </w:r>
          </w:p>
        </w:tc>
        <w:tc>
          <w:tcPr>
            <w:tcW w:type="dxa" w:w="115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Yes</w:t>
            </w:r>
          </w:p>
        </w:tc>
        <w:tc>
          <w:tcPr>
            <w:tcW w:type="dxa" w:w="230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Not selected</w:t>
            </w:r>
          </w:p>
        </w:tc>
      </w:tr>
      <w:tr>
        <w:trPr>
          <w:cantSplit/>
        </w:trPr>
        <w:tc>
          <w:tcPr>
            <w:tcW w:type="dxa" w:w="244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Equity index</w:t>
            </w:r>
          </w:p>
        </w:tc>
        <w:tc>
          <w:tcPr>
            <w:tcW w:type="dxa" w:w="201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 xml:space="preserve">0.7941 </w:t>
            </w:r>
            <w:r>
              <w:rPr>
                <w:rFonts w:ascii="Times New Roman" w:hAnsi="Times New Roman"/>
                <w:b w:val="0"/>
                <w:color w:val="000000"/>
                <w:sz w:val="17"/>
              </w:rPr>
              <w:t>[commercial/​long_​run_​trials.csv/​row 6 col 10]</w:t>
            </w:r>
          </w:p>
        </w:tc>
        <w:tc>
          <w:tcPr>
            <w:tcW w:type="dxa" w:w="201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 xml:space="preserve">0.0013 </w:t>
            </w:r>
            <w:r>
              <w:rPr>
                <w:rFonts w:ascii="Times New Roman" w:hAnsi="Times New Roman"/>
                <w:b w:val="0"/>
                <w:color w:val="000000"/>
                <w:sz w:val="17"/>
              </w:rPr>
              <w:t>[commercial/​long_​run_​trials.csv/​row 6 col 7]</w:t>
            </w:r>
          </w:p>
        </w:tc>
        <w:tc>
          <w:tcPr>
            <w:tcW w:type="dxa" w:w="115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Yes</w:t>
            </w:r>
          </w:p>
        </w:tc>
        <w:tc>
          <w:tcPr>
            <w:tcW w:type="dxa" w:w="230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Not selected</w:t>
            </w:r>
          </w:p>
        </w:tc>
      </w:tr>
    </w:tbl>
    <w:p>
      <w:pPr>
        <w:widowControl/>
        <w:spacing w:before="60" w:after="120"/>
      </w:pPr>
      <w:r>
        <w:rPr>
          <w:rFonts w:ascii="Times New Roman" w:hAnsi="Times New Roman"/>
          <w:color w:val="000000"/>
          <w:sz w:val="18"/>
        </w:rPr>
        <w:t>Data source: commercial/​long_​run_​trials.csv.</w:t>
      </w:r>
    </w:p>
    <w:p>
      <w:r>
        <w:rPr>
          <w:rFonts w:ascii="Times New Roman" w:hAnsi="Times New Roman"/>
          <w:color w:val="000000"/>
          <w:sz w:val="18"/>
        </w:rPr>
        <w:t>Source: commercial/​long_​run_​trials.csv. The table shows initial single-driver trials; later conditional trials remain in the source file.</w:t>
      </w:r>
    </w:p>
    <w:p>
      <w:pPr>
        <w:pStyle w:val="Heading2"/>
        <w:keepNext/>
      </w:pPr>
      <w:r>
        <w:t>3.5 Commercial Short Run Macroeconomic Prescreening</w:t>
      </w:r>
    </w:p>
    <w:p>
      <w:pPr>
        <w:widowControl/>
      </w:pPr>
      <w:r>
        <w:rPr>
          <w:rFonts w:ascii="Times New Roman" w:hAnsi="Times New Roman" w:eastAsia="Noto Sans CJK SC"/>
          <w:color w:val="000000"/>
          <w:sz w:val="22"/>
          <w:lang w:val="en-US" w:eastAsia="zh-CN"/>
        </w:rPr>
        <w:t>Short-run macroeconomic screening is conducted conditional on the error-correction mechanism established from the long-run model. Transformed macroeconomic families first undergo development-period stationarity screening using the implemented ADF/KPSS eligibility rule. For eligible families, partial correlations are calculated between annual fee growth and each candidate macroeconomic lag after controlling for an intercept and the twelve-month-lagged adjusted error-correction term. This approach evaluates whether a candidate provides additional information about fee growth beyond the adjustment mechanism already represented by the long-run relationship.</w:t>
      </w:r>
    </w:p>
    <w:p>
      <w:pPr>
        <w:widowControl/>
      </w:pPr>
      <w:r>
        <w:rPr>
          <w:rFonts w:ascii="Times New Roman" w:hAnsi="Times New Roman" w:eastAsia="Noto Sans CJK SC"/>
          <w:color w:val="000000"/>
          <w:sz w:val="22"/>
          <w:lang w:val="en-US" w:eastAsia="zh-CN"/>
        </w:rPr>
        <w:t>Short-run macroeconomic candidates were pre-screened for partial-correlation significance and sign consistency across the development and OOT periods. Subsequent variable selection and coefficient estimation used development-period observations.</w:t>
      </w:r>
    </w:p>
    <w:p>
      <w:pPr>
        <w:widowControl/>
      </w:pPr>
      <w:r>
        <w:rPr>
          <w:rFonts w:ascii="Times New Roman" w:hAnsi="Times New Roman" w:eastAsia="Noto Sans CJK SC"/>
          <w:color w:val="000000"/>
          <w:sz w:val="22"/>
          <w:lang w:val="en-US" w:eastAsia="zh-CN"/>
        </w:rPr>
        <w:t>Eligibility uses an OR rule: ADF p &lt; 0.05 or KPSS p &gt; 0.05. Partial-correlation screening requires p &lt; 0.20 in both development and OOT and matching signs. Fourteen macro-lag terms pass.</w:t>
      </w:r>
    </w:p>
    <w:p>
      <w:pPr>
        <w:pStyle w:val="Caption"/>
        <w:keepNext/>
        <w:widowControl/>
        <w:spacing w:before="180" w:after="100"/>
      </w:pPr>
      <w:r>
        <w:rPr>
          <w:rFonts w:ascii="Times New Roman" w:hAnsi="Times New Roman" w:eastAsia="Noto Sans CJK SC"/>
          <w:color w:val="000000"/>
          <w:sz w:val="21"/>
          <w:lang w:val="en-US" w:eastAsia="zh-CN"/>
        </w:rPr>
        <w:t>Table 3.2 Commercial transformed-family stationarity results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0" w:type="dxa"/>
          <w:right w:w="80" w:type="dxa"/>
        </w:tblCellMar>
      </w:tblPr>
      <w:tblGrid>
        <w:gridCol w:w="3024"/>
        <w:gridCol w:w="1656"/>
        <w:gridCol w:w="1656"/>
        <w:gridCol w:w="1584"/>
        <w:gridCol w:w="2016"/>
      </w:tblGrid>
      <w:tr>
        <w:trPr>
          <w:cantSplit/>
          <w:tblHeader/>
        </w:trPr>
        <w:tc>
          <w:tcPr>
            <w:tcW w:type="dxa" w:w="302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E6ECF0"/>
          </w:tcPr>
          <w:p>
            <w:pPr>
              <w:keepNext/>
              <w:widowControl/>
              <w:spacing w:after="40" w:line="247" w:lineRule="auto" w:before="0"/>
              <w:jc w:val="left"/>
            </w:pPr>
            <w:r>
              <w:rPr>
                <w:rFonts w:ascii="Times New Roman" w:hAnsi="Times New Roman"/>
                <w:b/>
                <w:color w:val="000000"/>
                <w:sz w:val="19"/>
              </w:rPr>
              <w:t>Family</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E6ECF0"/>
          </w:tcPr>
          <w:p>
            <w:pPr>
              <w:keepNext/>
              <w:widowControl/>
              <w:spacing w:after="40" w:line="247" w:lineRule="auto" w:before="0"/>
              <w:jc w:val="center"/>
            </w:pPr>
            <w:r>
              <w:rPr>
                <w:rFonts w:ascii="Times New Roman" w:hAnsi="Times New Roman"/>
                <w:b/>
                <w:color w:val="000000"/>
                <w:sz w:val="19"/>
              </w:rPr>
              <w:t>ADF p</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E6ECF0"/>
          </w:tcPr>
          <w:p>
            <w:pPr>
              <w:keepNext/>
              <w:widowControl/>
              <w:spacing w:after="40" w:line="247" w:lineRule="auto" w:before="0"/>
              <w:jc w:val="center"/>
            </w:pPr>
            <w:r>
              <w:rPr>
                <w:rFonts w:ascii="Times New Roman" w:hAnsi="Times New Roman"/>
                <w:b/>
                <w:color w:val="000000"/>
                <w:sz w:val="19"/>
              </w:rPr>
              <w:t>KPSS p</w:t>
            </w:r>
          </w:p>
        </w:tc>
        <w:tc>
          <w:tcPr>
            <w:tcW w:type="dxa" w:w="158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E6ECF0"/>
          </w:tcPr>
          <w:p>
            <w:pPr>
              <w:keepNext/>
              <w:widowControl/>
              <w:spacing w:after="40" w:line="247" w:lineRule="auto" w:before="0"/>
              <w:jc w:val="center"/>
            </w:pPr>
            <w:r>
              <w:rPr>
                <w:rFonts w:ascii="Times New Roman" w:hAnsi="Times New Roman"/>
                <w:b/>
                <w:color w:val="000000"/>
                <w:sz w:val="19"/>
              </w:rPr>
              <w:t>KPSS bound</w:t>
            </w:r>
          </w:p>
        </w:tc>
        <w:tc>
          <w:tcPr>
            <w:tcW w:type="dxa" w:w="201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E6ECF0"/>
          </w:tcPr>
          <w:p>
            <w:pPr>
              <w:keepNext/>
              <w:widowControl/>
              <w:spacing w:after="40" w:line="247" w:lineRule="auto" w:before="0"/>
              <w:jc w:val="center"/>
            </w:pPr>
            <w:r>
              <w:rPr>
                <w:rFonts w:ascii="Times New Roman" w:hAnsi="Times New Roman"/>
                <w:b/>
                <w:color w:val="000000"/>
                <w:sz w:val="19"/>
              </w:rPr>
              <w:t>OR rule</w:t>
            </w:r>
          </w:p>
        </w:tc>
      </w:tr>
      <w:tr>
        <w:trPr>
          <w:cantSplit/>
        </w:trPr>
        <w:tc>
          <w:tcPr>
            <w:tcW w:type="dxa" w:w="302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Unemployment Rate</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 xml:space="preserve">0.0796 </w:t>
            </w:r>
            <w:r>
              <w:rPr>
                <w:rFonts w:ascii="Times New Roman" w:hAnsi="Times New Roman"/>
                <w:b w:val="0"/>
                <w:color w:val="000000"/>
                <w:sz w:val="17"/>
              </w:rPr>
              <w:t>[commercial/​macro_​stationarity.csv/​row 2 col 4]</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 xml:space="preserve">0.1000 </w:t>
            </w:r>
            <w:r>
              <w:rPr>
                <w:rFonts w:ascii="Times New Roman" w:hAnsi="Times New Roman"/>
                <w:b w:val="0"/>
                <w:color w:val="000000"/>
                <w:sz w:val="17"/>
              </w:rPr>
              <w:t>[commercial/​macro_​stationarity.csv/​row 2 col 9]</w:t>
            </w:r>
          </w:p>
        </w:tc>
        <w:tc>
          <w:tcPr>
            <w:tcW w:type="dxa" w:w="158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 xml:space="preserve">&gt;=0.10 </w:t>
            </w:r>
            <w:r>
              <w:rPr>
                <w:rFonts w:ascii="Times New Roman" w:hAnsi="Times New Roman"/>
                <w:b w:val="0"/>
                <w:color w:val="000000"/>
                <w:sz w:val="17"/>
              </w:rPr>
              <w:t>[commercial/​macro_​stationarity.csv/​row 2 col 12]</w:t>
            </w:r>
          </w:p>
        </w:tc>
        <w:tc>
          <w:tcPr>
            <w:tcW w:type="dxa" w:w="201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Eligible</w:t>
            </w:r>
          </w:p>
        </w:tc>
      </w:tr>
      <w:tr>
        <w:trPr>
          <w:cantSplit/>
        </w:trPr>
        <w:tc>
          <w:tcPr>
            <w:tcW w:type="dxa" w:w="302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Consumer Price Index</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 xml:space="preserve">0.3712 </w:t>
            </w:r>
            <w:r>
              <w:rPr>
                <w:rFonts w:ascii="Times New Roman" w:hAnsi="Times New Roman"/>
                <w:b w:val="0"/>
                <w:color w:val="000000"/>
                <w:sz w:val="17"/>
              </w:rPr>
              <w:t>[commercial/​macro_​stationarity.csv/​row 3 col 4]</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 xml:space="preserve">0.0100 </w:t>
            </w:r>
            <w:r>
              <w:rPr>
                <w:rFonts w:ascii="Times New Roman" w:hAnsi="Times New Roman"/>
                <w:b w:val="0"/>
                <w:color w:val="000000"/>
                <w:sz w:val="17"/>
              </w:rPr>
              <w:t>[commercial/​macro_​stationarity.csv/​row 3 col 9]</w:t>
            </w:r>
          </w:p>
        </w:tc>
        <w:tc>
          <w:tcPr>
            <w:tcW w:type="dxa" w:w="158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 xml:space="preserve">&lt;=0.01 </w:t>
            </w:r>
            <w:r>
              <w:rPr>
                <w:rFonts w:ascii="Times New Roman" w:hAnsi="Times New Roman"/>
                <w:b w:val="0"/>
                <w:color w:val="000000"/>
                <w:sz w:val="17"/>
              </w:rPr>
              <w:t>[commercial/​macro_​stationarity.csv/​row 3 col 12]</w:t>
            </w:r>
          </w:p>
        </w:tc>
        <w:tc>
          <w:tcPr>
            <w:tcW w:type="dxa" w:w="201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Excluded</w:t>
            </w:r>
          </w:p>
        </w:tc>
      </w:tr>
      <w:tr>
        <w:trPr>
          <w:cantSplit/>
        </w:trPr>
        <w:tc>
          <w:tcPr>
            <w:tcW w:type="dxa" w:w="302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Disposable Personal Income</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 xml:space="preserve">0.0072 </w:t>
            </w:r>
            <w:r>
              <w:rPr>
                <w:rFonts w:ascii="Times New Roman" w:hAnsi="Times New Roman"/>
                <w:b w:val="0"/>
                <w:color w:val="000000"/>
                <w:sz w:val="17"/>
              </w:rPr>
              <w:t>[commercial/​macro_​stationarity.csv/​row 4 col 4]</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 xml:space="preserve">0.0418 </w:t>
            </w:r>
            <w:r>
              <w:rPr>
                <w:rFonts w:ascii="Times New Roman" w:hAnsi="Times New Roman"/>
                <w:b w:val="0"/>
                <w:color w:val="000000"/>
                <w:sz w:val="17"/>
              </w:rPr>
              <w:t>[commercial/​macro_​stationarity.csv/​row 4 col 9]</w:t>
            </w:r>
          </w:p>
        </w:tc>
        <w:tc>
          <w:tcPr>
            <w:tcW w:type="dxa" w:w="158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 xml:space="preserve">interpolated </w:t>
            </w:r>
            <w:r>
              <w:rPr>
                <w:rFonts w:ascii="Times New Roman" w:hAnsi="Times New Roman"/>
                <w:b w:val="0"/>
                <w:color w:val="000000"/>
                <w:sz w:val="17"/>
              </w:rPr>
              <w:t>[commercial/​macro_​stationarity.csv/​row 4 col 12]</w:t>
            </w:r>
          </w:p>
        </w:tc>
        <w:tc>
          <w:tcPr>
            <w:tcW w:type="dxa" w:w="201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Eligible</w:t>
            </w:r>
          </w:p>
        </w:tc>
      </w:tr>
      <w:tr>
        <w:trPr>
          <w:cantSplit/>
        </w:trPr>
        <w:tc>
          <w:tcPr>
            <w:tcW w:type="dxa" w:w="302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Small Business Optimism</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 xml:space="preserve">0.2813 </w:t>
            </w:r>
            <w:r>
              <w:rPr>
                <w:rFonts w:ascii="Times New Roman" w:hAnsi="Times New Roman"/>
                <w:b w:val="0"/>
                <w:color w:val="000000"/>
                <w:sz w:val="17"/>
              </w:rPr>
              <w:t>[commercial/​macro_​stationarity.csv/​row 5 col 4]</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 xml:space="preserve">0.0417 </w:t>
            </w:r>
            <w:r>
              <w:rPr>
                <w:rFonts w:ascii="Times New Roman" w:hAnsi="Times New Roman"/>
                <w:b w:val="0"/>
                <w:color w:val="000000"/>
                <w:sz w:val="17"/>
              </w:rPr>
              <w:t>[commercial/​macro_​stationarity.csv/​row 5 col 9]</w:t>
            </w:r>
          </w:p>
        </w:tc>
        <w:tc>
          <w:tcPr>
            <w:tcW w:type="dxa" w:w="158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 xml:space="preserve">interpolated </w:t>
            </w:r>
            <w:r>
              <w:rPr>
                <w:rFonts w:ascii="Times New Roman" w:hAnsi="Times New Roman"/>
                <w:b w:val="0"/>
                <w:color w:val="000000"/>
                <w:sz w:val="17"/>
              </w:rPr>
              <w:t>[commercial/​macro_​stationarity.csv/​row 5 col 12]</w:t>
            </w:r>
          </w:p>
        </w:tc>
        <w:tc>
          <w:tcPr>
            <w:tcW w:type="dxa" w:w="201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Excluded</w:t>
            </w:r>
          </w:p>
        </w:tc>
      </w:tr>
      <w:tr>
        <w:trPr>
          <w:cantSplit/>
        </w:trPr>
        <w:tc>
          <w:tcPr>
            <w:tcW w:type="dxa" w:w="302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Wholesale Trade Gdp</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 xml:space="preserve">0.3152 </w:t>
            </w:r>
            <w:r>
              <w:rPr>
                <w:rFonts w:ascii="Times New Roman" w:hAnsi="Times New Roman"/>
                <w:b w:val="0"/>
                <w:color w:val="000000"/>
                <w:sz w:val="17"/>
              </w:rPr>
              <w:t>[commercial/​macro_​stationarity.csv/​row 6 col 4]</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 xml:space="preserve">0.1000 </w:t>
            </w:r>
            <w:r>
              <w:rPr>
                <w:rFonts w:ascii="Times New Roman" w:hAnsi="Times New Roman"/>
                <w:b w:val="0"/>
                <w:color w:val="000000"/>
                <w:sz w:val="17"/>
              </w:rPr>
              <w:t>[commercial/​macro_​stationarity.csv/​row 6 col 9]</w:t>
            </w:r>
          </w:p>
        </w:tc>
        <w:tc>
          <w:tcPr>
            <w:tcW w:type="dxa" w:w="158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 xml:space="preserve">&gt;=0.10 </w:t>
            </w:r>
            <w:r>
              <w:rPr>
                <w:rFonts w:ascii="Times New Roman" w:hAnsi="Times New Roman"/>
                <w:b w:val="0"/>
                <w:color w:val="000000"/>
                <w:sz w:val="17"/>
              </w:rPr>
              <w:t>[commercial/​macro_​stationarity.csv/​row 6 col 12]</w:t>
            </w:r>
          </w:p>
        </w:tc>
        <w:tc>
          <w:tcPr>
            <w:tcW w:type="dxa" w:w="201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Eligible</w:t>
            </w:r>
          </w:p>
        </w:tc>
      </w:tr>
      <w:tr>
        <w:trPr>
          <w:cantSplit/>
        </w:trPr>
        <w:tc>
          <w:tcPr>
            <w:tcW w:type="dxa" w:w="302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Industrial Production</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 xml:space="preserve">0.0384 </w:t>
            </w:r>
            <w:r>
              <w:rPr>
                <w:rFonts w:ascii="Times New Roman" w:hAnsi="Times New Roman"/>
                <w:b w:val="0"/>
                <w:color w:val="000000"/>
                <w:sz w:val="17"/>
              </w:rPr>
              <w:t>[commercial/​macro_​stationarity.csv/​row 7 col 4]</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 xml:space="preserve">0.1000 </w:t>
            </w:r>
            <w:r>
              <w:rPr>
                <w:rFonts w:ascii="Times New Roman" w:hAnsi="Times New Roman"/>
                <w:b w:val="0"/>
                <w:color w:val="000000"/>
                <w:sz w:val="17"/>
              </w:rPr>
              <w:t>[commercial/​macro_​stationarity.csv/​row 7 col 9]</w:t>
            </w:r>
          </w:p>
        </w:tc>
        <w:tc>
          <w:tcPr>
            <w:tcW w:type="dxa" w:w="158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 xml:space="preserve">&gt;=0.10 </w:t>
            </w:r>
            <w:r>
              <w:rPr>
                <w:rFonts w:ascii="Times New Roman" w:hAnsi="Times New Roman"/>
                <w:b w:val="0"/>
                <w:color w:val="000000"/>
                <w:sz w:val="17"/>
              </w:rPr>
              <w:t>[commercial/​macro_​stationarity.csv/​row 7 col 12]</w:t>
            </w:r>
          </w:p>
        </w:tc>
        <w:tc>
          <w:tcPr>
            <w:tcW w:type="dxa" w:w="201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Eligible</w:t>
            </w:r>
          </w:p>
        </w:tc>
      </w:tr>
      <w:tr>
        <w:trPr>
          <w:cantSplit/>
        </w:trPr>
        <w:tc>
          <w:tcPr>
            <w:tcW w:type="dxa" w:w="302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Corporate Profits</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 xml:space="preserve">0.2191 </w:t>
            </w:r>
            <w:r>
              <w:rPr>
                <w:rFonts w:ascii="Times New Roman" w:hAnsi="Times New Roman"/>
                <w:b w:val="0"/>
                <w:color w:val="000000"/>
                <w:sz w:val="17"/>
              </w:rPr>
              <w:t>[commercial/​macro_​stationarity.csv/​row 8 col 4]</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 xml:space="preserve">0.1000 </w:t>
            </w:r>
            <w:r>
              <w:rPr>
                <w:rFonts w:ascii="Times New Roman" w:hAnsi="Times New Roman"/>
                <w:b w:val="0"/>
                <w:color w:val="000000"/>
                <w:sz w:val="17"/>
              </w:rPr>
              <w:t>[commercial/​macro_​stationarity.csv/​row 8 col 9]</w:t>
            </w:r>
          </w:p>
        </w:tc>
        <w:tc>
          <w:tcPr>
            <w:tcW w:type="dxa" w:w="158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 xml:space="preserve">&gt;=0.10 </w:t>
            </w:r>
            <w:r>
              <w:rPr>
                <w:rFonts w:ascii="Times New Roman" w:hAnsi="Times New Roman"/>
                <w:b w:val="0"/>
                <w:color w:val="000000"/>
                <w:sz w:val="17"/>
              </w:rPr>
              <w:t>[commercial/​macro_​stationarity.csv/​row 8 col 12]</w:t>
            </w:r>
          </w:p>
        </w:tc>
        <w:tc>
          <w:tcPr>
            <w:tcW w:type="dxa" w:w="201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Eligible</w:t>
            </w:r>
          </w:p>
        </w:tc>
      </w:tr>
      <w:tr>
        <w:trPr>
          <w:cantSplit/>
        </w:trPr>
        <w:tc>
          <w:tcPr>
            <w:tcW w:type="dxa" w:w="302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Dow Jones Total Market Index</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 xml:space="preserve">0.0060 </w:t>
            </w:r>
            <w:r>
              <w:rPr>
                <w:rFonts w:ascii="Times New Roman" w:hAnsi="Times New Roman"/>
                <w:b w:val="0"/>
                <w:color w:val="000000"/>
                <w:sz w:val="17"/>
              </w:rPr>
              <w:t>[commercial/​macro_​stationarity.csv/​row 9 col 4]</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 xml:space="preserve">0.1000 </w:t>
            </w:r>
            <w:r>
              <w:rPr>
                <w:rFonts w:ascii="Times New Roman" w:hAnsi="Times New Roman"/>
                <w:b w:val="0"/>
                <w:color w:val="000000"/>
                <w:sz w:val="17"/>
              </w:rPr>
              <w:t>[commercial/​macro_​stationarity.csv/​row 9 col 9]</w:t>
            </w:r>
          </w:p>
        </w:tc>
        <w:tc>
          <w:tcPr>
            <w:tcW w:type="dxa" w:w="158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 xml:space="preserve">&gt;=0.10 </w:t>
            </w:r>
            <w:r>
              <w:rPr>
                <w:rFonts w:ascii="Times New Roman" w:hAnsi="Times New Roman"/>
                <w:b w:val="0"/>
                <w:color w:val="000000"/>
                <w:sz w:val="17"/>
              </w:rPr>
              <w:t>[commercial/​macro_​stationarity.csv/​row 9 col 12]</w:t>
            </w:r>
          </w:p>
        </w:tc>
        <w:tc>
          <w:tcPr>
            <w:tcW w:type="dxa" w:w="201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Eligible</w:t>
            </w:r>
          </w:p>
        </w:tc>
      </w:tr>
    </w:tbl>
    <w:p>
      <w:pPr>
        <w:widowControl/>
        <w:spacing w:before="60" w:after="120"/>
      </w:pPr>
      <w:r>
        <w:rPr>
          <w:rFonts w:ascii="Times New Roman" w:hAnsi="Times New Roman"/>
          <w:color w:val="000000"/>
          <w:sz w:val="18"/>
        </w:rPr>
        <w:t>Data source: commercial/​macro_​stationarity.csv.</w:t>
      </w:r>
    </w:p>
    <w:p>
      <w:r>
        <w:rPr>
          <w:rFonts w:ascii="Times New Roman" w:hAnsi="Times New Roman"/>
          <w:color w:val="000000"/>
          <w:sz w:val="18"/>
        </w:rPr>
        <w:t>Source: commercial/​macro_​stationarity.csv. Eligibility follows the code OR rule; bounded KPSS values are displayed with their exported bounds. These are transformed-family tests, not tests of raw level series.</w:t>
      </w:r>
    </w:p>
    <w:p>
      <w:pPr>
        <w:pStyle w:val="Heading2"/>
        <w:keepNext/>
      </w:pPr>
      <w:r>
        <w:t>3.6 Commercial Short Run Forward Selection and Coefficient Estimation</w:t>
      </w:r>
    </w:p>
    <w:p>
      <w:pPr>
        <w:widowControl/>
      </w:pPr>
      <w:r>
        <w:rPr>
          <w:rFonts w:ascii="Times New Roman" w:hAnsi="Times New Roman" w:eastAsia="Noto Sans CJK SC"/>
          <w:color w:val="000000"/>
          <w:sz w:val="22"/>
          <w:lang w:val="en-US" w:eastAsia="zh-CN"/>
        </w:rPr>
        <w:t>Short-run forward selection begins with an intercept and the twelve-month-lagged adjusted error-correction term. The error-correction term remains a required explanatory variable throughout the selection process, preserving the connection to the previously estimated long-run relationship. Its coefficient is estimated jointly with the other short-run coefficients rather than fixed in advance.</w:t>
      </w:r>
    </w:p>
    <w:p>
      <w:pPr>
        <w:widowControl/>
      </w:pPr>
      <w:r>
        <w:rPr>
          <w:rFonts w:ascii="Times New Roman" w:hAnsi="Times New Roman" w:eastAsia="Noto Sans CJK SC"/>
          <w:color w:val="000000"/>
          <w:sz w:val="22"/>
          <w:lang w:val="en-US" w:eastAsia="zh-CN"/>
        </w:rPr>
        <w:t>Additional candidates comprise the macroeconomic terms that pass pre-screening and lags 1–12 of annual fee growth. Each proposed addition is evaluated conditional on the required error-correction term and the variables already selected. Eligible additions must meet Student-t p &lt; 0.05 and maximum VIF &lt; 10 and are ranked by adjusted R-squared with a fixed tie order. The final specification combines adjusted error correction with the one-month and six-month lags of annual fee growth and the two-month lag of Corporate Profits annual growth.</w:t>
      </w:r>
    </w:p>
    <w:p>
      <w:pPr>
        <w:widowControl/>
      </w:pPr>
      <w:r>
        <w:rPr>
          <w:rFonts w:ascii="Times New Roman" w:hAnsi="Times New Roman" w:eastAsia="Noto Sans CJK SC"/>
          <w:color w:val="000000"/>
          <w:sz w:val="22"/>
          <w:lang w:val="en-US" w:eastAsia="zh-CN"/>
        </w:rPr>
        <w:t>This specification assigns complementary roles to the two estimation stages. The long-run model establishes the revenue reference, while the short-run model estimates how annual fee growth responds to deviations from that reference, recent growth dynamics, and business-cycle conditions. The resulting equations operate together within the recursive forecasting framework described in Section 2.5.</w:t>
      </w:r>
    </w:p>
    <w:p>
      <w:pPr>
        <w:pStyle w:val="Caption"/>
        <w:keepNext/>
        <w:widowControl/>
        <w:spacing w:before="180" w:after="100"/>
      </w:pPr>
      <w:r>
        <w:rPr>
          <w:rFonts w:ascii="Times New Roman" w:hAnsi="Times New Roman" w:eastAsia="Noto Sans CJK SC"/>
          <w:color w:val="000000"/>
          <w:sz w:val="21"/>
          <w:lang w:val="en-US" w:eastAsia="zh-CN"/>
        </w:rPr>
        <w:t>Table 3.3 Commercial short-run development progression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0" w:type="dxa"/>
          <w:right w:w="80" w:type="dxa"/>
        </w:tblCellMar>
      </w:tblPr>
      <w:tblGrid>
        <w:gridCol w:w="1296"/>
        <w:gridCol w:w="4464"/>
        <w:gridCol w:w="2016"/>
        <w:gridCol w:w="2160"/>
      </w:tblGrid>
      <w:tr>
        <w:trPr>
          <w:cantSplit/>
          <w:tblHeader/>
        </w:trPr>
        <w:tc>
          <w:tcPr>
            <w:tcW w:type="dxa" w:w="12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E6ECF0"/>
          </w:tcPr>
          <w:p>
            <w:pPr>
              <w:keepNext/>
              <w:widowControl/>
              <w:spacing w:after="40" w:line="247" w:lineRule="auto" w:before="0"/>
              <w:jc w:val="left"/>
            </w:pPr>
            <w:r>
              <w:rPr>
                <w:rFonts w:ascii="Times New Roman" w:hAnsi="Times New Roman"/>
                <w:b/>
                <w:color w:val="000000"/>
                <w:sz w:val="19"/>
              </w:rPr>
              <w:t>Round</w:t>
            </w:r>
          </w:p>
        </w:tc>
        <w:tc>
          <w:tcPr>
            <w:tcW w:type="dxa" w:w="44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E6ECF0"/>
          </w:tcPr>
          <w:p>
            <w:pPr>
              <w:keepNext/>
              <w:widowControl/>
              <w:spacing w:after="40" w:line="247" w:lineRule="auto" w:before="0"/>
              <w:jc w:val="center"/>
            </w:pPr>
            <w:r>
              <w:rPr>
                <w:rFonts w:ascii="Times New Roman" w:hAnsi="Times New Roman"/>
                <w:b/>
                <w:color w:val="000000"/>
                <w:sz w:val="19"/>
              </w:rPr>
              <w:t>Added term</w:t>
            </w:r>
          </w:p>
        </w:tc>
        <w:tc>
          <w:tcPr>
            <w:tcW w:type="dxa" w:w="201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E6ECF0"/>
          </w:tcPr>
          <w:p>
            <w:pPr>
              <w:keepNext/>
              <w:widowControl/>
              <w:spacing w:after="40" w:line="247" w:lineRule="auto" w:before="0"/>
              <w:jc w:val="center"/>
            </w:pPr>
            <w:r>
              <w:rPr>
                <w:rFonts w:ascii="Times New Roman" w:hAnsi="Times New Roman"/>
                <w:b/>
                <w:color w:val="000000"/>
                <w:sz w:val="19"/>
              </w:rPr>
              <w:t>Effective n</w:t>
            </w:r>
          </w:p>
        </w:tc>
        <w:tc>
          <w:tcPr>
            <w:tcW w:type="dxa" w:w="216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E6ECF0"/>
          </w:tcPr>
          <w:p>
            <w:pPr>
              <w:keepNext/>
              <w:widowControl/>
              <w:spacing w:after="40" w:line="247" w:lineRule="auto" w:before="0"/>
              <w:jc w:val="center"/>
            </w:pPr>
            <w:r>
              <w:rPr>
                <w:rFonts w:ascii="Times New Roman" w:hAnsi="Times New Roman"/>
                <w:b/>
                <w:color w:val="000000"/>
                <w:sz w:val="19"/>
              </w:rPr>
              <w:t>Adjusted fit</w:t>
            </w:r>
          </w:p>
        </w:tc>
      </w:tr>
      <w:tr>
        <w:trPr>
          <w:cantSplit/>
        </w:trPr>
        <w:tc>
          <w:tcPr>
            <w:tcW w:type="dxa" w:w="12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1</w:t>
            </w:r>
          </w:p>
        </w:tc>
        <w:tc>
          <w:tcPr>
            <w:tcW w:type="dxa" w:w="44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Fee YoY growth, lag 1</w:t>
            </w:r>
          </w:p>
        </w:tc>
        <w:tc>
          <w:tcPr>
            <w:tcW w:type="dxa" w:w="201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140</w:t>
            </w:r>
          </w:p>
        </w:tc>
        <w:tc>
          <w:tcPr>
            <w:tcW w:type="dxa" w:w="216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 xml:space="preserve">0.6583 </w:t>
            </w:r>
            <w:r>
              <w:rPr>
                <w:rFonts w:ascii="Times New Roman" w:hAnsi="Times New Roman"/>
                <w:b w:val="0"/>
                <w:color w:val="000000"/>
                <w:sz w:val="17"/>
              </w:rPr>
              <w:t>[commercial/​short_​run_​rounds.csv/​row 2 col 3]</w:t>
            </w:r>
          </w:p>
        </w:tc>
      </w:tr>
      <w:tr>
        <w:trPr>
          <w:cantSplit/>
        </w:trPr>
        <w:tc>
          <w:tcPr>
            <w:tcW w:type="dxa" w:w="12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2</w:t>
            </w:r>
          </w:p>
        </w:tc>
        <w:tc>
          <w:tcPr>
            <w:tcW w:type="dxa" w:w="44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Fee YoY growth, lag 6</w:t>
            </w:r>
          </w:p>
        </w:tc>
        <w:tc>
          <w:tcPr>
            <w:tcW w:type="dxa" w:w="201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135</w:t>
            </w:r>
          </w:p>
        </w:tc>
        <w:tc>
          <w:tcPr>
            <w:tcW w:type="dxa" w:w="216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 xml:space="preserve">0.6944 </w:t>
            </w:r>
            <w:r>
              <w:rPr>
                <w:rFonts w:ascii="Times New Roman" w:hAnsi="Times New Roman"/>
                <w:b w:val="0"/>
                <w:color w:val="000000"/>
                <w:sz w:val="17"/>
              </w:rPr>
              <w:t>[commercial/​short_​run_​rounds.csv/​row 3 col 3]</w:t>
            </w:r>
          </w:p>
        </w:tc>
      </w:tr>
      <w:tr>
        <w:trPr>
          <w:cantSplit/>
        </w:trPr>
        <w:tc>
          <w:tcPr>
            <w:tcW w:type="dxa" w:w="12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3</w:t>
            </w:r>
          </w:p>
        </w:tc>
        <w:tc>
          <w:tcPr>
            <w:tcW w:type="dxa" w:w="44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Profits YoY growth, lag 2</w:t>
            </w:r>
          </w:p>
        </w:tc>
        <w:tc>
          <w:tcPr>
            <w:tcW w:type="dxa" w:w="201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135</w:t>
            </w:r>
          </w:p>
        </w:tc>
        <w:tc>
          <w:tcPr>
            <w:tcW w:type="dxa" w:w="216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 xml:space="preserve">0.7357 </w:t>
            </w:r>
            <w:r>
              <w:rPr>
                <w:rFonts w:ascii="Times New Roman" w:hAnsi="Times New Roman"/>
                <w:b w:val="0"/>
                <w:color w:val="000000"/>
                <w:sz w:val="17"/>
              </w:rPr>
              <w:t>[commercial/​short_​run_​rounds.csv/​row 4 col 3]</w:t>
            </w:r>
          </w:p>
        </w:tc>
      </w:tr>
    </w:tbl>
    <w:p>
      <w:pPr>
        <w:widowControl/>
        <w:spacing w:before="60" w:after="120"/>
      </w:pPr>
      <w:r>
        <w:rPr>
          <w:rFonts w:ascii="Times New Roman" w:hAnsi="Times New Roman"/>
          <w:color w:val="000000"/>
          <w:sz w:val="18"/>
        </w:rPr>
        <w:t>Data source: commercial/​short_​run_​rounds.csv.</w:t>
      </w:r>
    </w:p>
    <w:p>
      <w:r>
        <w:rPr>
          <w:rFonts w:ascii="Times New Roman" w:hAnsi="Times New Roman"/>
          <w:color w:val="000000"/>
          <w:sz w:val="18"/>
        </w:rPr>
        <w:t>Source: commercial/​short_​run_​rounds.csv. Adjusted EC is required before these additions. Effective samples differ when additional lags reduce available observations, so fit changes are not pure same-sample incremental comparisons.</w:t>
      </w:r>
    </w:p>
    <w:p>
      <w:pPr>
        <w:keepNext/>
        <w:keepLines/>
        <w:pageBreakBefore w:val="0"/>
        <w:spacing w:after="140"/>
      </w:pPr>
      <w:r>
        <w:rPr>
          <w:rFonts w:ascii="Times New Roman" w:hAnsi="Times New Roman" w:eastAsia="Noto Sans CJK SC"/>
          <w:color w:val="000000"/>
          <w:sz w:val="22"/>
          <w:lang w:val="en-US" w:eastAsia="zh-CN"/>
        </w:rPr>
        <w:t>The final short-run estimates combine a negative error-correction response with positive fee-growth persistence and Corporate Profits exposure. The reported standard errors and Student-t results document inference for the jointly estimated equation.</w:t>
      </w:r>
    </w:p>
    <w:p>
      <w:pPr>
        <w:pStyle w:val="Caption"/>
        <w:keepNext/>
        <w:widowControl/>
        <w:spacing w:before="180" w:after="100"/>
      </w:pPr>
      <w:r>
        <w:rPr>
          <w:rFonts w:ascii="Times New Roman" w:hAnsi="Times New Roman" w:eastAsia="Noto Sans CJK SC"/>
          <w:color w:val="000000"/>
          <w:sz w:val="21"/>
          <w:lang w:val="en-US" w:eastAsia="zh-CN"/>
        </w:rPr>
        <w:t>Table 3.4 Commercial final short-run coefficients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0" w:type="dxa"/>
          <w:right w:w="80" w:type="dxa"/>
        </w:tblCellMar>
      </w:tblPr>
      <w:tblGrid>
        <w:gridCol w:w="2952"/>
        <w:gridCol w:w="1224"/>
        <w:gridCol w:w="1224"/>
        <w:gridCol w:w="2160"/>
        <w:gridCol w:w="2160"/>
      </w:tblGrid>
      <w:tr>
        <w:trPr>
          <w:cantSplit/>
          <w:tblHeader/>
        </w:trPr>
        <w:tc>
          <w:tcPr>
            <w:tcW w:type="dxa" w:w="295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E6ECF0"/>
          </w:tcPr>
          <w:p>
            <w:pPr>
              <w:keepNext/>
              <w:widowControl/>
              <w:spacing w:after="40" w:line="247" w:lineRule="auto" w:before="0"/>
              <w:jc w:val="left"/>
            </w:pPr>
            <w:r>
              <w:rPr>
                <w:rFonts w:ascii="Times New Roman" w:hAnsi="Times New Roman"/>
                <w:b/>
                <w:color w:val="000000"/>
                <w:sz w:val="19"/>
              </w:rPr>
              <w:t>Term</w:t>
            </w:r>
          </w:p>
        </w:tc>
        <w:tc>
          <w:tcPr>
            <w:tcW w:type="dxa" w:w="122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E6ECF0"/>
          </w:tcPr>
          <w:p>
            <w:pPr>
              <w:keepNext/>
              <w:widowControl/>
              <w:spacing w:after="40" w:line="247" w:lineRule="auto" w:before="0"/>
              <w:jc w:val="center"/>
            </w:pPr>
            <w:r>
              <w:rPr>
                <w:rFonts w:ascii="Times New Roman" w:hAnsi="Times New Roman"/>
                <w:b/>
                <w:color w:val="000000"/>
                <w:sz w:val="19"/>
              </w:rPr>
              <w:t>Estimate</w:t>
            </w:r>
          </w:p>
        </w:tc>
        <w:tc>
          <w:tcPr>
            <w:tcW w:type="dxa" w:w="122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E6ECF0"/>
          </w:tcPr>
          <w:p>
            <w:pPr>
              <w:keepNext/>
              <w:widowControl/>
              <w:spacing w:after="40" w:line="247" w:lineRule="auto" w:before="0"/>
              <w:jc w:val="center"/>
            </w:pPr>
            <w:r>
              <w:rPr>
                <w:rFonts w:ascii="Times New Roman" w:hAnsi="Times New Roman"/>
                <w:b/>
                <w:color w:val="000000"/>
                <w:sz w:val="19"/>
              </w:rPr>
              <w:t>Std error</w:t>
            </w:r>
          </w:p>
        </w:tc>
        <w:tc>
          <w:tcPr>
            <w:tcW w:type="dxa" w:w="216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E6ECF0"/>
          </w:tcPr>
          <w:p>
            <w:pPr>
              <w:keepNext/>
              <w:widowControl/>
              <w:spacing w:after="40" w:line="247" w:lineRule="auto" w:before="0"/>
              <w:jc w:val="center"/>
            </w:pPr>
            <w:r>
              <w:rPr>
                <w:rFonts w:ascii="Times New Roman" w:hAnsi="Times New Roman"/>
                <w:b/>
                <w:color w:val="000000"/>
                <w:sz w:val="19"/>
              </w:rPr>
              <w:t>t statistic</w:t>
            </w:r>
          </w:p>
        </w:tc>
        <w:tc>
          <w:tcPr>
            <w:tcW w:type="dxa" w:w="216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E6ECF0"/>
          </w:tcPr>
          <w:p>
            <w:pPr>
              <w:keepNext/>
              <w:widowControl/>
              <w:spacing w:after="40" w:line="247" w:lineRule="auto" w:before="0"/>
              <w:jc w:val="center"/>
            </w:pPr>
            <w:r>
              <w:rPr>
                <w:rFonts w:ascii="Times New Roman" w:hAnsi="Times New Roman"/>
                <w:b/>
                <w:color w:val="000000"/>
                <w:sz w:val="19"/>
              </w:rPr>
              <w:t>p value</w:t>
            </w:r>
          </w:p>
        </w:tc>
      </w:tr>
      <w:tr>
        <w:trPr>
          <w:cantSplit/>
        </w:trPr>
        <w:tc>
          <w:tcPr>
            <w:tcW w:type="dxa" w:w="295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Intercept</w:t>
            </w:r>
          </w:p>
        </w:tc>
        <w:tc>
          <w:tcPr>
            <w:tcW w:type="dxa" w:w="122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1.78314</w:t>
            </w:r>
          </w:p>
        </w:tc>
        <w:tc>
          <w:tcPr>
            <w:tcW w:type="dxa" w:w="122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0.85356</w:t>
            </w:r>
          </w:p>
        </w:tc>
        <w:tc>
          <w:tcPr>
            <w:tcW w:type="dxa" w:w="216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 xml:space="preserve">2.089 </w:t>
            </w:r>
            <w:r>
              <w:rPr>
                <w:rFonts w:ascii="Times New Roman" w:hAnsi="Times New Roman"/>
                <w:b w:val="0"/>
                <w:color w:val="000000"/>
                <w:sz w:val="17"/>
              </w:rPr>
              <w:t>[commercial/​short_​run_​coefficients.csv/​row 2 col 5]</w:t>
            </w:r>
          </w:p>
        </w:tc>
        <w:tc>
          <w:tcPr>
            <w:tcW w:type="dxa" w:w="216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 xml:space="preserve">0.039 </w:t>
            </w:r>
            <w:r>
              <w:rPr>
                <w:rFonts w:ascii="Times New Roman" w:hAnsi="Times New Roman"/>
                <w:b w:val="0"/>
                <w:color w:val="000000"/>
                <w:sz w:val="17"/>
              </w:rPr>
              <w:t>[commercial/​short_​run_​coefficients.csv/​row 2 col 6]</w:t>
            </w:r>
          </w:p>
        </w:tc>
      </w:tr>
      <w:tr>
        <w:trPr>
          <w:cantSplit/>
        </w:trPr>
        <w:tc>
          <w:tcPr>
            <w:tcW w:type="dxa" w:w="295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Adjusted EC, lag 12</w:t>
            </w:r>
          </w:p>
        </w:tc>
        <w:tc>
          <w:tcPr>
            <w:tcW w:type="dxa" w:w="122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-0.65352</w:t>
            </w:r>
          </w:p>
        </w:tc>
        <w:tc>
          <w:tcPr>
            <w:tcW w:type="dxa" w:w="122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0.08291</w:t>
            </w:r>
          </w:p>
        </w:tc>
        <w:tc>
          <w:tcPr>
            <w:tcW w:type="dxa" w:w="216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 xml:space="preserve">-7.883 </w:t>
            </w:r>
            <w:r>
              <w:rPr>
                <w:rFonts w:ascii="Times New Roman" w:hAnsi="Times New Roman"/>
                <w:b w:val="0"/>
                <w:color w:val="000000"/>
                <w:sz w:val="17"/>
              </w:rPr>
              <w:t>[commercial/​short_​run_​coefficients.csv/​row 3 col 5]</w:t>
            </w:r>
          </w:p>
        </w:tc>
        <w:tc>
          <w:tcPr>
            <w:tcW w:type="dxa" w:w="216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 xml:space="preserve">&lt;0.001 </w:t>
            </w:r>
            <w:r>
              <w:rPr>
                <w:rFonts w:ascii="Times New Roman" w:hAnsi="Times New Roman"/>
                <w:b w:val="0"/>
                <w:color w:val="000000"/>
                <w:sz w:val="17"/>
              </w:rPr>
              <w:t>[commercial/​short_​run_​coefficients.csv/​row 3 col 6]</w:t>
            </w:r>
          </w:p>
        </w:tc>
      </w:tr>
      <w:tr>
        <w:trPr>
          <w:cantSplit/>
        </w:trPr>
        <w:tc>
          <w:tcPr>
            <w:tcW w:type="dxa" w:w="295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Fee YoY growth, lag 1</w:t>
            </w:r>
          </w:p>
        </w:tc>
        <w:tc>
          <w:tcPr>
            <w:tcW w:type="dxa" w:w="122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0.29638</w:t>
            </w:r>
          </w:p>
        </w:tc>
        <w:tc>
          <w:tcPr>
            <w:tcW w:type="dxa" w:w="122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0.06672</w:t>
            </w:r>
          </w:p>
        </w:tc>
        <w:tc>
          <w:tcPr>
            <w:tcW w:type="dxa" w:w="216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 xml:space="preserve">4.442 </w:t>
            </w:r>
            <w:r>
              <w:rPr>
                <w:rFonts w:ascii="Times New Roman" w:hAnsi="Times New Roman"/>
                <w:b w:val="0"/>
                <w:color w:val="000000"/>
                <w:sz w:val="17"/>
              </w:rPr>
              <w:t>[commercial/​short_​run_​coefficients.csv/​row 4 col 5]</w:t>
            </w:r>
          </w:p>
        </w:tc>
        <w:tc>
          <w:tcPr>
            <w:tcW w:type="dxa" w:w="216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 xml:space="preserve">&lt;0.001 </w:t>
            </w:r>
            <w:r>
              <w:rPr>
                <w:rFonts w:ascii="Times New Roman" w:hAnsi="Times New Roman"/>
                <w:b w:val="0"/>
                <w:color w:val="000000"/>
                <w:sz w:val="17"/>
              </w:rPr>
              <w:t>[commercial/​short_​run_​coefficients.csv/​row 4 col 6]</w:t>
            </w:r>
          </w:p>
        </w:tc>
      </w:tr>
      <w:tr>
        <w:trPr>
          <w:cantSplit/>
        </w:trPr>
        <w:tc>
          <w:tcPr>
            <w:tcW w:type="dxa" w:w="295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Fee YoY growth, lag 6</w:t>
            </w:r>
          </w:p>
        </w:tc>
        <w:tc>
          <w:tcPr>
            <w:tcW w:type="dxa" w:w="122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0.25019</w:t>
            </w:r>
          </w:p>
        </w:tc>
        <w:tc>
          <w:tcPr>
            <w:tcW w:type="dxa" w:w="122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0.05008</w:t>
            </w:r>
          </w:p>
        </w:tc>
        <w:tc>
          <w:tcPr>
            <w:tcW w:type="dxa" w:w="216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 xml:space="preserve">4.996 </w:t>
            </w:r>
            <w:r>
              <w:rPr>
                <w:rFonts w:ascii="Times New Roman" w:hAnsi="Times New Roman"/>
                <w:b w:val="0"/>
                <w:color w:val="000000"/>
                <w:sz w:val="17"/>
              </w:rPr>
              <w:t>[commercial/​short_​run_​coefficients.csv/​row 5 col 5]</w:t>
            </w:r>
          </w:p>
        </w:tc>
        <w:tc>
          <w:tcPr>
            <w:tcW w:type="dxa" w:w="216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 xml:space="preserve">&lt;0.001 </w:t>
            </w:r>
            <w:r>
              <w:rPr>
                <w:rFonts w:ascii="Times New Roman" w:hAnsi="Times New Roman"/>
                <w:b w:val="0"/>
                <w:color w:val="000000"/>
                <w:sz w:val="17"/>
              </w:rPr>
              <w:t>[commercial/​short_​run_​coefficients.csv/​row 5 col 6]</w:t>
            </w:r>
          </w:p>
        </w:tc>
      </w:tr>
      <w:tr>
        <w:trPr>
          <w:cantSplit/>
        </w:trPr>
        <w:tc>
          <w:tcPr>
            <w:tcW w:type="dxa" w:w="295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Profits YoY growth, lag 2</w:t>
            </w:r>
          </w:p>
        </w:tc>
        <w:tc>
          <w:tcPr>
            <w:tcW w:type="dxa" w:w="122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0.42202</w:t>
            </w:r>
          </w:p>
        </w:tc>
        <w:tc>
          <w:tcPr>
            <w:tcW w:type="dxa" w:w="122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0.09115</w:t>
            </w:r>
          </w:p>
        </w:tc>
        <w:tc>
          <w:tcPr>
            <w:tcW w:type="dxa" w:w="216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 xml:space="preserve">4.630 </w:t>
            </w:r>
            <w:r>
              <w:rPr>
                <w:rFonts w:ascii="Times New Roman" w:hAnsi="Times New Roman"/>
                <w:b w:val="0"/>
                <w:color w:val="000000"/>
                <w:sz w:val="17"/>
              </w:rPr>
              <w:t>[commercial/​short_​run_​coefficients.csv/​row 6 col 5]</w:t>
            </w:r>
          </w:p>
        </w:tc>
        <w:tc>
          <w:tcPr>
            <w:tcW w:type="dxa" w:w="216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 xml:space="preserve">&lt;0.001 </w:t>
            </w:r>
            <w:r>
              <w:rPr>
                <w:rFonts w:ascii="Times New Roman" w:hAnsi="Times New Roman"/>
                <w:b w:val="0"/>
                <w:color w:val="000000"/>
                <w:sz w:val="17"/>
              </w:rPr>
              <w:t>[commercial/​short_​run_​coefficients.csv/​row 6 col 6]</w:t>
            </w:r>
          </w:p>
        </w:tc>
      </w:tr>
    </w:tbl>
    <w:p>
      <w:pPr>
        <w:widowControl/>
        <w:spacing w:after="140"/>
      </w:pPr>
      <w:r>
        <w:rPr>
          <w:rFonts w:ascii="Times New Roman" w:hAnsi="Times New Roman"/>
          <w:color w:val="000000"/>
          <w:sz w:val="18"/>
        </w:rPr>
        <w:t>Source: commercial/​short_​run_​coefficients.csv. Classical nonrobust OLS covariance; coefficient scale is annual percentage growth.</w:t>
      </w:r>
    </w:p>
    <w:p>
      <w:pPr>
        <w:pStyle w:val="Heading2"/>
        <w:keepNext/>
      </w:pPr>
      <w:r>
        <w:t>3.7 Consumer Base and Forward Selection</w:t>
      </w:r>
    </w:p>
    <w:p>
      <w:pPr>
        <w:widowControl/>
      </w:pPr>
      <w:r>
        <w:rPr>
          <w:rFonts w:ascii="Times New Roman" w:hAnsi="Times New Roman" w:eastAsia="Noto Sans CJK SC"/>
          <w:color w:val="000000"/>
          <w:sz w:val="22"/>
          <w:lang w:val="en-US" w:eastAsia="zh-CN"/>
        </w:rPr>
        <w:t>The fixed base comprises an intercept, fee log-growth lags 1 and 2, and January and December indicators. Forward selection tests the ten macro transformations. An added term must have a two-sided Student-t p-value &lt; 0.05, maximum VIF &lt; 10, DW between 1.5 and 2.5 inclusive, and JB p-value &gt; 0.05. At most one feature per macro family is admitted. Passing candidates are ranked by the smallest Student-t p-value, then the highest adjusted R-squared and a fixed tie order. Student-t probabilities use residual degrees of freedom n − k, where k includes the intercept and all regressors. Retail Sales monthly-growth MA3 is selected. The exported p_​normal field is retained for reference only and is not used for eligibility or ranking.</w:t>
      </w:r>
    </w:p>
    <w:p>
      <w:pPr>
        <w:keepNext w:val="0"/>
        <w:keepLines w:val="0"/>
        <w:pageBreakBefore w:val="0"/>
        <w:widowControl/>
      </w:pPr>
      <w:r>
        <w:rPr>
          <w:rFonts w:ascii="Times New Roman" w:hAnsi="Times New Roman" w:eastAsia="Noto Sans CJK SC"/>
          <w:color w:val="000000"/>
          <w:sz w:val="22"/>
          <w:lang w:val="en-US" w:eastAsia="zh-CN"/>
        </w:rPr>
        <w:t>MA3 means a three-month moving average. For Retail Sales, it averages the monthly percentage changes for the current month and the previous two months. This smooths short-term fluctuations.</w:t>
      </w:r>
    </w:p>
    <w:p>
      <w:pPr>
        <w:pStyle w:val="Caption"/>
        <w:keepNext/>
        <w:widowControl/>
        <w:spacing w:before="180" w:after="100"/>
      </w:pPr>
      <w:r>
        <w:rPr>
          <w:rFonts w:ascii="Times New Roman" w:hAnsi="Times New Roman" w:eastAsia="Noto Sans CJK SC"/>
          <w:color w:val="000000"/>
          <w:sz w:val="21"/>
          <w:lang w:val="en-US" w:eastAsia="zh-CN"/>
        </w:rPr>
        <w:t>Figure 3.2 Consumer initial macro additions</w:t>
      </w:r>
    </w:p>
    <w:p>
      <w:pPr>
        <w:keepNext/>
        <w:jc w:val="center"/>
      </w:pPr>
      <w:r>
        <w:drawing>
          <wp:inline xmlns:a="http://schemas.openxmlformats.org/drawingml/2006/main" xmlns:pic="http://schemas.openxmlformats.org/drawingml/2006/picture">
            <wp:extent cx="6080760" cy="2967007"/>
            <wp:docPr id="6" name="Picture 6" descr="Figure 3.3 Consumer initial macro additions"/>
            <wp:cNvGraphicFramePr>
              <a:graphicFrameLocks noChangeAspect="1"/>
            </wp:cNvGraphicFramePr>
            <a:graphic>
              <a:graphicData uri="http://schemas.openxmlformats.org/drawingml/2006/picture">
                <pic:pic>
                  <pic:nvPicPr>
                    <pic:cNvPr id="0" name="consumer_candidates.png"/>
                    <pic:cNvPicPr/>
                  </pic:nvPicPr>
                  <pic:blipFill>
                    <a:blip r:embed="rId16"/>
                    <a:stretch>
                      <a:fillRect/>
                    </a:stretch>
                  </pic:blipFill>
                  <pic:spPr>
                    <a:xfrm>
                      <a:off x="0" y="0"/>
                      <a:ext cx="6080760" cy="2967007"/>
                    </a:xfrm>
                    <a:prstGeom prst="rect"/>
                  </pic:spPr>
                </pic:pic>
              </a:graphicData>
            </a:graphic>
          </wp:inline>
        </w:drawing>
      </w:r>
    </w:p>
    <w:p>
      <w:r>
        <w:rPr>
          <w:rFonts w:ascii="Times New Roman" w:hAnsi="Times New Roman"/>
          <w:color w:val="000000"/>
          <w:sz w:val="18"/>
        </w:rPr>
        <w:t>Green identifies the selected addition. The dashed line is the base equation. Selection also requires the documented statistical gates and ranking rule; adjusted fit alone is not the selection criterion. Data sources: consumer/​macro_​screening.csv; consumer/​model_​diagnostics.csv.</w:t>
      </w:r>
    </w:p>
    <w:p>
      <w:pPr>
        <w:keepNext/>
        <w:keepLines/>
        <w:pageBreakBefore/>
        <w:spacing w:after="140"/>
      </w:pPr>
      <w:r>
        <w:rPr>
          <w:rFonts w:ascii="Times New Roman" w:hAnsi="Times New Roman" w:eastAsia="Noto Sans CJK SC"/>
          <w:color w:val="000000"/>
          <w:sz w:val="22"/>
          <w:lang w:val="en-US" w:eastAsia="zh-CN"/>
        </w:rPr>
        <w:t>The development estimates associate lagged fee changes with short-run reversal, January with lower growth and December with higher growth. The positive Retail Sales term represents the spending-related contribution after controlling for these dynamics and calendar effects.</w:t>
      </w:r>
    </w:p>
    <w:p>
      <w:pPr>
        <w:pStyle w:val="Caption"/>
        <w:keepNext/>
        <w:pageBreakBefore w:val="0"/>
        <w:widowControl/>
        <w:spacing w:before="180" w:after="100"/>
      </w:pPr>
      <w:r>
        <w:rPr>
          <w:rFonts w:ascii="Times New Roman" w:hAnsi="Times New Roman" w:eastAsia="Noto Sans CJK SC"/>
          <w:color w:val="000000"/>
          <w:sz w:val="21"/>
          <w:lang w:val="en-US" w:eastAsia="zh-CN"/>
        </w:rPr>
        <w:t>Table 3.5 Consumer development coefficients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0" w:type="dxa"/>
          <w:right w:w="80" w:type="dxa"/>
        </w:tblCellMar>
      </w:tblPr>
      <w:tblGrid>
        <w:gridCol w:w="2952"/>
        <w:gridCol w:w="1224"/>
        <w:gridCol w:w="1224"/>
        <w:gridCol w:w="2160"/>
        <w:gridCol w:w="2160"/>
      </w:tblGrid>
      <w:tr>
        <w:trPr>
          <w:cantSplit/>
          <w:tblHeader/>
        </w:trPr>
        <w:tc>
          <w:tcPr>
            <w:tcW w:type="dxa" w:w="295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E6ECF0"/>
          </w:tcPr>
          <w:p>
            <w:pPr>
              <w:keepNext/>
              <w:widowControl/>
              <w:spacing w:after="40" w:line="247" w:lineRule="auto" w:before="0"/>
              <w:jc w:val="left"/>
            </w:pPr>
            <w:r>
              <w:rPr>
                <w:rFonts w:ascii="Times New Roman" w:hAnsi="Times New Roman"/>
                <w:b/>
                <w:color w:val="000000"/>
                <w:sz w:val="19"/>
              </w:rPr>
              <w:t>Term</w:t>
            </w:r>
          </w:p>
        </w:tc>
        <w:tc>
          <w:tcPr>
            <w:tcW w:type="dxa" w:w="122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E6ECF0"/>
          </w:tcPr>
          <w:p>
            <w:pPr>
              <w:keepNext/>
              <w:widowControl/>
              <w:spacing w:after="40" w:line="247" w:lineRule="auto" w:before="0"/>
              <w:jc w:val="center"/>
            </w:pPr>
            <w:r>
              <w:rPr>
                <w:rFonts w:ascii="Times New Roman" w:hAnsi="Times New Roman"/>
                <w:b/>
                <w:color w:val="000000"/>
                <w:sz w:val="19"/>
              </w:rPr>
              <w:t>Estimate</w:t>
            </w:r>
          </w:p>
        </w:tc>
        <w:tc>
          <w:tcPr>
            <w:tcW w:type="dxa" w:w="122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E6ECF0"/>
          </w:tcPr>
          <w:p>
            <w:pPr>
              <w:keepNext/>
              <w:widowControl/>
              <w:spacing w:after="40" w:line="247" w:lineRule="auto" w:before="0"/>
              <w:jc w:val="center"/>
            </w:pPr>
            <w:r>
              <w:rPr>
                <w:rFonts w:ascii="Times New Roman" w:hAnsi="Times New Roman"/>
                <w:b/>
                <w:color w:val="000000"/>
                <w:sz w:val="19"/>
              </w:rPr>
              <w:t>Std error</w:t>
            </w:r>
          </w:p>
        </w:tc>
        <w:tc>
          <w:tcPr>
            <w:tcW w:type="dxa" w:w="216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E6ECF0"/>
          </w:tcPr>
          <w:p>
            <w:pPr>
              <w:keepNext/>
              <w:widowControl/>
              <w:spacing w:after="40" w:line="247" w:lineRule="auto" w:before="0"/>
              <w:jc w:val="center"/>
            </w:pPr>
            <w:r>
              <w:rPr>
                <w:rFonts w:ascii="Times New Roman" w:hAnsi="Times New Roman"/>
                <w:b/>
                <w:color w:val="000000"/>
                <w:sz w:val="19"/>
              </w:rPr>
              <w:t>t statistic</w:t>
            </w:r>
          </w:p>
        </w:tc>
        <w:tc>
          <w:tcPr>
            <w:tcW w:type="dxa" w:w="216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E6ECF0"/>
          </w:tcPr>
          <w:p>
            <w:pPr>
              <w:keepNext/>
              <w:widowControl/>
              <w:spacing w:after="40" w:line="247" w:lineRule="auto" w:before="0"/>
              <w:jc w:val="center"/>
            </w:pPr>
            <w:r>
              <w:rPr>
                <w:rFonts w:ascii="Times New Roman" w:hAnsi="Times New Roman"/>
                <w:b/>
                <w:color w:val="000000"/>
                <w:sz w:val="19"/>
              </w:rPr>
              <w:t>p value</w:t>
            </w:r>
          </w:p>
        </w:tc>
      </w:tr>
      <w:tr>
        <w:trPr>
          <w:cantSplit/>
        </w:trPr>
        <w:tc>
          <w:tcPr>
            <w:tcW w:type="dxa" w:w="295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Intercept</w:t>
            </w:r>
          </w:p>
        </w:tc>
        <w:tc>
          <w:tcPr>
            <w:tcW w:type="dxa" w:w="122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-1.98312</w:t>
            </w:r>
          </w:p>
        </w:tc>
        <w:tc>
          <w:tcPr>
            <w:tcW w:type="dxa" w:w="122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0.82447</w:t>
            </w:r>
          </w:p>
        </w:tc>
        <w:tc>
          <w:tcPr>
            <w:tcW w:type="dxa" w:w="216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 xml:space="preserve">-2.405 </w:t>
            </w:r>
            <w:r>
              <w:rPr>
                <w:rFonts w:ascii="Times New Roman" w:hAnsi="Times New Roman"/>
                <w:b w:val="0"/>
                <w:color w:val="000000"/>
                <w:sz w:val="17"/>
              </w:rPr>
              <w:t>[consumer/​coefficients.csv/​row 7 col 4]</w:t>
            </w:r>
          </w:p>
        </w:tc>
        <w:tc>
          <w:tcPr>
            <w:tcW w:type="dxa" w:w="216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 xml:space="preserve">0.017 </w:t>
            </w:r>
            <w:r>
              <w:rPr>
                <w:rFonts w:ascii="Times New Roman" w:hAnsi="Times New Roman"/>
                <w:b w:val="0"/>
                <w:color w:val="000000"/>
                <w:sz w:val="17"/>
              </w:rPr>
              <w:t>[consumer/​coefficients.csv/​row 7 col 6]</w:t>
            </w:r>
          </w:p>
        </w:tc>
      </w:tr>
      <w:tr>
        <w:trPr>
          <w:cantSplit/>
        </w:trPr>
        <w:tc>
          <w:tcPr>
            <w:tcW w:type="dxa" w:w="295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Fee log growth, lag 1</w:t>
            </w:r>
          </w:p>
        </w:tc>
        <w:tc>
          <w:tcPr>
            <w:tcW w:type="dxa" w:w="122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-0.62166</w:t>
            </w:r>
          </w:p>
        </w:tc>
        <w:tc>
          <w:tcPr>
            <w:tcW w:type="dxa" w:w="122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0.06568</w:t>
            </w:r>
          </w:p>
        </w:tc>
        <w:tc>
          <w:tcPr>
            <w:tcW w:type="dxa" w:w="216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 xml:space="preserve">-9.464 </w:t>
            </w:r>
            <w:r>
              <w:rPr>
                <w:rFonts w:ascii="Times New Roman" w:hAnsi="Times New Roman"/>
                <w:b w:val="0"/>
                <w:color w:val="000000"/>
                <w:sz w:val="17"/>
              </w:rPr>
              <w:t>[consumer/​coefficients.csv/​row 8 col 4]</w:t>
            </w:r>
          </w:p>
        </w:tc>
        <w:tc>
          <w:tcPr>
            <w:tcW w:type="dxa" w:w="216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 xml:space="preserve">&lt;0.001 </w:t>
            </w:r>
            <w:r>
              <w:rPr>
                <w:rFonts w:ascii="Times New Roman" w:hAnsi="Times New Roman"/>
                <w:b w:val="0"/>
                <w:color w:val="000000"/>
                <w:sz w:val="17"/>
              </w:rPr>
              <w:t>[consumer/​coefficients.csv/​row 8 col 6]</w:t>
            </w:r>
          </w:p>
        </w:tc>
      </w:tr>
      <w:tr>
        <w:trPr>
          <w:cantSplit/>
        </w:trPr>
        <w:tc>
          <w:tcPr>
            <w:tcW w:type="dxa" w:w="295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Fee log growth, lag 2</w:t>
            </w:r>
          </w:p>
        </w:tc>
        <w:tc>
          <w:tcPr>
            <w:tcW w:type="dxa" w:w="122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-0.33883</w:t>
            </w:r>
          </w:p>
        </w:tc>
        <w:tc>
          <w:tcPr>
            <w:tcW w:type="dxa" w:w="122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0.06070</w:t>
            </w:r>
          </w:p>
        </w:tc>
        <w:tc>
          <w:tcPr>
            <w:tcW w:type="dxa" w:w="216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 xml:space="preserve">-5.583 </w:t>
            </w:r>
            <w:r>
              <w:rPr>
                <w:rFonts w:ascii="Times New Roman" w:hAnsi="Times New Roman"/>
                <w:b w:val="0"/>
                <w:color w:val="000000"/>
                <w:sz w:val="17"/>
              </w:rPr>
              <w:t>[consumer/​coefficients.csv/​row 9 col 4]</w:t>
            </w:r>
          </w:p>
        </w:tc>
        <w:tc>
          <w:tcPr>
            <w:tcW w:type="dxa" w:w="216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 xml:space="preserve">&lt;0.001 </w:t>
            </w:r>
            <w:r>
              <w:rPr>
                <w:rFonts w:ascii="Times New Roman" w:hAnsi="Times New Roman"/>
                <w:b w:val="0"/>
                <w:color w:val="000000"/>
                <w:sz w:val="17"/>
              </w:rPr>
              <w:t>[consumer/​coefficients.csv/​row 9 col 6]</w:t>
            </w:r>
          </w:p>
        </w:tc>
      </w:tr>
      <w:tr>
        <w:trPr>
          <w:cantSplit/>
        </w:trPr>
        <w:tc>
          <w:tcPr>
            <w:tcW w:type="dxa" w:w="295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January indicator</w:t>
            </w:r>
          </w:p>
        </w:tc>
        <w:tc>
          <w:tcPr>
            <w:tcW w:type="dxa" w:w="122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-11.15312</w:t>
            </w:r>
          </w:p>
        </w:tc>
        <w:tc>
          <w:tcPr>
            <w:tcW w:type="dxa" w:w="122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2.87904</w:t>
            </w:r>
          </w:p>
        </w:tc>
        <w:tc>
          <w:tcPr>
            <w:tcW w:type="dxa" w:w="216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 xml:space="preserve">-3.874 </w:t>
            </w:r>
            <w:r>
              <w:rPr>
                <w:rFonts w:ascii="Times New Roman" w:hAnsi="Times New Roman"/>
                <w:b w:val="0"/>
                <w:color w:val="000000"/>
                <w:sz w:val="17"/>
              </w:rPr>
              <w:t>[consumer/​coefficients.csv/​row 10 col 4]</w:t>
            </w:r>
          </w:p>
        </w:tc>
        <w:tc>
          <w:tcPr>
            <w:tcW w:type="dxa" w:w="216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 xml:space="preserve">&lt;0.001 </w:t>
            </w:r>
            <w:r>
              <w:rPr>
                <w:rFonts w:ascii="Times New Roman" w:hAnsi="Times New Roman"/>
                <w:b w:val="0"/>
                <w:color w:val="000000"/>
                <w:sz w:val="17"/>
              </w:rPr>
              <w:t>[consumer/​coefficients.csv/​row 10 col 6]</w:t>
            </w:r>
          </w:p>
        </w:tc>
      </w:tr>
      <w:tr>
        <w:trPr>
          <w:cantSplit/>
        </w:trPr>
        <w:tc>
          <w:tcPr>
            <w:tcW w:type="dxa" w:w="295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December indicator</w:t>
            </w:r>
          </w:p>
        </w:tc>
        <w:tc>
          <w:tcPr>
            <w:tcW w:type="dxa" w:w="122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19.65826</w:t>
            </w:r>
          </w:p>
        </w:tc>
        <w:tc>
          <w:tcPr>
            <w:tcW w:type="dxa" w:w="122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2.59864</w:t>
            </w:r>
          </w:p>
        </w:tc>
        <w:tc>
          <w:tcPr>
            <w:tcW w:type="dxa" w:w="216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 xml:space="preserve">7.565 </w:t>
            </w:r>
            <w:r>
              <w:rPr>
                <w:rFonts w:ascii="Times New Roman" w:hAnsi="Times New Roman"/>
                <w:b w:val="0"/>
                <w:color w:val="000000"/>
                <w:sz w:val="17"/>
              </w:rPr>
              <w:t>[consumer/​coefficients.csv/​row 11 col 4]</w:t>
            </w:r>
          </w:p>
        </w:tc>
        <w:tc>
          <w:tcPr>
            <w:tcW w:type="dxa" w:w="216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 xml:space="preserve">&lt;0.001 </w:t>
            </w:r>
            <w:r>
              <w:rPr>
                <w:rFonts w:ascii="Times New Roman" w:hAnsi="Times New Roman"/>
                <w:b w:val="0"/>
                <w:color w:val="000000"/>
                <w:sz w:val="17"/>
              </w:rPr>
              <w:t>[consumer/​coefficients.csv/​row 11 col 6]</w:t>
            </w:r>
          </w:p>
        </w:tc>
      </w:tr>
      <w:tr>
        <w:trPr>
          <w:cantSplit/>
        </w:trPr>
        <w:tc>
          <w:tcPr>
            <w:tcW w:type="dxa" w:w="295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Retail Sales MoM growth, MA3</w:t>
            </w:r>
          </w:p>
        </w:tc>
        <w:tc>
          <w:tcPr>
            <w:tcW w:type="dxa" w:w="122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2.57529</w:t>
            </w:r>
          </w:p>
        </w:tc>
        <w:tc>
          <w:tcPr>
            <w:tcW w:type="dxa" w:w="122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0.63128</w:t>
            </w:r>
          </w:p>
        </w:tc>
        <w:tc>
          <w:tcPr>
            <w:tcW w:type="dxa" w:w="216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 xml:space="preserve">4.079 </w:t>
            </w:r>
            <w:r>
              <w:rPr>
                <w:rFonts w:ascii="Times New Roman" w:hAnsi="Times New Roman"/>
                <w:b w:val="0"/>
                <w:color w:val="000000"/>
                <w:sz w:val="17"/>
              </w:rPr>
              <w:t>[consumer/​coefficients.csv/​row 12 col 4]</w:t>
            </w:r>
          </w:p>
        </w:tc>
        <w:tc>
          <w:tcPr>
            <w:tcW w:type="dxa" w:w="216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 xml:space="preserve">&lt;0.001 </w:t>
            </w:r>
            <w:r>
              <w:rPr>
                <w:rFonts w:ascii="Times New Roman" w:hAnsi="Times New Roman"/>
                <w:b w:val="0"/>
                <w:color w:val="000000"/>
                <w:sz w:val="17"/>
              </w:rPr>
              <w:t>[consumer/​coefficients.csv/​row 12 col 6]</w:t>
            </w:r>
          </w:p>
        </w:tc>
      </w:tr>
    </w:tbl>
    <w:p>
      <w:pPr>
        <w:widowControl/>
        <w:spacing w:before="60" w:after="120"/>
      </w:pPr>
      <w:r>
        <w:rPr>
          <w:rFonts w:ascii="Times New Roman" w:hAnsi="Times New Roman"/>
          <w:color w:val="000000"/>
          <w:sz w:val="18"/>
        </w:rPr>
        <w:t>Data source: consumer/​coefficients.csv.</w:t>
      </w:r>
    </w:p>
    <w:p>
      <w:pPr>
        <w:pStyle w:val="Heading2"/>
        <w:keepNext/>
      </w:pPr>
      <w:r>
        <w:t>3.8 Consumer Production Refit</w:t>
      </w:r>
    </w:p>
    <w:p>
      <w:pPr>
        <w:widowControl/>
      </w:pPr>
      <w:r>
        <w:rPr>
          <w:rFonts w:ascii="Times New Roman" w:hAnsi="Times New Roman" w:eastAsia="Noto Sans CJK SC"/>
          <w:color w:val="000000"/>
          <w:sz w:val="22"/>
          <w:lang w:val="en-US" w:eastAsia="zh-CN"/>
        </w:rPr>
        <w:t xml:space="preserve">The selected structure is retained and re-estimated through December 2025. This refit uses 177 effective observations and produces adjusted R-squared of 0.6091 </w:t>
      </w:r>
      <w:r>
        <w:rPr>
          <w:rFonts w:ascii="Times New Roman" w:hAnsi="Times New Roman" w:eastAsia="Noto Sans CJK SC"/>
          <w:color w:val="000000"/>
          <w:sz w:val="17"/>
          <w:lang w:val="en-US" w:eastAsia="zh-CN"/>
        </w:rPr>
        <w:t>[consumer/​model_​diagnostics.csv/​row 4 col 6]</w:t>
      </w:r>
      <w:r>
        <w:rPr>
          <w:rFonts w:ascii="Times New Roman" w:hAnsi="Times New Roman" w:eastAsia="Noto Sans CJK SC"/>
          <w:color w:val="000000"/>
          <w:sz w:val="22"/>
          <w:lang w:val="en-US" w:eastAsia="zh-CN"/>
        </w:rPr>
        <w:t>. Retail Sales’ coefficient is 2.50685, compared with 2.57529 in development.</w:t>
      </w:r>
    </w:p>
    <w:p>
      <w:pPr>
        <w:pStyle w:val="Caption"/>
        <w:keepNext/>
        <w:widowControl/>
        <w:spacing w:before="180" w:after="100"/>
      </w:pPr>
      <w:r>
        <w:rPr>
          <w:rFonts w:ascii="Times New Roman" w:hAnsi="Times New Roman" w:eastAsia="Noto Sans CJK SC"/>
          <w:color w:val="000000"/>
          <w:sz w:val="21"/>
          <w:lang w:val="en-US" w:eastAsia="zh-CN"/>
        </w:rPr>
        <w:t>Table 3.6 Consumer production coefficients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0" w:type="dxa"/>
          <w:right w:w="80" w:type="dxa"/>
        </w:tblCellMar>
      </w:tblPr>
      <w:tblGrid>
        <w:gridCol w:w="2952"/>
        <w:gridCol w:w="1224"/>
        <w:gridCol w:w="1224"/>
        <w:gridCol w:w="2160"/>
        <w:gridCol w:w="2160"/>
      </w:tblGrid>
      <w:tr>
        <w:trPr>
          <w:cantSplit/>
          <w:tblHeader/>
        </w:trPr>
        <w:tc>
          <w:tcPr>
            <w:tcW w:type="dxa" w:w="295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E6ECF0"/>
          </w:tcPr>
          <w:p>
            <w:pPr>
              <w:keepNext/>
              <w:widowControl/>
              <w:spacing w:after="40" w:line="247" w:lineRule="auto" w:before="0"/>
              <w:jc w:val="left"/>
            </w:pPr>
            <w:r>
              <w:rPr>
                <w:rFonts w:ascii="Times New Roman" w:hAnsi="Times New Roman"/>
                <w:b/>
                <w:color w:val="000000"/>
                <w:sz w:val="19"/>
              </w:rPr>
              <w:t>Term</w:t>
            </w:r>
          </w:p>
        </w:tc>
        <w:tc>
          <w:tcPr>
            <w:tcW w:type="dxa" w:w="122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E6ECF0"/>
          </w:tcPr>
          <w:p>
            <w:pPr>
              <w:keepNext/>
              <w:widowControl/>
              <w:spacing w:after="40" w:line="247" w:lineRule="auto" w:before="0"/>
              <w:jc w:val="center"/>
            </w:pPr>
            <w:r>
              <w:rPr>
                <w:rFonts w:ascii="Times New Roman" w:hAnsi="Times New Roman"/>
                <w:b/>
                <w:color w:val="000000"/>
                <w:sz w:val="19"/>
              </w:rPr>
              <w:t>Estimate</w:t>
            </w:r>
          </w:p>
        </w:tc>
        <w:tc>
          <w:tcPr>
            <w:tcW w:type="dxa" w:w="122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E6ECF0"/>
          </w:tcPr>
          <w:p>
            <w:pPr>
              <w:keepNext/>
              <w:widowControl/>
              <w:spacing w:after="40" w:line="247" w:lineRule="auto" w:before="0"/>
              <w:jc w:val="center"/>
            </w:pPr>
            <w:r>
              <w:rPr>
                <w:rFonts w:ascii="Times New Roman" w:hAnsi="Times New Roman"/>
                <w:b/>
                <w:color w:val="000000"/>
                <w:sz w:val="19"/>
              </w:rPr>
              <w:t>Std error</w:t>
            </w:r>
          </w:p>
        </w:tc>
        <w:tc>
          <w:tcPr>
            <w:tcW w:type="dxa" w:w="216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E6ECF0"/>
          </w:tcPr>
          <w:p>
            <w:pPr>
              <w:keepNext/>
              <w:widowControl/>
              <w:spacing w:after="40" w:line="247" w:lineRule="auto" w:before="0"/>
              <w:jc w:val="center"/>
            </w:pPr>
            <w:r>
              <w:rPr>
                <w:rFonts w:ascii="Times New Roman" w:hAnsi="Times New Roman"/>
                <w:b/>
                <w:color w:val="000000"/>
                <w:sz w:val="19"/>
              </w:rPr>
              <w:t>t statistic</w:t>
            </w:r>
          </w:p>
        </w:tc>
        <w:tc>
          <w:tcPr>
            <w:tcW w:type="dxa" w:w="216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E6ECF0"/>
          </w:tcPr>
          <w:p>
            <w:pPr>
              <w:keepNext/>
              <w:widowControl/>
              <w:spacing w:after="40" w:line="247" w:lineRule="auto" w:before="0"/>
              <w:jc w:val="center"/>
            </w:pPr>
            <w:r>
              <w:rPr>
                <w:rFonts w:ascii="Times New Roman" w:hAnsi="Times New Roman"/>
                <w:b/>
                <w:color w:val="000000"/>
                <w:sz w:val="19"/>
              </w:rPr>
              <w:t>p value</w:t>
            </w:r>
          </w:p>
        </w:tc>
      </w:tr>
      <w:tr>
        <w:trPr>
          <w:cantSplit/>
        </w:trPr>
        <w:tc>
          <w:tcPr>
            <w:tcW w:type="dxa" w:w="295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Intercept</w:t>
            </w:r>
          </w:p>
        </w:tc>
        <w:tc>
          <w:tcPr>
            <w:tcW w:type="dxa" w:w="122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-1.72062</w:t>
            </w:r>
          </w:p>
        </w:tc>
        <w:tc>
          <w:tcPr>
            <w:tcW w:type="dxa" w:w="122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0.73073</w:t>
            </w:r>
          </w:p>
        </w:tc>
        <w:tc>
          <w:tcPr>
            <w:tcW w:type="dxa" w:w="216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 xml:space="preserve">-2.355 </w:t>
            </w:r>
            <w:r>
              <w:rPr>
                <w:rFonts w:ascii="Times New Roman" w:hAnsi="Times New Roman"/>
                <w:b w:val="0"/>
                <w:color w:val="000000"/>
                <w:sz w:val="17"/>
              </w:rPr>
              <w:t>[consumer/​coefficients.csv/​row 13 col 4]</w:t>
            </w:r>
          </w:p>
        </w:tc>
        <w:tc>
          <w:tcPr>
            <w:tcW w:type="dxa" w:w="216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 xml:space="preserve">0.020 </w:t>
            </w:r>
            <w:r>
              <w:rPr>
                <w:rFonts w:ascii="Times New Roman" w:hAnsi="Times New Roman"/>
                <w:b w:val="0"/>
                <w:color w:val="000000"/>
                <w:sz w:val="17"/>
              </w:rPr>
              <w:t>[consumer/​coefficients.csv/​row 13 col 6]</w:t>
            </w:r>
          </w:p>
        </w:tc>
      </w:tr>
      <w:tr>
        <w:trPr>
          <w:cantSplit/>
        </w:trPr>
        <w:tc>
          <w:tcPr>
            <w:tcW w:type="dxa" w:w="295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Fee log growth, lag 1</w:t>
            </w:r>
          </w:p>
        </w:tc>
        <w:tc>
          <w:tcPr>
            <w:tcW w:type="dxa" w:w="122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-0.60242</w:t>
            </w:r>
          </w:p>
        </w:tc>
        <w:tc>
          <w:tcPr>
            <w:tcW w:type="dxa" w:w="122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0.06023</w:t>
            </w:r>
          </w:p>
        </w:tc>
        <w:tc>
          <w:tcPr>
            <w:tcW w:type="dxa" w:w="216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 xml:space="preserve">-10.002 </w:t>
            </w:r>
            <w:r>
              <w:rPr>
                <w:rFonts w:ascii="Times New Roman" w:hAnsi="Times New Roman"/>
                <w:b w:val="0"/>
                <w:color w:val="000000"/>
                <w:sz w:val="17"/>
              </w:rPr>
              <w:t>[consumer/​coefficients.csv/​row 14 col 4]</w:t>
            </w:r>
          </w:p>
        </w:tc>
        <w:tc>
          <w:tcPr>
            <w:tcW w:type="dxa" w:w="216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 xml:space="preserve">&lt;0.001 </w:t>
            </w:r>
            <w:r>
              <w:rPr>
                <w:rFonts w:ascii="Times New Roman" w:hAnsi="Times New Roman"/>
                <w:b w:val="0"/>
                <w:color w:val="000000"/>
                <w:sz w:val="17"/>
              </w:rPr>
              <w:t>[consumer/​coefficients.csv/​row 14 col 6]</w:t>
            </w:r>
          </w:p>
        </w:tc>
      </w:tr>
      <w:tr>
        <w:trPr>
          <w:cantSplit/>
        </w:trPr>
        <w:tc>
          <w:tcPr>
            <w:tcW w:type="dxa" w:w="295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Fee log growth, lag 2</w:t>
            </w:r>
          </w:p>
        </w:tc>
        <w:tc>
          <w:tcPr>
            <w:tcW w:type="dxa" w:w="122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-0.33981</w:t>
            </w:r>
          </w:p>
        </w:tc>
        <w:tc>
          <w:tcPr>
            <w:tcW w:type="dxa" w:w="122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0.05610</w:t>
            </w:r>
          </w:p>
        </w:tc>
        <w:tc>
          <w:tcPr>
            <w:tcW w:type="dxa" w:w="216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 xml:space="preserve">-6.057 </w:t>
            </w:r>
            <w:r>
              <w:rPr>
                <w:rFonts w:ascii="Times New Roman" w:hAnsi="Times New Roman"/>
                <w:b w:val="0"/>
                <w:color w:val="000000"/>
                <w:sz w:val="17"/>
              </w:rPr>
              <w:t>[consumer/​coefficients.csv/​row 15 col 4]</w:t>
            </w:r>
          </w:p>
        </w:tc>
        <w:tc>
          <w:tcPr>
            <w:tcW w:type="dxa" w:w="216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 xml:space="preserve">&lt;0.001 </w:t>
            </w:r>
            <w:r>
              <w:rPr>
                <w:rFonts w:ascii="Times New Roman" w:hAnsi="Times New Roman"/>
                <w:b w:val="0"/>
                <w:color w:val="000000"/>
                <w:sz w:val="17"/>
              </w:rPr>
              <w:t>[consumer/​coefficients.csv/​row 15 col 6]</w:t>
            </w:r>
          </w:p>
        </w:tc>
      </w:tr>
      <w:tr>
        <w:trPr>
          <w:cantSplit/>
        </w:trPr>
        <w:tc>
          <w:tcPr>
            <w:tcW w:type="dxa" w:w="295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January indicator</w:t>
            </w:r>
          </w:p>
        </w:tc>
        <w:tc>
          <w:tcPr>
            <w:tcW w:type="dxa" w:w="122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-11.86259</w:t>
            </w:r>
          </w:p>
        </w:tc>
        <w:tc>
          <w:tcPr>
            <w:tcW w:type="dxa" w:w="122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2.53369</w:t>
            </w:r>
          </w:p>
        </w:tc>
        <w:tc>
          <w:tcPr>
            <w:tcW w:type="dxa" w:w="216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 xml:space="preserve">-4.682 </w:t>
            </w:r>
            <w:r>
              <w:rPr>
                <w:rFonts w:ascii="Times New Roman" w:hAnsi="Times New Roman"/>
                <w:b w:val="0"/>
                <w:color w:val="000000"/>
                <w:sz w:val="17"/>
              </w:rPr>
              <w:t>[consumer/​coefficients.csv/​row 16 col 4]</w:t>
            </w:r>
          </w:p>
        </w:tc>
        <w:tc>
          <w:tcPr>
            <w:tcW w:type="dxa" w:w="216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 xml:space="preserve">&lt;0.001 </w:t>
            </w:r>
            <w:r>
              <w:rPr>
                <w:rFonts w:ascii="Times New Roman" w:hAnsi="Times New Roman"/>
                <w:b w:val="0"/>
                <w:color w:val="000000"/>
                <w:sz w:val="17"/>
              </w:rPr>
              <w:t>[consumer/​coefficients.csv/​row 16 col 6]</w:t>
            </w:r>
          </w:p>
        </w:tc>
      </w:tr>
      <w:tr>
        <w:trPr>
          <w:cantSplit/>
        </w:trPr>
        <w:tc>
          <w:tcPr>
            <w:tcW w:type="dxa" w:w="295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December indicator</w:t>
            </w:r>
          </w:p>
        </w:tc>
        <w:tc>
          <w:tcPr>
            <w:tcW w:type="dxa" w:w="122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18.72925</w:t>
            </w:r>
          </w:p>
        </w:tc>
        <w:tc>
          <w:tcPr>
            <w:tcW w:type="dxa" w:w="122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2.24148</w:t>
            </w:r>
          </w:p>
        </w:tc>
        <w:tc>
          <w:tcPr>
            <w:tcW w:type="dxa" w:w="216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 xml:space="preserve">8.356 </w:t>
            </w:r>
            <w:r>
              <w:rPr>
                <w:rFonts w:ascii="Times New Roman" w:hAnsi="Times New Roman"/>
                <w:b w:val="0"/>
                <w:color w:val="000000"/>
                <w:sz w:val="17"/>
              </w:rPr>
              <w:t>[consumer/​coefficients.csv/​row 17 col 4]</w:t>
            </w:r>
          </w:p>
        </w:tc>
        <w:tc>
          <w:tcPr>
            <w:tcW w:type="dxa" w:w="216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 xml:space="preserve">&lt;0.001 </w:t>
            </w:r>
            <w:r>
              <w:rPr>
                <w:rFonts w:ascii="Times New Roman" w:hAnsi="Times New Roman"/>
                <w:b w:val="0"/>
                <w:color w:val="000000"/>
                <w:sz w:val="17"/>
              </w:rPr>
              <w:t>[consumer/​coefficients.csv/​row 17 col 6]</w:t>
            </w:r>
          </w:p>
        </w:tc>
      </w:tr>
      <w:tr>
        <w:trPr>
          <w:cantSplit/>
        </w:trPr>
        <w:tc>
          <w:tcPr>
            <w:tcW w:type="dxa" w:w="295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Retail Sales MoM growth, MA3</w:t>
            </w:r>
          </w:p>
        </w:tc>
        <w:tc>
          <w:tcPr>
            <w:tcW w:type="dxa" w:w="122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2.50685</w:t>
            </w:r>
          </w:p>
        </w:tc>
        <w:tc>
          <w:tcPr>
            <w:tcW w:type="dxa" w:w="122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0.60023</w:t>
            </w:r>
          </w:p>
        </w:tc>
        <w:tc>
          <w:tcPr>
            <w:tcW w:type="dxa" w:w="216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 xml:space="preserve">4.177 </w:t>
            </w:r>
            <w:r>
              <w:rPr>
                <w:rFonts w:ascii="Times New Roman" w:hAnsi="Times New Roman"/>
                <w:b w:val="0"/>
                <w:color w:val="000000"/>
                <w:sz w:val="17"/>
              </w:rPr>
              <w:t>[consumer/​coefficients.csv/​row 18 col 4]</w:t>
            </w:r>
          </w:p>
        </w:tc>
        <w:tc>
          <w:tcPr>
            <w:tcW w:type="dxa" w:w="216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 xml:space="preserve">&lt;0.001 </w:t>
            </w:r>
            <w:r>
              <w:rPr>
                <w:rFonts w:ascii="Times New Roman" w:hAnsi="Times New Roman"/>
                <w:b w:val="0"/>
                <w:color w:val="000000"/>
                <w:sz w:val="17"/>
              </w:rPr>
              <w:t>[consumer/​coefficients.csv/​row 18 col 6]</w:t>
            </w:r>
          </w:p>
        </w:tc>
      </w:tr>
    </w:tbl>
    <w:p>
      <w:pPr>
        <w:widowControl/>
        <w:spacing w:before="60" w:after="120"/>
      </w:pPr>
      <w:r>
        <w:rPr>
          <w:rFonts w:ascii="Times New Roman" w:hAnsi="Times New Roman"/>
          <w:color w:val="000000"/>
          <w:sz w:val="18"/>
        </w:rPr>
        <w:t>Data source: consumer/​coefficients.csv.</w:t>
      </w:r>
    </w:p>
    <w:p>
      <w:pPr>
        <w:pStyle w:val="Heading2"/>
        <w:keepNext/>
      </w:pPr>
      <w:r>
        <w:t>3.9 Debit Regression Screening</w:t>
      </w:r>
    </w:p>
    <w:p>
      <w:pPr>
        <w:widowControl/>
      </w:pPr>
      <w:r>
        <w:rPr>
          <w:rFonts w:ascii="Times New Roman" w:hAnsi="Times New Roman"/>
          <w:color w:val="000000"/>
        </w:rPr>
        <w:t>The Level and MoM routes consider own lags 1–12 and macro lags 0–12. The YoY route is a contemporaneous transformed-macro screen and does not estimate an ECM afterward. Quarterly QoQ uses own lags 1–4 and macro lags 0–4. Each route starts with an intercept-only specification on its common complete-case sample. Proposed first additions require Student-t p &lt; 0.05, DW from 1.5 to 2.5 inclusive, JB p &gt; 0.05 and maximum nonconstant VIF &lt; 10. No forced term or joint first-step addition is used.</w:t>
      </w:r>
    </w:p>
    <w:p>
      <w:pPr>
        <w:keepNext/>
        <w:keepLines/>
        <w:pageBreakBefore w:val="0"/>
        <w:spacing w:after="140"/>
      </w:pPr>
      <w:r>
        <w:rPr>
          <w:rFonts w:ascii="Times New Roman" w:hAnsi="Times New Roman" w:eastAsia="Noto Sans CJK SC"/>
          <w:color w:val="000000"/>
          <w:sz w:val="22"/>
          <w:lang w:val="en-US" w:eastAsia="zh-CN"/>
        </w:rPr>
        <w:t>The screening table reports the sample size, candidate count and combined acceptance outcome for each Debit regression route. No route retained a specification satisfying all required gates, supporting the documented move to historical calibration.</w:t>
      </w:r>
    </w:p>
    <w:p>
      <w:pPr>
        <w:pStyle w:val="Caption"/>
        <w:keepNext/>
        <w:widowControl/>
        <w:spacing w:before="180" w:after="100"/>
      </w:pPr>
      <w:r>
        <w:rPr>
          <w:rFonts w:ascii="Times New Roman" w:hAnsi="Times New Roman" w:eastAsia="Noto Sans CJK SC"/>
          <w:color w:val="000000"/>
          <w:sz w:val="21"/>
          <w:lang w:val="en-US" w:eastAsia="zh-CN"/>
        </w:rPr>
        <w:t>Table 3.7 Debit candidate screening outcome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0" w:type="dxa"/>
          <w:right w:w="80" w:type="dxa"/>
        </w:tblCellMar>
      </w:tblPr>
      <w:tblGrid>
        <w:gridCol w:w="3456"/>
        <w:gridCol w:w="1440"/>
        <w:gridCol w:w="1440"/>
        <w:gridCol w:w="1800"/>
        <w:gridCol w:w="1800"/>
      </w:tblGrid>
      <w:tr>
        <w:trPr>
          <w:cantSplit/>
          <w:tblHeader/>
        </w:trPr>
        <w:tc>
          <w:tcPr>
            <w:tcW w:type="dxa" w:w="34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E6ECF0"/>
          </w:tcPr>
          <w:p>
            <w:pPr>
              <w:keepNext/>
              <w:widowControl/>
              <w:spacing w:after="40" w:line="247" w:lineRule="auto" w:before="0"/>
              <w:jc w:val="left"/>
            </w:pPr>
            <w:r>
              <w:rPr>
                <w:rFonts w:ascii="Times New Roman" w:hAnsi="Times New Roman"/>
                <w:b/>
                <w:color w:val="000000"/>
                <w:sz w:val="19"/>
              </w:rPr>
              <w:t>Approach</w:t>
            </w:r>
          </w:p>
        </w:tc>
        <w:tc>
          <w:tcPr>
            <w:tcW w:type="dxa" w:w="144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E6ECF0"/>
          </w:tcPr>
          <w:p>
            <w:pPr>
              <w:keepNext/>
              <w:widowControl/>
              <w:spacing w:after="40" w:line="247" w:lineRule="auto" w:before="0"/>
              <w:jc w:val="center"/>
            </w:pPr>
            <w:r>
              <w:rPr>
                <w:rFonts w:ascii="Times New Roman" w:hAnsi="Times New Roman"/>
                <w:b/>
                <w:color w:val="000000"/>
                <w:sz w:val="19"/>
              </w:rPr>
              <w:t>Effective n</w:t>
            </w:r>
          </w:p>
        </w:tc>
        <w:tc>
          <w:tcPr>
            <w:tcW w:type="dxa" w:w="144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E6ECF0"/>
          </w:tcPr>
          <w:p>
            <w:pPr>
              <w:keepNext/>
              <w:widowControl/>
              <w:spacing w:after="40" w:line="247" w:lineRule="auto" w:before="0"/>
              <w:jc w:val="center"/>
            </w:pPr>
            <w:r>
              <w:rPr>
                <w:rFonts w:ascii="Times New Roman" w:hAnsi="Times New Roman"/>
                <w:b/>
                <w:color w:val="000000"/>
                <w:sz w:val="19"/>
              </w:rPr>
              <w:t>Candidates</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E6ECF0"/>
          </w:tcPr>
          <w:p>
            <w:pPr>
              <w:keepNext/>
              <w:widowControl/>
              <w:spacing w:after="40" w:line="247" w:lineRule="auto" w:before="0"/>
              <w:jc w:val="center"/>
            </w:pPr>
            <w:r>
              <w:rPr>
                <w:rFonts w:ascii="Times New Roman" w:hAnsi="Times New Roman"/>
                <w:b/>
                <w:color w:val="000000"/>
                <w:sz w:val="19"/>
              </w:rPr>
              <w:t>All gates passed</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E6ECF0"/>
          </w:tcPr>
          <w:p>
            <w:pPr>
              <w:keepNext/>
              <w:widowControl/>
              <w:spacing w:after="40" w:line="247" w:lineRule="auto" w:before="0"/>
              <w:jc w:val="center"/>
            </w:pPr>
            <w:r>
              <w:rPr>
                <w:rFonts w:ascii="Times New Roman" w:hAnsi="Times New Roman"/>
                <w:b/>
                <w:color w:val="000000"/>
                <w:sz w:val="19"/>
              </w:rPr>
              <w:t>Accepted model</w:t>
            </w:r>
          </w:p>
        </w:tc>
      </w:tr>
      <w:tr>
        <w:trPr>
          <w:cantSplit/>
        </w:trPr>
        <w:tc>
          <w:tcPr>
            <w:tcW w:type="dxa" w:w="34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Level</w:t>
            </w:r>
          </w:p>
        </w:tc>
        <w:tc>
          <w:tcPr>
            <w:tcW w:type="dxa" w:w="144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129</w:t>
            </w:r>
          </w:p>
        </w:tc>
        <w:tc>
          <w:tcPr>
            <w:tcW w:type="dxa" w:w="144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194</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0</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No</w:t>
            </w:r>
          </w:p>
        </w:tc>
      </w:tr>
      <w:tr>
        <w:trPr>
          <w:cantSplit/>
        </w:trPr>
        <w:tc>
          <w:tcPr>
            <w:tcW w:type="dxa" w:w="34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YoY_​static_​screen</w:t>
            </w:r>
          </w:p>
        </w:tc>
        <w:tc>
          <w:tcPr>
            <w:tcW w:type="dxa" w:w="144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129</w:t>
            </w:r>
          </w:p>
        </w:tc>
        <w:tc>
          <w:tcPr>
            <w:tcW w:type="dxa" w:w="144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14</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0</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No</w:t>
            </w:r>
          </w:p>
        </w:tc>
      </w:tr>
      <w:tr>
        <w:trPr>
          <w:cantSplit/>
        </w:trPr>
        <w:tc>
          <w:tcPr>
            <w:tcW w:type="dxa" w:w="34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MoM</w:t>
            </w:r>
          </w:p>
        </w:tc>
        <w:tc>
          <w:tcPr>
            <w:tcW w:type="dxa" w:w="144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128</w:t>
            </w:r>
          </w:p>
        </w:tc>
        <w:tc>
          <w:tcPr>
            <w:tcW w:type="dxa" w:w="144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194</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0</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No</w:t>
            </w:r>
          </w:p>
        </w:tc>
      </w:tr>
      <w:tr>
        <w:trPr>
          <w:cantSplit/>
        </w:trPr>
        <w:tc>
          <w:tcPr>
            <w:tcW w:type="dxa" w:w="34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QoQ_​quarterly</w:t>
            </w:r>
          </w:p>
        </w:tc>
        <w:tc>
          <w:tcPr>
            <w:tcW w:type="dxa" w:w="144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42</w:t>
            </w:r>
          </w:p>
        </w:tc>
        <w:tc>
          <w:tcPr>
            <w:tcW w:type="dxa" w:w="144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74</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0</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No</w:t>
            </w:r>
          </w:p>
        </w:tc>
      </w:tr>
    </w:tbl>
    <w:p>
      <w:pPr>
        <w:widowControl/>
        <w:spacing w:before="60" w:after="120"/>
      </w:pPr>
      <w:r>
        <w:rPr>
          <w:rFonts w:ascii="Times New Roman" w:hAnsi="Times New Roman"/>
          <w:color w:val="000000"/>
          <w:sz w:val="18"/>
        </w:rPr>
        <w:t>Data source: debit/​regression_​summary.csv.</w:t>
      </w:r>
    </w:p>
    <w:p>
      <w:pPr>
        <w:pStyle w:val="Heading2"/>
        <w:keepNext/>
      </w:pPr>
      <w:r>
        <w:t>3.10 Debit Scenario Calibration</w:t>
      </w:r>
    </w:p>
    <w:p>
      <w:pPr>
        <w:widowControl/>
      </w:pPr>
      <w:r>
        <w:rPr>
          <w:rFonts w:ascii="Times New Roman" w:hAnsi="Times New Roman" w:eastAsia="Noto Sans CJK SC"/>
          <w:color w:val="000000"/>
          <w:sz w:val="22"/>
          <w:lang w:val="en-US" w:eastAsia="zh-CN"/>
        </w:rPr>
        <w:t>Quarterly actual fees are calculated after the documented revenue adjustments and require three monthly observations. The baseline mean is 4,747.625 $000 per quarter. The post-2015 mean is 4,553.09091 and sample standard deviation is 369.71874, yielding a stress floor of 3,813.65343. The difference from Baseline is 19.67%.</w:t>
      </w:r>
    </w:p>
    <w:p>
      <w:pPr>
        <w:pStyle w:val="Heading2"/>
        <w:keepNext/>
      </w:pPr>
      <w:r>
        <w:rPr>
          <w:rFonts w:ascii="Times New Roman" w:hAnsi="Times New Roman" w:eastAsia="Noto Sans CJK SC"/>
          <w:color w:val="000000"/>
          <w:sz w:val="26"/>
          <w:lang w:val="en-US" w:eastAsia="zh-CN"/>
        </w:rPr>
        <w:t>3.11 Estimation Conclusion</w:t>
      </w:r>
    </w:p>
    <w:p>
      <w:pPr>
        <w:widowControl/>
      </w:pPr>
      <w:r>
        <w:rPr>
          <w:rFonts w:ascii="Times New Roman" w:hAnsi="Times New Roman" w:eastAsia="Noto Sans CJK SC"/>
          <w:color w:val="000000"/>
          <w:sz w:val="22"/>
          <w:lang w:val="en-US" w:eastAsia="zh-CN"/>
        </w:rPr>
        <w:t>The estimation process produced a reproducible Commercial specification, a Consumer structure with separately identified development and production estimates, and a documented rejection outcome for each tested Debit regression route. The selected forecasting framework is parsimonious relative to the candidate sets and retains the calculations needed for independent reproduction.</w:t>
      </w:r>
    </w:p>
    <w:p>
      <w:pPr>
        <w:widowControl/>
      </w:pPr>
      <w:r>
        <w:rPr>
          <w:rFonts w:ascii="Times New Roman" w:hAnsi="Times New Roman" w:eastAsia="Noto Sans CJK SC"/>
          <w:color w:val="000000"/>
          <w:sz w:val="22"/>
          <w:lang w:val="en-US" w:eastAsia="zh-CN"/>
        </w:rPr>
        <w:t>The estimation results provide the basis for the testing framework in Section 6. That framework evaluates in-sample fit, residual diagnostics, coefficient stability, OOT accuracy and scenario response. Together, estimation and testing connect the selected specification to the model's intended forecasting use.</w:t>
      </w:r>
    </w:p>
    <w:p>
      <w:pPr>
        <w:pStyle w:val="Heading1"/>
        <w:keepNext/>
        <w:pageBreakBefore/>
        <w:spacing w:after="140"/>
      </w:pPr>
      <w:r>
        <w:rPr>
          <w:rFonts w:ascii="Times New Roman" w:hAnsi="Times New Roman" w:eastAsia="Noto Sans CJK SC"/>
          <w:color w:val="000000"/>
          <w:sz w:val="32"/>
          <w:lang w:val="en-US" w:eastAsia="zh-CN"/>
        </w:rPr>
        <w:t>4. Development Data</w:t>
      </w:r>
    </w:p>
    <w:p>
      <w:pPr>
        <w:pStyle w:val="Heading2"/>
        <w:keepNext/>
        <w:pageBreakBefore w:val="0"/>
        <w:spacing w:after="140"/>
      </w:pPr>
      <w:r>
        <w:rPr>
          <w:rFonts w:ascii="Times New Roman" w:hAnsi="Times New Roman" w:eastAsia="Noto Sans CJK SC"/>
          <w:color w:val="000000"/>
          <w:sz w:val="26"/>
          <w:lang w:val="en-US" w:eastAsia="zh-CN"/>
        </w:rPr>
        <w:t>4.1 Commercial Card and Small Business Model Data</w:t>
      </w:r>
    </w:p>
    <w:p>
      <w:pPr>
        <w:pStyle w:val="Heading3"/>
        <w:keepNext/>
        <w:pageBreakBefore w:val="0"/>
        <w:spacing w:after="140"/>
      </w:pPr>
      <w:r>
        <w:rPr>
          <w:rFonts w:ascii="Times New Roman" w:hAnsi="Times New Roman" w:eastAsia="Noto Sans CJK SC"/>
          <w:color w:val="000000"/>
          <w:sz w:val="22"/>
          <w:lang w:val="en-US" w:eastAsia="zh-CN"/>
        </w:rPr>
        <w:t>4.1.1 Purpose and Development Sample</w:t>
      </w:r>
    </w:p>
    <w:p>
      <w:pPr>
        <w:keepNext w:val="0"/>
        <w:pageBreakBefore w:val="0"/>
        <w:spacing w:after="140"/>
      </w:pPr>
      <w:r>
        <w:rPr>
          <w:rFonts w:ascii="Times New Roman" w:hAnsi="Times New Roman" w:eastAsia="Noto Sans CJK SC"/>
          <w:color w:val="000000"/>
          <w:sz w:val="22"/>
          <w:lang w:val="en-US" w:eastAsia="zh-CN"/>
        </w:rPr>
        <w:t>The development data provide the foundation for estimating, testing and forecasting Commercial Card and Small Business fee revenue. Data preparation focuses on relevance, completeness, consistent definitions and traceability from source observations to model inputs.</w:t>
      </w:r>
    </w:p>
    <w:p>
      <w:pPr>
        <w:keepNext w:val="0"/>
        <w:pageBreakBefore w:val="0"/>
        <w:spacing w:after="140"/>
      </w:pPr>
      <w:r>
        <w:rPr>
          <w:rFonts w:ascii="Times New Roman" w:hAnsi="Times New Roman" w:eastAsia="Noto Sans CJK SC"/>
          <w:color w:val="000000"/>
          <w:sz w:val="22"/>
          <w:lang w:val="en-US" w:eastAsia="zh-CN"/>
        </w:rPr>
        <w:t>Monthly fee history spans January 2011 through December 2025. Long-run and short-run coefficient development uses observations through September 2023; the October 2023–December 2025 period supports OOT evaluation and EC trend calibration. Monthly frequency preserves the annual-growth transformations and monthly lags used in the selected equations.</w:t>
      </w:r>
    </w:p>
    <w:p>
      <w:pPr>
        <w:pStyle w:val="Heading3"/>
        <w:keepNext/>
        <w:pageBreakBefore w:val="0"/>
        <w:spacing w:after="140"/>
      </w:pPr>
      <w:r>
        <w:rPr>
          <w:rFonts w:ascii="Times New Roman" w:hAnsi="Times New Roman" w:eastAsia="Noto Sans CJK SC"/>
          <w:color w:val="000000"/>
          <w:sz w:val="22"/>
          <w:lang w:val="en-US" w:eastAsia="zh-CN"/>
        </w:rPr>
        <w:t>4.1.2 Internal Data Sources</w:t>
      </w:r>
    </w:p>
    <w:p>
      <w:pPr>
        <w:keepNext w:val="0"/>
        <w:pageBreakBefore w:val="0"/>
        <w:spacing w:after="140"/>
      </w:pPr>
      <w:r>
        <w:rPr>
          <w:rFonts w:ascii="Times New Roman" w:hAnsi="Times New Roman" w:eastAsia="Noto Sans CJK SC"/>
          <w:color w:val="000000"/>
          <w:sz w:val="22"/>
          <w:lang w:val="en-US" w:eastAsia="zh-CN"/>
        </w:rPr>
        <w:t>Internal data consist of monthly fee revenue in fee_​history.csv. All fee-history amounts are in $000, representing thousands of US dollars, and are used without rescaling. Calculated growth rates and other model features are kept separate from the source fields.</w:t>
      </w:r>
    </w:p>
    <w:p>
      <w:pPr>
        <w:pStyle w:val="Caption"/>
        <w:keepNext/>
        <w:pageBreakBefore w:val="0"/>
        <w:spacing w:after="140"/>
      </w:pPr>
      <w:r>
        <w:rPr>
          <w:rFonts w:ascii="Times New Roman" w:hAnsi="Times New Roman" w:eastAsia="Noto Sans CJK SC"/>
          <w:color w:val="000000"/>
          <w:sz w:val="21"/>
          <w:lang w:val="en-US" w:eastAsia="zh-CN"/>
        </w:rPr>
        <w:t>Table 4.1 Commercial Card and Small Business Internal Data Inventory</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2448"/>
        <w:gridCol w:w="2592"/>
        <w:gridCol w:w="3168"/>
      </w:tblGrid>
      <w:tr>
        <w:trPr>
          <w:cantSplit/>
          <w:tblHeader/>
        </w:trPr>
        <w:tc>
          <w:tcPr>
            <w:tcW w:type="dxa" w:w="1728"/>
            <w:vAlign w:val="center"/>
            <w:tcMar>
              <w:top w:w="90" w:type="dxa"/>
              <w:bottom w:w="90" w:type="dxa"/>
              <w:left w:w="90" w:type="dxa"/>
              <w:right w:w="90" w:type="dxa"/>
            </w:tcMar>
            <w:shd w:fill="E7E6E6"/>
          </w:tcPr>
          <w:p>
            <w:pPr>
              <w:spacing w:after="40" w:line="240" w:lineRule="exact"/>
            </w:pPr>
            <w:r>
              <w:rPr>
                <w:rFonts w:ascii="Times New Roman" w:hAnsi="Times New Roman" w:eastAsia="Noto Sans CJK SC"/>
                <w:b/>
                <w:color w:val="000000"/>
                <w:sz w:val="19"/>
                <w:lang w:val="en-US" w:eastAsia="zh-CN"/>
              </w:rPr>
              <w:t>Data Element</w:t>
            </w:r>
          </w:p>
        </w:tc>
        <w:tc>
          <w:tcPr>
            <w:tcW w:type="dxa" w:w="2448"/>
            <w:vAlign w:val="center"/>
            <w:tcMar>
              <w:top w:w="90" w:type="dxa"/>
              <w:bottom w:w="90" w:type="dxa"/>
              <w:left w:w="90" w:type="dxa"/>
              <w:right w:w="90" w:type="dxa"/>
            </w:tcMar>
            <w:shd w:fill="E7E6E6"/>
          </w:tcPr>
          <w:p>
            <w:pPr>
              <w:spacing w:after="40" w:line="240" w:lineRule="exact"/>
            </w:pPr>
            <w:r>
              <w:rPr>
                <w:rFonts w:ascii="Times New Roman" w:hAnsi="Times New Roman" w:eastAsia="Noto Sans CJK SC"/>
                <w:b/>
                <w:color w:val="000000"/>
                <w:sz w:val="19"/>
                <w:lang w:val="en-US" w:eastAsia="zh-CN"/>
              </w:rPr>
              <w:t>Description</w:t>
            </w:r>
          </w:p>
        </w:tc>
        <w:tc>
          <w:tcPr>
            <w:tcW w:type="dxa" w:w="2592"/>
            <w:vAlign w:val="center"/>
            <w:tcMar>
              <w:top w:w="90" w:type="dxa"/>
              <w:bottom w:w="90" w:type="dxa"/>
              <w:left w:w="90" w:type="dxa"/>
              <w:right w:w="90" w:type="dxa"/>
            </w:tcMar>
            <w:shd w:fill="E7E6E6"/>
          </w:tcPr>
          <w:p>
            <w:pPr>
              <w:spacing w:after="40" w:line="240" w:lineRule="exact"/>
            </w:pPr>
            <w:r>
              <w:rPr>
                <w:rFonts w:ascii="Times New Roman" w:hAnsi="Times New Roman" w:eastAsia="Noto Sans CJK SC"/>
                <w:b/>
                <w:color w:val="000000"/>
                <w:sz w:val="19"/>
                <w:lang w:val="en-US" w:eastAsia="zh-CN"/>
              </w:rPr>
              <w:t>Source Dataset</w:t>
            </w:r>
          </w:p>
        </w:tc>
        <w:tc>
          <w:tcPr>
            <w:tcW w:type="dxa" w:w="3168"/>
            <w:vAlign w:val="center"/>
            <w:tcMar>
              <w:top w:w="90" w:type="dxa"/>
              <w:bottom w:w="90" w:type="dxa"/>
              <w:left w:w="90" w:type="dxa"/>
              <w:right w:w="90" w:type="dxa"/>
            </w:tcMar>
            <w:shd w:fill="E7E6E6"/>
          </w:tcPr>
          <w:p>
            <w:pPr>
              <w:spacing w:after="40" w:line="240" w:lineRule="exact"/>
            </w:pPr>
            <w:r>
              <w:rPr>
                <w:rFonts w:ascii="Times New Roman" w:hAnsi="Times New Roman" w:eastAsia="Noto Sans CJK SC"/>
                <w:b/>
                <w:color w:val="000000"/>
                <w:sz w:val="19"/>
                <w:lang w:val="en-US" w:eastAsia="zh-CN"/>
              </w:rPr>
              <w:t>Model Usage</w:t>
            </w:r>
          </w:p>
        </w:tc>
      </w:tr>
      <w:tr>
        <w:trPr>
          <w:cantSplit/>
        </w:trPr>
        <w:tc>
          <w:tcPr>
            <w:tcW w:type="dxa" w:w="1728"/>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date</w:t>
            </w:r>
          </w:p>
        </w:tc>
        <w:tc>
          <w:tcPr>
            <w:tcW w:type="dxa" w:w="2448"/>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Monthly observation date</w:t>
            </w:r>
          </w:p>
        </w:tc>
        <w:tc>
          <w:tcPr>
            <w:tcW w:type="dxa" w:w="2592"/>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commercial/​data/​fee_​history.csv</w:t>
            </w:r>
          </w:p>
        </w:tc>
        <w:tc>
          <w:tcPr>
            <w:tcW w:type="dxa" w:w="3168"/>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Monthly alignment and calendar key</w:t>
            </w:r>
          </w:p>
        </w:tc>
      </w:tr>
      <w:tr>
        <w:trPr>
          <w:cantSplit/>
        </w:trPr>
        <w:tc>
          <w:tcPr>
            <w:tcW w:type="dxa" w:w="1728"/>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Commercial Card</w:t>
            </w:r>
          </w:p>
        </w:tc>
        <w:tc>
          <w:tcPr>
            <w:tcW w:type="dxa" w:w="2448"/>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Monthly Commercial Card fee revenue ($000)</w:t>
            </w:r>
          </w:p>
        </w:tc>
        <w:tc>
          <w:tcPr>
            <w:tcW w:type="dxa" w:w="2592"/>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commercial/​data/​fee_​history.csv</w:t>
            </w:r>
          </w:p>
        </w:tc>
        <w:tc>
          <w:tcPr>
            <w:tcW w:type="dxa" w:w="3168"/>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Source fee series for model preparation</w:t>
            </w:r>
          </w:p>
        </w:tc>
      </w:tr>
      <w:tr>
        <w:trPr>
          <w:cantSplit/>
        </w:trPr>
        <w:tc>
          <w:tcPr>
            <w:tcW w:type="dxa" w:w="1728"/>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Small Business</w:t>
            </w:r>
          </w:p>
        </w:tc>
        <w:tc>
          <w:tcPr>
            <w:tcW w:type="dxa" w:w="2448"/>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Monthly Small Business card fee revenue ($000)</w:t>
            </w:r>
          </w:p>
        </w:tc>
        <w:tc>
          <w:tcPr>
            <w:tcW w:type="dxa" w:w="2592"/>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commercial/​data/​fee_​history.csv</w:t>
            </w:r>
          </w:p>
        </w:tc>
        <w:tc>
          <w:tcPr>
            <w:tcW w:type="dxa" w:w="3168"/>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Source fee series for model preparation</w:t>
            </w:r>
          </w:p>
        </w:tc>
      </w:tr>
    </w:tbl>
    <w:p>
      <w:pPr>
        <w:keepNext w:val="0"/>
        <w:pageBreakBefore w:val="0"/>
        <w:spacing w:after="140" w:line="230" w:lineRule="exact"/>
      </w:pPr>
      <w:r>
        <w:rPr>
          <w:rFonts w:ascii="Times New Roman" w:hAnsi="Times New Roman" w:eastAsia="Noto Sans CJK SC"/>
          <w:color w:val="000000"/>
          <w:sz w:val="17"/>
          <w:lang w:val="en-US" w:eastAsia="zh-CN"/>
          <w:lang w:val="en-US" w:eastAsia="zh-CN"/>
        </w:rPr>
        <w:t>Data sources: commercial/​data/​fee_​history.csv; commercial/​commercial_​card_​model.py.</w:t>
      </w:r>
    </w:p>
    <w:p>
      <w:pPr>
        <w:pStyle w:val="Heading3"/>
        <w:keepNext/>
        <w:pageBreakBefore w:val="0"/>
        <w:spacing w:after="140"/>
      </w:pPr>
      <w:r>
        <w:rPr>
          <w:rFonts w:ascii="Times New Roman" w:hAnsi="Times New Roman" w:eastAsia="Noto Sans CJK SC"/>
          <w:color w:val="000000"/>
          <w:sz w:val="22"/>
          <w:lang w:val="en-US" w:eastAsia="zh-CN"/>
        </w:rPr>
        <w:t>4.1.3 External Data Sources and Appropriateness</w:t>
      </w:r>
    </w:p>
    <w:p>
      <w:pPr>
        <w:keepNext w:val="0"/>
        <w:pageBreakBefore w:val="0"/>
        <w:spacing w:after="140"/>
      </w:pPr>
      <w:r>
        <w:rPr>
          <w:rFonts w:ascii="Times New Roman" w:hAnsi="Times New Roman" w:eastAsia="Noto Sans CJK SC"/>
          <w:color w:val="000000"/>
          <w:sz w:val="22"/>
          <w:lang w:val="en-US" w:eastAsia="zh-CN"/>
        </w:rPr>
        <w:t>Macroeconomic history contains eight price, employment, income, business-activity, profitability and financial-market variables. Table 4.2 inventories every raw macroeconomic input in the Commercial code package, including candidates not retained in the final equations. CPI and Corporate Profits are the selected drivers. Baseline and S4 files supply the selected monthly scenario paths from January 2026 through March 2028. The model uses CPI levels for the long-run reference and lagged Corporate Profits annual growth for short-run fee growth. Derived growth rates and lags are documented separately in the transformation table.</w:t>
      </w:r>
    </w:p>
    <w:p>
      <w:pPr>
        <w:pStyle w:val="Caption"/>
        <w:keepNext/>
        <w:pageBreakBefore w:val="0"/>
        <w:spacing w:after="140"/>
      </w:pPr>
      <w:r>
        <w:rPr>
          <w:rFonts w:ascii="Times New Roman" w:hAnsi="Times New Roman" w:eastAsia="Noto Sans CJK SC"/>
          <w:color w:val="000000"/>
          <w:sz w:val="21"/>
          <w:lang w:val="en-US" w:eastAsia="zh-CN"/>
        </w:rPr>
        <w:t>Table 4.2 Commercial Card and Small Business External Data Inventory</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64"/>
        <w:gridCol w:w="1800"/>
        <w:gridCol w:w="2304"/>
        <w:gridCol w:w="3168"/>
      </w:tblGrid>
      <w:tr>
        <w:trPr>
          <w:cantSplit/>
          <w:tblHeader/>
        </w:trPr>
        <w:tc>
          <w:tcPr>
            <w:tcW w:type="dxa" w:w="2664"/>
            <w:vAlign w:val="center"/>
            <w:tcMar>
              <w:top w:w="80" w:type="dxa"/>
              <w:bottom w:w="80" w:type="dxa"/>
              <w:left w:w="80" w:type="dxa"/>
              <w:right w:w="80" w:type="dxa"/>
            </w:tcMar>
            <w:shd w:fill="E7E6E6"/>
          </w:tcPr>
          <w:p>
            <w:pPr>
              <w:spacing w:after="40" w:line="240" w:lineRule="exact"/>
            </w:pPr>
            <w:r>
              <w:rPr>
                <w:rFonts w:ascii="Times New Roman" w:hAnsi="Times New Roman" w:eastAsia="Noto Sans CJK SC"/>
                <w:b/>
                <w:color w:val="000000"/>
                <w:sz w:val="19"/>
                <w:lang w:val="en-US" w:eastAsia="zh-CN"/>
              </w:rPr>
              <w:t>Data Element</w:t>
            </w:r>
          </w:p>
        </w:tc>
        <w:tc>
          <w:tcPr>
            <w:tcW w:type="dxa" w:w="1800"/>
            <w:vAlign w:val="center"/>
            <w:tcMar>
              <w:top w:w="80" w:type="dxa"/>
              <w:bottom w:w="80" w:type="dxa"/>
              <w:left w:w="80" w:type="dxa"/>
              <w:right w:w="80" w:type="dxa"/>
            </w:tcMar>
            <w:shd w:fill="E7E6E6"/>
          </w:tcPr>
          <w:p>
            <w:pPr>
              <w:spacing w:after="40" w:line="240" w:lineRule="exact"/>
            </w:pPr>
            <w:r>
              <w:rPr>
                <w:rFonts w:ascii="Times New Roman" w:hAnsi="Times New Roman" w:eastAsia="Noto Sans CJK SC"/>
                <w:b/>
                <w:color w:val="000000"/>
                <w:sz w:val="19"/>
                <w:lang w:val="en-US" w:eastAsia="zh-CN"/>
              </w:rPr>
              <w:t>Description</w:t>
            </w:r>
          </w:p>
        </w:tc>
        <w:tc>
          <w:tcPr>
            <w:tcW w:type="dxa" w:w="2304"/>
            <w:vAlign w:val="center"/>
            <w:tcMar>
              <w:top w:w="80" w:type="dxa"/>
              <w:bottom w:w="80" w:type="dxa"/>
              <w:left w:w="80" w:type="dxa"/>
              <w:right w:w="80" w:type="dxa"/>
            </w:tcMar>
            <w:shd w:fill="E7E6E6"/>
          </w:tcPr>
          <w:p>
            <w:pPr>
              <w:spacing w:after="40" w:line="240" w:lineRule="exact"/>
            </w:pPr>
            <w:r>
              <w:rPr>
                <w:rFonts w:ascii="Times New Roman" w:hAnsi="Times New Roman" w:eastAsia="Noto Sans CJK SC"/>
                <w:b/>
                <w:color w:val="000000"/>
                <w:sz w:val="19"/>
                <w:lang w:val="en-US" w:eastAsia="zh-CN"/>
              </w:rPr>
              <w:t>Source Dataset</w:t>
            </w:r>
          </w:p>
        </w:tc>
        <w:tc>
          <w:tcPr>
            <w:tcW w:type="dxa" w:w="3168"/>
            <w:vAlign w:val="center"/>
            <w:tcMar>
              <w:top w:w="80" w:type="dxa"/>
              <w:bottom w:w="80" w:type="dxa"/>
              <w:left w:w="80" w:type="dxa"/>
              <w:right w:w="80" w:type="dxa"/>
            </w:tcMar>
            <w:shd w:fill="E7E6E6"/>
          </w:tcPr>
          <w:p>
            <w:pPr>
              <w:spacing w:after="40" w:line="240" w:lineRule="exact"/>
            </w:pPr>
            <w:r>
              <w:rPr>
                <w:rFonts w:ascii="Times New Roman" w:hAnsi="Times New Roman" w:eastAsia="Noto Sans CJK SC"/>
                <w:b/>
                <w:color w:val="000000"/>
                <w:sz w:val="19"/>
                <w:lang w:val="en-US" w:eastAsia="zh-CN"/>
              </w:rPr>
              <w:t>Model Usage</w:t>
            </w:r>
          </w:p>
        </w:tc>
      </w:tr>
      <w:tr>
        <w:trPr>
          <w:cantSplit/>
        </w:trPr>
        <w:tc>
          <w:tcPr>
            <w:tcW w:type="dxa" w:w="2664"/>
            <w:vAlign w:val="center"/>
            <w:tcMar>
              <w:top w:w="80" w:type="dxa"/>
              <w:bottom w:w="80" w:type="dxa"/>
              <w:left w:w="80" w:type="dxa"/>
              <w:right w:w="80" w:type="dxa"/>
            </w:tcMar>
          </w:tcPr>
          <w:p>
            <w:pPr>
              <w:spacing w:after="40" w:line="240" w:lineRule="exact"/>
            </w:pPr>
            <w:r>
              <w:rPr>
                <w:rFonts w:ascii="Times New Roman" w:hAnsi="Times New Roman" w:eastAsia="Noto Sans CJK SC"/>
                <w:color w:val="000000"/>
                <w:sz w:val="19"/>
                <w:lang w:val="en-US" w:eastAsia="zh-CN"/>
              </w:rPr>
              <w:t>M_​FLBR_​B.IUSA</w:t>
              <w:br/>
              <w:t>unemployment_​rate</w:t>
            </w:r>
          </w:p>
        </w:tc>
        <w:tc>
          <w:tcPr>
            <w:tcW w:type="dxa" w:w="1800"/>
            <w:vAlign w:val="center"/>
            <w:tcMar>
              <w:top w:w="80" w:type="dxa"/>
              <w:bottom w:w="80" w:type="dxa"/>
              <w:left w:w="80" w:type="dxa"/>
              <w:right w:w="80" w:type="dxa"/>
            </w:tcMar>
          </w:tcPr>
          <w:p>
            <w:pPr>
              <w:spacing w:after="40" w:line="240" w:lineRule="exact"/>
            </w:pPr>
            <w:r>
              <w:rPr>
                <w:rFonts w:ascii="Times New Roman" w:hAnsi="Times New Roman" w:eastAsia="Noto Sans CJK SC"/>
                <w:color w:val="000000"/>
                <w:sz w:val="19"/>
                <w:lang w:val="en-US" w:eastAsia="zh-CN"/>
              </w:rPr>
              <w:t>Unemployment rate</w:t>
            </w:r>
          </w:p>
        </w:tc>
        <w:tc>
          <w:tcPr>
            <w:tcW w:type="dxa" w:w="2304"/>
            <w:vAlign w:val="center"/>
            <w:tcMar>
              <w:top w:w="80" w:type="dxa"/>
              <w:bottom w:w="80" w:type="dxa"/>
              <w:left w:w="80" w:type="dxa"/>
              <w:right w:w="80" w:type="dxa"/>
            </w:tcMar>
          </w:tcPr>
          <w:p>
            <w:pPr>
              <w:spacing w:after="40" w:line="240" w:lineRule="exact"/>
            </w:pPr>
            <w:r>
              <w:rPr>
                <w:rFonts w:ascii="Times New Roman" w:hAnsi="Times New Roman" w:eastAsia="Noto Sans CJK SC"/>
                <w:color w:val="000000"/>
                <w:sz w:val="19"/>
                <w:lang w:val="en-US" w:eastAsia="zh-CN"/>
              </w:rPr>
              <w:t>commercial/​data/​macro_​history.csv</w:t>
            </w:r>
          </w:p>
        </w:tc>
        <w:tc>
          <w:tcPr>
            <w:tcW w:type="dxa" w:w="3168"/>
            <w:vAlign w:val="center"/>
            <w:tcMar>
              <w:top w:w="80" w:type="dxa"/>
              <w:bottom w:w="80" w:type="dxa"/>
              <w:left w:w="80" w:type="dxa"/>
              <w:right w:w="80" w:type="dxa"/>
            </w:tcMar>
          </w:tcPr>
          <w:p>
            <w:pPr>
              <w:spacing w:after="40" w:line="240" w:lineRule="exact"/>
            </w:pPr>
            <w:r>
              <w:rPr>
                <w:rFonts w:ascii="Times New Roman" w:hAnsi="Times New Roman" w:eastAsia="Noto Sans CJK SC"/>
                <w:color w:val="000000"/>
                <w:sz w:val="19"/>
                <w:lang w:val="en-US" w:eastAsia="zh-CN"/>
              </w:rPr>
              <w:t>Short-run candidate: annual percentage-point change and monthly lags; not retained.</w:t>
            </w:r>
          </w:p>
        </w:tc>
      </w:tr>
      <w:tr>
        <w:trPr>
          <w:cantSplit/>
        </w:trPr>
        <w:tc>
          <w:tcPr>
            <w:tcW w:type="dxa" w:w="2664"/>
            <w:vAlign w:val="center"/>
            <w:tcMar>
              <w:top w:w="80" w:type="dxa"/>
              <w:bottom w:w="80" w:type="dxa"/>
              <w:left w:w="80" w:type="dxa"/>
              <w:right w:w="80" w:type="dxa"/>
            </w:tcMar>
          </w:tcPr>
          <w:p>
            <w:pPr>
              <w:spacing w:after="40" w:line="240" w:lineRule="exact"/>
            </w:pPr>
            <w:r>
              <w:rPr>
                <w:rFonts w:ascii="Times New Roman" w:hAnsi="Times New Roman" w:eastAsia="Noto Sans CJK SC"/>
                <w:color w:val="000000"/>
                <w:sz w:val="19"/>
                <w:lang w:val="en-US" w:eastAsia="zh-CN"/>
              </w:rPr>
              <w:t>M_​FCPIU_​B.IUSA</w:t>
              <w:br/>
              <w:t>consumer_​price_​index</w:t>
            </w:r>
          </w:p>
        </w:tc>
        <w:tc>
          <w:tcPr>
            <w:tcW w:type="dxa" w:w="1800"/>
            <w:vAlign w:val="center"/>
            <w:tcMar>
              <w:top w:w="80" w:type="dxa"/>
              <w:bottom w:w="80" w:type="dxa"/>
              <w:left w:w="80" w:type="dxa"/>
              <w:right w:w="80" w:type="dxa"/>
            </w:tcMar>
          </w:tcPr>
          <w:p>
            <w:pPr>
              <w:spacing w:after="40" w:line="240" w:lineRule="exact"/>
            </w:pPr>
            <w:r>
              <w:rPr>
                <w:rFonts w:ascii="Times New Roman" w:hAnsi="Times New Roman" w:eastAsia="Noto Sans CJK SC"/>
                <w:color w:val="000000"/>
                <w:sz w:val="19"/>
                <w:lang w:val="en-US" w:eastAsia="zh-CN"/>
              </w:rPr>
              <w:t>Consumer Price Index</w:t>
            </w:r>
          </w:p>
        </w:tc>
        <w:tc>
          <w:tcPr>
            <w:tcW w:type="dxa" w:w="2304"/>
            <w:vAlign w:val="center"/>
            <w:tcMar>
              <w:top w:w="80" w:type="dxa"/>
              <w:bottom w:w="80" w:type="dxa"/>
              <w:left w:w="80" w:type="dxa"/>
              <w:right w:w="80" w:type="dxa"/>
            </w:tcMar>
          </w:tcPr>
          <w:p>
            <w:pPr>
              <w:spacing w:after="40" w:line="240" w:lineRule="exact"/>
            </w:pPr>
            <w:r>
              <w:rPr>
                <w:rFonts w:ascii="Times New Roman" w:hAnsi="Times New Roman" w:eastAsia="Noto Sans CJK SC"/>
                <w:color w:val="000000"/>
                <w:sz w:val="19"/>
                <w:lang w:val="en-US" w:eastAsia="zh-CN"/>
              </w:rPr>
              <w:t>commercial/​data/​macro_​history.csv</w:t>
            </w:r>
          </w:p>
        </w:tc>
        <w:tc>
          <w:tcPr>
            <w:tcW w:type="dxa" w:w="3168"/>
            <w:vAlign w:val="center"/>
            <w:tcMar>
              <w:top w:w="80" w:type="dxa"/>
              <w:bottom w:w="80" w:type="dxa"/>
              <w:left w:w="80" w:type="dxa"/>
              <w:right w:w="80" w:type="dxa"/>
            </w:tcMar>
          </w:tcPr>
          <w:p>
            <w:pPr>
              <w:spacing w:after="40" w:line="240" w:lineRule="exact"/>
            </w:pPr>
            <w:r>
              <w:rPr>
                <w:rFonts w:ascii="Times New Roman" w:hAnsi="Times New Roman" w:eastAsia="Noto Sans CJK SC"/>
                <w:color w:val="000000"/>
                <w:sz w:val="19"/>
                <w:lang w:val="en-US" w:eastAsia="zh-CN"/>
              </w:rPr>
              <w:t>Selected long-run level driver. Annual growth and lags also enter the short-run candidate screen.</w:t>
            </w:r>
          </w:p>
        </w:tc>
      </w:tr>
      <w:tr>
        <w:trPr>
          <w:cantSplit/>
        </w:trPr>
        <w:tc>
          <w:tcPr>
            <w:tcW w:type="dxa" w:w="2664"/>
            <w:vAlign w:val="center"/>
            <w:tcMar>
              <w:top w:w="80" w:type="dxa"/>
              <w:bottom w:w="80" w:type="dxa"/>
              <w:left w:w="80" w:type="dxa"/>
              <w:right w:w="80" w:type="dxa"/>
            </w:tcMar>
          </w:tcPr>
          <w:p>
            <w:pPr>
              <w:spacing w:after="40" w:line="240" w:lineRule="exact"/>
            </w:pPr>
            <w:r>
              <w:rPr>
                <w:rFonts w:ascii="Times New Roman" w:hAnsi="Times New Roman" w:eastAsia="Noto Sans CJK SC"/>
                <w:color w:val="000000"/>
                <w:sz w:val="19"/>
                <w:lang w:val="en-US" w:eastAsia="zh-CN"/>
              </w:rPr>
              <w:t>M_​FYPDPIQ_​B.IUSA</w:t>
              <w:br/>
              <w:t>disposable_​personal_​income</w:t>
            </w:r>
          </w:p>
        </w:tc>
        <w:tc>
          <w:tcPr>
            <w:tcW w:type="dxa" w:w="1800"/>
            <w:vAlign w:val="center"/>
            <w:tcMar>
              <w:top w:w="80" w:type="dxa"/>
              <w:bottom w:w="80" w:type="dxa"/>
              <w:left w:w="80" w:type="dxa"/>
              <w:right w:w="80" w:type="dxa"/>
            </w:tcMar>
          </w:tcPr>
          <w:p>
            <w:pPr>
              <w:spacing w:after="40" w:line="240" w:lineRule="exact"/>
            </w:pPr>
            <w:r>
              <w:rPr>
                <w:rFonts w:ascii="Times New Roman" w:hAnsi="Times New Roman" w:eastAsia="Noto Sans CJK SC"/>
                <w:color w:val="000000"/>
                <w:sz w:val="19"/>
                <w:lang w:val="en-US" w:eastAsia="zh-CN"/>
              </w:rPr>
              <w:t>Disposable personal income</w:t>
            </w:r>
          </w:p>
        </w:tc>
        <w:tc>
          <w:tcPr>
            <w:tcW w:type="dxa" w:w="2304"/>
            <w:vAlign w:val="center"/>
            <w:tcMar>
              <w:top w:w="80" w:type="dxa"/>
              <w:bottom w:w="80" w:type="dxa"/>
              <w:left w:w="80" w:type="dxa"/>
              <w:right w:w="80" w:type="dxa"/>
            </w:tcMar>
          </w:tcPr>
          <w:p>
            <w:pPr>
              <w:spacing w:after="40" w:line="240" w:lineRule="exact"/>
            </w:pPr>
            <w:r>
              <w:rPr>
                <w:rFonts w:ascii="Times New Roman" w:hAnsi="Times New Roman" w:eastAsia="Noto Sans CJK SC"/>
                <w:color w:val="000000"/>
                <w:sz w:val="19"/>
                <w:lang w:val="en-US" w:eastAsia="zh-CN"/>
              </w:rPr>
              <w:t>commercial/​data/​macro_​history.csv</w:t>
            </w:r>
          </w:p>
        </w:tc>
        <w:tc>
          <w:tcPr>
            <w:tcW w:type="dxa" w:w="3168"/>
            <w:vAlign w:val="center"/>
            <w:tcMar>
              <w:top w:w="80" w:type="dxa"/>
              <w:bottom w:w="80" w:type="dxa"/>
              <w:left w:w="80" w:type="dxa"/>
              <w:right w:w="80" w:type="dxa"/>
            </w:tcMar>
          </w:tcPr>
          <w:p>
            <w:pPr>
              <w:spacing w:after="40" w:line="240" w:lineRule="exact"/>
            </w:pPr>
            <w:r>
              <w:rPr>
                <w:rFonts w:ascii="Times New Roman" w:hAnsi="Times New Roman" w:eastAsia="Noto Sans CJK SC"/>
                <w:color w:val="000000"/>
                <w:sz w:val="19"/>
                <w:lang w:val="en-US" w:eastAsia="zh-CN"/>
              </w:rPr>
              <w:t>Long-run level and short-run annual-growth candidate; not retained.</w:t>
            </w:r>
          </w:p>
        </w:tc>
      </w:tr>
      <w:tr>
        <w:trPr>
          <w:cantSplit/>
        </w:trPr>
        <w:tc>
          <w:tcPr>
            <w:tcW w:type="dxa" w:w="2664"/>
            <w:vAlign w:val="center"/>
            <w:tcMar>
              <w:top w:w="80" w:type="dxa"/>
              <w:bottom w:w="80" w:type="dxa"/>
              <w:left w:w="80" w:type="dxa"/>
              <w:right w:w="80" w:type="dxa"/>
            </w:tcMar>
          </w:tcPr>
          <w:p>
            <w:pPr>
              <w:spacing w:after="40" w:line="240" w:lineRule="exact"/>
            </w:pPr>
            <w:r>
              <w:rPr>
                <w:rFonts w:ascii="Times New Roman" w:hAnsi="Times New Roman" w:eastAsia="Noto Sans CJK SC"/>
                <w:color w:val="000000"/>
                <w:sz w:val="19"/>
                <w:lang w:val="en-US" w:eastAsia="zh-CN"/>
              </w:rPr>
              <w:t>M_​FSBINQ_​B.IUSA</w:t>
              <w:br/>
              <w:t>small_​business_​optimism</w:t>
            </w:r>
          </w:p>
        </w:tc>
        <w:tc>
          <w:tcPr>
            <w:tcW w:type="dxa" w:w="1800"/>
            <w:vAlign w:val="center"/>
            <w:tcMar>
              <w:top w:w="80" w:type="dxa"/>
              <w:bottom w:w="80" w:type="dxa"/>
              <w:left w:w="80" w:type="dxa"/>
              <w:right w:w="80" w:type="dxa"/>
            </w:tcMar>
          </w:tcPr>
          <w:p>
            <w:pPr>
              <w:spacing w:after="40" w:line="240" w:lineRule="exact"/>
            </w:pPr>
            <w:r>
              <w:rPr>
                <w:rFonts w:ascii="Times New Roman" w:hAnsi="Times New Roman" w:eastAsia="Noto Sans CJK SC"/>
                <w:color w:val="000000"/>
                <w:sz w:val="19"/>
                <w:lang w:val="en-US" w:eastAsia="zh-CN"/>
              </w:rPr>
              <w:t>Small business optimism</w:t>
            </w:r>
          </w:p>
        </w:tc>
        <w:tc>
          <w:tcPr>
            <w:tcW w:type="dxa" w:w="2304"/>
            <w:vAlign w:val="center"/>
            <w:tcMar>
              <w:top w:w="80" w:type="dxa"/>
              <w:bottom w:w="80" w:type="dxa"/>
              <w:left w:w="80" w:type="dxa"/>
              <w:right w:w="80" w:type="dxa"/>
            </w:tcMar>
          </w:tcPr>
          <w:p>
            <w:pPr>
              <w:spacing w:after="40" w:line="240" w:lineRule="exact"/>
            </w:pPr>
            <w:r>
              <w:rPr>
                <w:rFonts w:ascii="Times New Roman" w:hAnsi="Times New Roman" w:eastAsia="Noto Sans CJK SC"/>
                <w:color w:val="000000"/>
                <w:sz w:val="19"/>
                <w:lang w:val="en-US" w:eastAsia="zh-CN"/>
              </w:rPr>
              <w:t>commercial/​data/​macro_​history.csv</w:t>
            </w:r>
          </w:p>
        </w:tc>
        <w:tc>
          <w:tcPr>
            <w:tcW w:type="dxa" w:w="3168"/>
            <w:vAlign w:val="center"/>
            <w:tcMar>
              <w:top w:w="80" w:type="dxa"/>
              <w:bottom w:w="80" w:type="dxa"/>
              <w:left w:w="80" w:type="dxa"/>
              <w:right w:w="80" w:type="dxa"/>
            </w:tcMar>
          </w:tcPr>
          <w:p>
            <w:pPr>
              <w:spacing w:after="40" w:line="240" w:lineRule="exact"/>
            </w:pPr>
            <w:r>
              <w:rPr>
                <w:rFonts w:ascii="Times New Roman" w:hAnsi="Times New Roman" w:eastAsia="Noto Sans CJK SC"/>
                <w:color w:val="000000"/>
                <w:sz w:val="19"/>
                <w:lang w:val="en-US" w:eastAsia="zh-CN"/>
              </w:rPr>
              <w:t>Short-run annual-growth and lag candidate; not retained.</w:t>
            </w:r>
          </w:p>
        </w:tc>
      </w:tr>
      <w:tr>
        <w:trPr>
          <w:cantSplit/>
        </w:trPr>
        <w:tc>
          <w:tcPr>
            <w:tcW w:type="dxa" w:w="2664"/>
            <w:vAlign w:val="center"/>
            <w:tcMar>
              <w:top w:w="80" w:type="dxa"/>
              <w:bottom w:w="80" w:type="dxa"/>
              <w:left w:w="80" w:type="dxa"/>
              <w:right w:w="80" w:type="dxa"/>
            </w:tcMar>
          </w:tcPr>
          <w:p>
            <w:pPr>
              <w:spacing w:after="40" w:line="240" w:lineRule="exact"/>
            </w:pPr>
            <w:r>
              <w:rPr>
                <w:rFonts w:ascii="Times New Roman" w:hAnsi="Times New Roman" w:eastAsia="Noto Sans CJK SC"/>
                <w:color w:val="000000"/>
                <w:sz w:val="19"/>
                <w:lang w:val="en-US" w:eastAsia="zh-CN"/>
              </w:rPr>
              <w:t>M_​FGDP42Q_​B.IUSA</w:t>
              <w:br/>
              <w:t>wholesale_​trade_​gdp</w:t>
            </w:r>
          </w:p>
        </w:tc>
        <w:tc>
          <w:tcPr>
            <w:tcW w:type="dxa" w:w="1800"/>
            <w:vAlign w:val="center"/>
            <w:tcMar>
              <w:top w:w="80" w:type="dxa"/>
              <w:bottom w:w="80" w:type="dxa"/>
              <w:left w:w="80" w:type="dxa"/>
              <w:right w:w="80" w:type="dxa"/>
            </w:tcMar>
          </w:tcPr>
          <w:p>
            <w:pPr>
              <w:spacing w:after="40" w:line="240" w:lineRule="exact"/>
            </w:pPr>
            <w:r>
              <w:rPr>
                <w:rFonts w:ascii="Times New Roman" w:hAnsi="Times New Roman" w:eastAsia="Noto Sans CJK SC"/>
                <w:color w:val="000000"/>
                <w:sz w:val="19"/>
                <w:lang w:val="en-US" w:eastAsia="zh-CN"/>
              </w:rPr>
              <w:t>Wholesale trade GDP</w:t>
            </w:r>
          </w:p>
        </w:tc>
        <w:tc>
          <w:tcPr>
            <w:tcW w:type="dxa" w:w="2304"/>
            <w:vAlign w:val="center"/>
            <w:tcMar>
              <w:top w:w="80" w:type="dxa"/>
              <w:bottom w:w="80" w:type="dxa"/>
              <w:left w:w="80" w:type="dxa"/>
              <w:right w:w="80" w:type="dxa"/>
            </w:tcMar>
          </w:tcPr>
          <w:p>
            <w:pPr>
              <w:spacing w:after="40" w:line="240" w:lineRule="exact"/>
            </w:pPr>
            <w:r>
              <w:rPr>
                <w:rFonts w:ascii="Times New Roman" w:hAnsi="Times New Roman" w:eastAsia="Noto Sans CJK SC"/>
                <w:color w:val="000000"/>
                <w:sz w:val="19"/>
                <w:lang w:val="en-US" w:eastAsia="zh-CN"/>
              </w:rPr>
              <w:t>commercial/​data/​macro_​history.csv</w:t>
            </w:r>
          </w:p>
        </w:tc>
        <w:tc>
          <w:tcPr>
            <w:tcW w:type="dxa" w:w="3168"/>
            <w:vAlign w:val="center"/>
            <w:tcMar>
              <w:top w:w="80" w:type="dxa"/>
              <w:bottom w:w="80" w:type="dxa"/>
              <w:left w:w="80" w:type="dxa"/>
              <w:right w:w="80" w:type="dxa"/>
            </w:tcMar>
          </w:tcPr>
          <w:p>
            <w:pPr>
              <w:spacing w:after="40" w:line="240" w:lineRule="exact"/>
            </w:pPr>
            <w:r>
              <w:rPr>
                <w:rFonts w:ascii="Times New Roman" w:hAnsi="Times New Roman" w:eastAsia="Noto Sans CJK SC"/>
                <w:color w:val="000000"/>
                <w:sz w:val="19"/>
                <w:lang w:val="en-US" w:eastAsia="zh-CN"/>
              </w:rPr>
              <w:t>Long-run level and short-run annual-growth candidate; not retained.</w:t>
            </w:r>
          </w:p>
        </w:tc>
      </w:tr>
      <w:tr>
        <w:trPr>
          <w:cantSplit/>
        </w:trPr>
        <w:tc>
          <w:tcPr>
            <w:tcW w:type="dxa" w:w="2664"/>
            <w:vAlign w:val="center"/>
            <w:tcMar>
              <w:top w:w="80" w:type="dxa"/>
              <w:bottom w:w="80" w:type="dxa"/>
              <w:left w:w="80" w:type="dxa"/>
              <w:right w:w="80" w:type="dxa"/>
            </w:tcMar>
          </w:tcPr>
          <w:p>
            <w:pPr>
              <w:spacing w:after="40" w:line="240" w:lineRule="exact"/>
            </w:pPr>
            <w:r>
              <w:rPr>
                <w:rFonts w:ascii="Times New Roman" w:hAnsi="Times New Roman" w:eastAsia="Noto Sans CJK SC"/>
                <w:color w:val="000000"/>
                <w:sz w:val="19"/>
                <w:lang w:val="en-US" w:eastAsia="zh-CN"/>
              </w:rPr>
              <w:t>M_​FIP_​B.IUSA</w:t>
              <w:br/>
              <w:t>industrial_​production</w:t>
            </w:r>
          </w:p>
        </w:tc>
        <w:tc>
          <w:tcPr>
            <w:tcW w:type="dxa" w:w="1800"/>
            <w:vAlign w:val="center"/>
            <w:tcMar>
              <w:top w:w="80" w:type="dxa"/>
              <w:bottom w:w="80" w:type="dxa"/>
              <w:left w:w="80" w:type="dxa"/>
              <w:right w:w="80" w:type="dxa"/>
            </w:tcMar>
          </w:tcPr>
          <w:p>
            <w:pPr>
              <w:spacing w:after="40" w:line="240" w:lineRule="exact"/>
            </w:pPr>
            <w:r>
              <w:rPr>
                <w:rFonts w:ascii="Times New Roman" w:hAnsi="Times New Roman" w:eastAsia="Noto Sans CJK SC"/>
                <w:color w:val="000000"/>
                <w:sz w:val="19"/>
                <w:lang w:val="en-US" w:eastAsia="zh-CN"/>
              </w:rPr>
              <w:t>Industrial production</w:t>
            </w:r>
          </w:p>
        </w:tc>
        <w:tc>
          <w:tcPr>
            <w:tcW w:type="dxa" w:w="2304"/>
            <w:vAlign w:val="center"/>
            <w:tcMar>
              <w:top w:w="80" w:type="dxa"/>
              <w:bottom w:w="80" w:type="dxa"/>
              <w:left w:w="80" w:type="dxa"/>
              <w:right w:w="80" w:type="dxa"/>
            </w:tcMar>
          </w:tcPr>
          <w:p>
            <w:pPr>
              <w:spacing w:after="40" w:line="240" w:lineRule="exact"/>
            </w:pPr>
            <w:r>
              <w:rPr>
                <w:rFonts w:ascii="Times New Roman" w:hAnsi="Times New Roman" w:eastAsia="Noto Sans CJK SC"/>
                <w:color w:val="000000"/>
                <w:sz w:val="19"/>
                <w:lang w:val="en-US" w:eastAsia="zh-CN"/>
              </w:rPr>
              <w:t>commercial/​data/​macro_​history.csv</w:t>
            </w:r>
          </w:p>
        </w:tc>
        <w:tc>
          <w:tcPr>
            <w:tcW w:type="dxa" w:w="3168"/>
            <w:vAlign w:val="center"/>
            <w:tcMar>
              <w:top w:w="80" w:type="dxa"/>
              <w:bottom w:w="80" w:type="dxa"/>
              <w:left w:w="80" w:type="dxa"/>
              <w:right w:w="80" w:type="dxa"/>
            </w:tcMar>
          </w:tcPr>
          <w:p>
            <w:pPr>
              <w:spacing w:after="40" w:line="240" w:lineRule="exact"/>
            </w:pPr>
            <w:r>
              <w:rPr>
                <w:rFonts w:ascii="Times New Roman" w:hAnsi="Times New Roman" w:eastAsia="Noto Sans CJK SC"/>
                <w:color w:val="000000"/>
                <w:sz w:val="19"/>
                <w:lang w:val="en-US" w:eastAsia="zh-CN"/>
              </w:rPr>
              <w:t>Short-run annual-growth and lag candidate; not retained.</w:t>
            </w:r>
          </w:p>
        </w:tc>
      </w:tr>
      <w:tr>
        <w:trPr>
          <w:cantSplit/>
        </w:trPr>
        <w:tc>
          <w:tcPr>
            <w:tcW w:type="dxa" w:w="2664"/>
            <w:vAlign w:val="center"/>
            <w:tcMar>
              <w:top w:w="80" w:type="dxa"/>
              <w:bottom w:w="80" w:type="dxa"/>
              <w:left w:w="80" w:type="dxa"/>
              <w:right w:w="80" w:type="dxa"/>
            </w:tcMar>
          </w:tcPr>
          <w:p>
            <w:pPr>
              <w:spacing w:after="40" w:line="240" w:lineRule="exact"/>
            </w:pPr>
            <w:r>
              <w:rPr>
                <w:rFonts w:ascii="Times New Roman" w:hAnsi="Times New Roman" w:eastAsia="Noto Sans CJK SC"/>
                <w:color w:val="000000"/>
                <w:sz w:val="19"/>
                <w:lang w:val="en-US" w:eastAsia="zh-CN"/>
              </w:rPr>
              <w:t>M_​FZA_​B.IUSA</w:t>
              <w:br/>
              <w:t>corporate_​profits</w:t>
            </w:r>
          </w:p>
        </w:tc>
        <w:tc>
          <w:tcPr>
            <w:tcW w:type="dxa" w:w="1800"/>
            <w:vAlign w:val="center"/>
            <w:tcMar>
              <w:top w:w="80" w:type="dxa"/>
              <w:bottom w:w="80" w:type="dxa"/>
              <w:left w:w="80" w:type="dxa"/>
              <w:right w:w="80" w:type="dxa"/>
            </w:tcMar>
          </w:tcPr>
          <w:p>
            <w:pPr>
              <w:spacing w:after="40" w:line="240" w:lineRule="exact"/>
            </w:pPr>
            <w:r>
              <w:rPr>
                <w:rFonts w:ascii="Times New Roman" w:hAnsi="Times New Roman" w:eastAsia="Noto Sans CJK SC"/>
                <w:color w:val="000000"/>
                <w:sz w:val="19"/>
                <w:lang w:val="en-US" w:eastAsia="zh-CN"/>
              </w:rPr>
              <w:t>Corporate Profits</w:t>
            </w:r>
          </w:p>
        </w:tc>
        <w:tc>
          <w:tcPr>
            <w:tcW w:type="dxa" w:w="2304"/>
            <w:vAlign w:val="center"/>
            <w:tcMar>
              <w:top w:w="80" w:type="dxa"/>
              <w:bottom w:w="80" w:type="dxa"/>
              <w:left w:w="80" w:type="dxa"/>
              <w:right w:w="80" w:type="dxa"/>
            </w:tcMar>
          </w:tcPr>
          <w:p>
            <w:pPr>
              <w:spacing w:after="40" w:line="240" w:lineRule="exact"/>
            </w:pPr>
            <w:r>
              <w:rPr>
                <w:rFonts w:ascii="Times New Roman" w:hAnsi="Times New Roman" w:eastAsia="Noto Sans CJK SC"/>
                <w:color w:val="000000"/>
                <w:sz w:val="19"/>
                <w:lang w:val="en-US" w:eastAsia="zh-CN"/>
              </w:rPr>
              <w:t>commercial/​data/​macro_​history.csv</w:t>
            </w:r>
          </w:p>
        </w:tc>
        <w:tc>
          <w:tcPr>
            <w:tcW w:type="dxa" w:w="3168"/>
            <w:vAlign w:val="center"/>
            <w:tcMar>
              <w:top w:w="80" w:type="dxa"/>
              <w:bottom w:w="80" w:type="dxa"/>
              <w:left w:w="80" w:type="dxa"/>
              <w:right w:w="80" w:type="dxa"/>
            </w:tcMar>
          </w:tcPr>
          <w:p>
            <w:pPr>
              <w:spacing w:after="40" w:line="240" w:lineRule="exact"/>
            </w:pPr>
            <w:r>
              <w:rPr>
                <w:rFonts w:ascii="Times New Roman" w:hAnsi="Times New Roman" w:eastAsia="Noto Sans CJK SC"/>
                <w:color w:val="000000"/>
                <w:sz w:val="19"/>
                <w:lang w:val="en-US" w:eastAsia="zh-CN"/>
              </w:rPr>
              <w:t>Selected short-run annual-growth driver at a two-month lag. Also considered as a long-run level candidate.</w:t>
            </w:r>
          </w:p>
        </w:tc>
      </w:tr>
      <w:tr>
        <w:trPr>
          <w:cantSplit/>
        </w:trPr>
        <w:tc>
          <w:tcPr>
            <w:tcW w:type="dxa" w:w="2664"/>
            <w:vAlign w:val="center"/>
            <w:tcMar>
              <w:top w:w="80" w:type="dxa"/>
              <w:bottom w:w="80" w:type="dxa"/>
              <w:left w:w="80" w:type="dxa"/>
              <w:right w:w="80" w:type="dxa"/>
            </w:tcMar>
          </w:tcPr>
          <w:p>
            <w:pPr>
              <w:spacing w:after="40" w:line="240" w:lineRule="exact"/>
            </w:pPr>
            <w:r>
              <w:rPr>
                <w:rFonts w:ascii="Times New Roman" w:hAnsi="Times New Roman" w:eastAsia="Noto Sans CJK SC"/>
                <w:color w:val="000000"/>
                <w:sz w:val="19"/>
                <w:lang w:val="en-US" w:eastAsia="zh-CN"/>
              </w:rPr>
              <w:t>M_​FDJMIIUSDD_​WCFTDQ_​B.IUSA</w:t>
              <w:br/>
              <w:t>dow_​jones_​total_​market_​index</w:t>
            </w:r>
          </w:p>
        </w:tc>
        <w:tc>
          <w:tcPr>
            <w:tcW w:type="dxa" w:w="1800"/>
            <w:vAlign w:val="center"/>
            <w:tcMar>
              <w:top w:w="80" w:type="dxa"/>
              <w:bottom w:w="80" w:type="dxa"/>
              <w:left w:w="80" w:type="dxa"/>
              <w:right w:w="80" w:type="dxa"/>
            </w:tcMar>
          </w:tcPr>
          <w:p>
            <w:pPr>
              <w:spacing w:after="40" w:line="240" w:lineRule="exact"/>
            </w:pPr>
            <w:r>
              <w:rPr>
                <w:rFonts w:ascii="Times New Roman" w:hAnsi="Times New Roman" w:eastAsia="Noto Sans CJK SC"/>
                <w:color w:val="000000"/>
                <w:sz w:val="19"/>
                <w:lang w:val="en-US" w:eastAsia="zh-CN"/>
              </w:rPr>
              <w:t>Dow Jones total market index</w:t>
            </w:r>
          </w:p>
        </w:tc>
        <w:tc>
          <w:tcPr>
            <w:tcW w:type="dxa" w:w="2304"/>
            <w:vAlign w:val="center"/>
            <w:tcMar>
              <w:top w:w="80" w:type="dxa"/>
              <w:bottom w:w="80" w:type="dxa"/>
              <w:left w:w="80" w:type="dxa"/>
              <w:right w:w="80" w:type="dxa"/>
            </w:tcMar>
          </w:tcPr>
          <w:p>
            <w:pPr>
              <w:spacing w:after="40" w:line="240" w:lineRule="exact"/>
            </w:pPr>
            <w:r>
              <w:rPr>
                <w:rFonts w:ascii="Times New Roman" w:hAnsi="Times New Roman" w:eastAsia="Noto Sans CJK SC"/>
                <w:color w:val="000000"/>
                <w:sz w:val="19"/>
                <w:lang w:val="en-US" w:eastAsia="zh-CN"/>
              </w:rPr>
              <w:t>commercial/​data/​macro_​history.csv</w:t>
            </w:r>
          </w:p>
        </w:tc>
        <w:tc>
          <w:tcPr>
            <w:tcW w:type="dxa" w:w="3168"/>
            <w:vAlign w:val="center"/>
            <w:tcMar>
              <w:top w:w="80" w:type="dxa"/>
              <w:bottom w:w="80" w:type="dxa"/>
              <w:left w:w="80" w:type="dxa"/>
              <w:right w:w="80" w:type="dxa"/>
            </w:tcMar>
          </w:tcPr>
          <w:p>
            <w:pPr>
              <w:spacing w:after="40" w:line="240" w:lineRule="exact"/>
            </w:pPr>
            <w:r>
              <w:rPr>
                <w:rFonts w:ascii="Times New Roman" w:hAnsi="Times New Roman" w:eastAsia="Noto Sans CJK SC"/>
                <w:color w:val="000000"/>
                <w:sz w:val="19"/>
                <w:lang w:val="en-US" w:eastAsia="zh-CN"/>
              </w:rPr>
              <w:t>Long-run level and short-run annual-growth candidate; not retained.</w:t>
            </w:r>
          </w:p>
        </w:tc>
      </w:tr>
    </w:tbl>
    <w:p>
      <w:pPr>
        <w:keepNext w:val="0"/>
        <w:pageBreakBefore w:val="0"/>
        <w:spacing w:after="140" w:line="230" w:lineRule="exact"/>
      </w:pPr>
      <w:r>
        <w:rPr>
          <w:rFonts w:ascii="Times New Roman" w:hAnsi="Times New Roman" w:eastAsia="Noto Sans CJK SC"/>
          <w:color w:val="000000"/>
          <w:sz w:val="17"/>
          <w:lang w:val="en-US" w:eastAsia="zh-CN"/>
          <w:lang w:val="en-US" w:eastAsia="zh-CN"/>
        </w:rPr>
        <w:t>Data sources: commercial/​data/​macro_​history.csv; commercial/​data/​macro_​baseline.csv; commercial/​data/​macro_​s4.csv.</w:t>
      </w:r>
    </w:p>
    <w:p>
      <w:pPr>
        <w:pStyle w:val="Heading3"/>
        <w:keepNext/>
        <w:pageBreakBefore w:val="0"/>
        <w:spacing w:after="140"/>
      </w:pPr>
      <w:r>
        <w:rPr>
          <w:rFonts w:ascii="Times New Roman" w:hAnsi="Times New Roman" w:eastAsia="Noto Sans CJK SC"/>
          <w:color w:val="000000"/>
          <w:sz w:val="22"/>
          <w:lang w:val="en-US" w:eastAsia="zh-CN"/>
        </w:rPr>
        <w:t>4.1.4 Data Lineage and Preparation</w:t>
      </w:r>
    </w:p>
    <w:p>
      <w:pPr>
        <w:keepNext w:val="0"/>
        <w:pageBreakBefore w:val="0"/>
        <w:spacing w:after="140"/>
      </w:pPr>
      <w:r>
        <w:rPr>
          <w:rFonts w:ascii="Times New Roman" w:hAnsi="Times New Roman" w:eastAsia="Noto Sans CJK SC"/>
          <w:color w:val="000000"/>
          <w:sz w:val="22"/>
          <w:lang w:val="en-US" w:eastAsia="zh-CN"/>
        </w:rPr>
        <w:t>Preparation imports the source files, maps field names, orders and aligns dates, constructs the specified transformations and selects the relevant estimation or calibration period. Original inputs remain separate from exported features and results. No random sampling is applied.</w:t>
      </w:r>
    </w:p>
    <w:p>
      <w:pPr>
        <w:pStyle w:val="Caption"/>
        <w:keepNext/>
        <w:pageBreakBefore w:val="0"/>
        <w:spacing w:after="140"/>
      </w:pPr>
      <w:r>
        <w:rPr>
          <w:rFonts w:ascii="Times New Roman" w:hAnsi="Times New Roman" w:eastAsia="Noto Sans CJK SC"/>
          <w:color w:val="000000"/>
          <w:sz w:val="21"/>
          <w:lang w:val="en-US" w:eastAsia="zh-CN"/>
        </w:rPr>
        <w:t>Table 4.3 Commercial Card and Small Business Data Lineage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3168"/>
        <w:gridCol w:w="3672"/>
      </w:tblGrid>
      <w:tr>
        <w:trPr>
          <w:cantSplit/>
          <w:tblHeader/>
        </w:trPr>
        <w:tc>
          <w:tcPr>
            <w:tcW w:type="dxa" w:w="3096"/>
            <w:vAlign w:val="center"/>
            <w:tcMar>
              <w:top w:w="90" w:type="dxa"/>
              <w:bottom w:w="90" w:type="dxa"/>
              <w:left w:w="90" w:type="dxa"/>
              <w:right w:w="90" w:type="dxa"/>
            </w:tcMar>
            <w:shd w:fill="E7E6E6"/>
          </w:tcPr>
          <w:p>
            <w:pPr>
              <w:spacing w:after="40" w:line="240" w:lineRule="exact"/>
            </w:pPr>
            <w:r>
              <w:rPr>
                <w:rFonts w:ascii="Times New Roman" w:hAnsi="Times New Roman" w:eastAsia="Noto Sans CJK SC"/>
                <w:b/>
                <w:color w:val="000000"/>
                <w:sz w:val="19"/>
                <w:lang w:val="en-US" w:eastAsia="zh-CN"/>
              </w:rPr>
              <w:t>Input Source</w:t>
            </w:r>
          </w:p>
        </w:tc>
        <w:tc>
          <w:tcPr>
            <w:tcW w:type="dxa" w:w="3168"/>
            <w:vAlign w:val="center"/>
            <w:tcMar>
              <w:top w:w="90" w:type="dxa"/>
              <w:bottom w:w="90" w:type="dxa"/>
              <w:left w:w="90" w:type="dxa"/>
              <w:right w:w="90" w:type="dxa"/>
            </w:tcMar>
            <w:shd w:fill="E7E6E6"/>
          </w:tcPr>
          <w:p>
            <w:pPr>
              <w:spacing w:after="40" w:line="240" w:lineRule="exact"/>
            </w:pPr>
            <w:r>
              <w:rPr>
                <w:rFonts w:ascii="Times New Roman" w:hAnsi="Times New Roman" w:eastAsia="Noto Sans CJK SC"/>
                <w:b/>
                <w:color w:val="000000"/>
                <w:sz w:val="19"/>
                <w:lang w:val="en-US" w:eastAsia="zh-CN"/>
              </w:rPr>
              <w:t>Output File</w:t>
            </w:r>
          </w:p>
        </w:tc>
        <w:tc>
          <w:tcPr>
            <w:tcW w:type="dxa" w:w="3672"/>
            <w:vAlign w:val="center"/>
            <w:tcMar>
              <w:top w:w="90" w:type="dxa"/>
              <w:bottom w:w="90" w:type="dxa"/>
              <w:left w:w="90" w:type="dxa"/>
              <w:right w:w="90" w:type="dxa"/>
            </w:tcMar>
            <w:shd w:fill="E7E6E6"/>
          </w:tcPr>
          <w:p>
            <w:pPr>
              <w:spacing w:after="40" w:line="240" w:lineRule="exact"/>
            </w:pPr>
            <w:r>
              <w:rPr>
                <w:rFonts w:ascii="Times New Roman" w:hAnsi="Times New Roman" w:eastAsia="Noto Sans CJK SC"/>
                <w:b/>
                <w:color w:val="000000"/>
                <w:sz w:val="19"/>
                <w:lang w:val="en-US" w:eastAsia="zh-CN"/>
              </w:rPr>
              <w:t>Purpose</w:t>
            </w:r>
          </w:p>
        </w:tc>
      </w:tr>
      <w:tr>
        <w:trPr>
          <w:cantSplit/>
        </w:trPr>
        <w:tc>
          <w:tcPr>
            <w:tcW w:type="dxa" w:w="3096"/>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commercial/​data/​fee_​history.csv</w:t>
            </w:r>
          </w:p>
        </w:tc>
        <w:tc>
          <w:tcPr>
            <w:tcW w:type="dxa" w:w="3168"/>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commercial/​historical_​data_​and_​features.csv</w:t>
            </w:r>
          </w:p>
        </w:tc>
        <w:tc>
          <w:tcPr>
            <w:tcW w:type="dxa" w:w="3672"/>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Preserve mapped fee history and derived model features.</w:t>
            </w:r>
          </w:p>
        </w:tc>
      </w:tr>
      <w:tr>
        <w:trPr>
          <w:cantSplit/>
        </w:trPr>
        <w:tc>
          <w:tcPr>
            <w:tcW w:type="dxa" w:w="3096"/>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commercial/​data/​macro_​history.csv</w:t>
            </w:r>
          </w:p>
        </w:tc>
        <w:tc>
          <w:tcPr>
            <w:tcW w:type="dxa" w:w="3168"/>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commercial/​historical_​data_​and_​features.csv</w:t>
            </w:r>
          </w:p>
        </w:tc>
        <w:tc>
          <w:tcPr>
            <w:tcW w:type="dxa" w:w="3672"/>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Align and transform historical economic candidates.</w:t>
            </w:r>
          </w:p>
        </w:tc>
      </w:tr>
      <w:tr>
        <w:trPr>
          <w:cantSplit/>
        </w:trPr>
        <w:tc>
          <w:tcPr>
            <w:tcW w:type="dxa" w:w="3096"/>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commercial/​data/​macro_​baseline.csv; commercial/​data/​macro_​s4.csv</w:t>
            </w:r>
          </w:p>
        </w:tc>
        <w:tc>
          <w:tcPr>
            <w:tcW w:type="dxa" w:w="3168"/>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commercial/​forecast_​monthly.csv</w:t>
            </w:r>
          </w:p>
        </w:tc>
        <w:tc>
          <w:tcPr>
            <w:tcW w:type="dxa" w:w="3672"/>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Generate future scenario paths.</w:t>
            </w:r>
          </w:p>
        </w:tc>
      </w:tr>
    </w:tbl>
    <w:p>
      <w:pPr>
        <w:keepNext/>
        <w:keepLines/>
        <w:pageBreakBefore w:val="0"/>
        <w:spacing w:after="140"/>
      </w:pPr>
      <w:r>
        <w:rPr>
          <w:rFonts w:ascii="Times New Roman" w:hAnsi="Times New Roman" w:eastAsia="Noto Sans CJK SC"/>
          <w:color w:val="000000"/>
          <w:sz w:val="22"/>
          <w:lang w:val="en-US" w:eastAsia="zh-CN"/>
        </w:rPr>
        <w:t>This table connects each Commercial model variable to its transformation steps and final formula. The sequence from combined fees to the long-run reference and adjusted error correction makes the link between the level and growth equations explicit.</w:t>
      </w:r>
    </w:p>
    <w:p>
      <w:pPr>
        <w:pStyle w:val="Caption"/>
        <w:keepNext/>
        <w:pageBreakBefore w:val="0"/>
        <w:spacing w:after="140"/>
      </w:pPr>
      <w:r>
        <w:rPr>
          <w:rFonts w:ascii="Times New Roman" w:hAnsi="Times New Roman" w:eastAsia="Noto Sans CJK SC"/>
          <w:color w:val="000000"/>
          <w:sz w:val="21"/>
          <w:lang w:val="en-US" w:eastAsia="zh-CN"/>
        </w:rPr>
        <w:t>Table 4.4 Commercial Card and Small Business Transformations and Final Formulas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2880"/>
        <w:gridCol w:w="4824"/>
      </w:tblGrid>
      <w:tr>
        <w:trPr>
          <w:cantSplit/>
          <w:tblHeader/>
        </w:trPr>
        <w:tc>
          <w:tcPr>
            <w:tcW w:type="dxa" w:w="2232"/>
            <w:vAlign w:val="center"/>
            <w:tcMar>
              <w:top w:w="90" w:type="dxa"/>
              <w:bottom w:w="90" w:type="dxa"/>
              <w:left w:w="90" w:type="dxa"/>
              <w:right w:w="90" w:type="dxa"/>
            </w:tcMar>
            <w:shd w:fill="E7E6E6"/>
          </w:tcPr>
          <w:p>
            <w:pPr>
              <w:spacing w:after="40" w:line="240" w:lineRule="exact"/>
            </w:pPr>
            <w:r>
              <w:rPr>
                <w:rFonts w:ascii="Times New Roman" w:hAnsi="Times New Roman" w:eastAsia="Noto Sans CJK SC"/>
                <w:b/>
                <w:color w:val="000000"/>
                <w:sz w:val="19"/>
                <w:lang w:val="en-US" w:eastAsia="zh-CN"/>
              </w:rPr>
              <w:t>Model Element</w:t>
            </w:r>
          </w:p>
        </w:tc>
        <w:tc>
          <w:tcPr>
            <w:tcW w:type="dxa" w:w="2880"/>
            <w:vAlign w:val="center"/>
            <w:tcMar>
              <w:top w:w="90" w:type="dxa"/>
              <w:bottom w:w="90" w:type="dxa"/>
              <w:left w:w="90" w:type="dxa"/>
              <w:right w:w="90" w:type="dxa"/>
            </w:tcMar>
            <w:shd w:fill="E7E6E6"/>
          </w:tcPr>
          <w:p>
            <w:pPr>
              <w:spacing w:after="40" w:line="240" w:lineRule="exact"/>
            </w:pPr>
            <w:r>
              <w:rPr>
                <w:rFonts w:ascii="Times New Roman" w:hAnsi="Times New Roman" w:eastAsia="Noto Sans CJK SC"/>
                <w:b/>
                <w:color w:val="000000"/>
                <w:sz w:val="19"/>
                <w:lang w:val="en-US" w:eastAsia="zh-CN"/>
              </w:rPr>
              <w:t>Transformation Steps</w:t>
            </w:r>
          </w:p>
        </w:tc>
        <w:tc>
          <w:tcPr>
            <w:tcW w:type="dxa" w:w="4824"/>
            <w:vAlign w:val="center"/>
            <w:tcMar>
              <w:top w:w="90" w:type="dxa"/>
              <w:bottom w:w="90" w:type="dxa"/>
              <w:left w:w="90" w:type="dxa"/>
              <w:right w:w="90" w:type="dxa"/>
            </w:tcMar>
            <w:shd w:fill="E7E6E6"/>
          </w:tcPr>
          <w:p>
            <w:pPr>
              <w:spacing w:after="40" w:line="240" w:lineRule="exact"/>
            </w:pPr>
            <w:r>
              <w:rPr>
                <w:rFonts w:ascii="Times New Roman" w:hAnsi="Times New Roman" w:eastAsia="Noto Sans CJK SC"/>
                <w:b/>
                <w:color w:val="000000"/>
                <w:sz w:val="19"/>
                <w:lang w:val="en-US" w:eastAsia="zh-CN"/>
              </w:rPr>
              <w:t>Final Formula</w:t>
            </w:r>
          </w:p>
        </w:tc>
      </w:tr>
      <w:tr>
        <w:trPr>
          <w:cantSplit/>
        </w:trPr>
        <w:tc>
          <w:tcPr>
            <w:tcW w:type="dxa" w:w="2232"/>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commercial_​small_​business_​fee</w:t>
            </w:r>
          </w:p>
        </w:tc>
        <w:tc>
          <w:tcPr>
            <w:tcW w:type="dxa" w:w="288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1. Read the two fee fields. 2. Add their monthly amounts. Preserve $000.</w:t>
            </w:r>
          </w:p>
        </w:tc>
        <w:tc>
          <w:tcPr>
            <w:tcW w:type="dxa" w:w="4824"/>
            <w:vAlign w:val="center"/>
            <w:tcMar>
              <w:top w:w="90" w:type="dxa"/>
              <w:bottom w:w="90" w:type="dxa"/>
              <w:left w:w="90" w:type="dxa"/>
              <w:right w:w="90" w:type="dxa"/>
            </w:tcMar>
          </w:tcPr>
          <w:p>
            <w:pPr>
              <w:spacing w:after="40" w:line="269" w:lineRule="auto"/>
            </w:pPr>
            <w:r>
              <w:rPr>
                <w:rFonts w:ascii="Times New Roman" w:hAnsi="Times New Roman" w:eastAsia="Noto Sans CJK SC"/>
                <w:color w:val="000000"/>
                <w:sz w:val="18"/>
                <w:lang w:val="en-US" w:eastAsia="zh-CN"/>
                <w:lang w:val="en-US" w:eastAsia="zh-CN"/>
              </w:rPr>
              <w:t>= commercial_​card_​fee(t)</w:t>
              <w:br/>
              <w:t xml:space="preserve">  + small_​business_​card_​fee(t)</w:t>
            </w:r>
          </w:p>
        </w:tc>
      </w:tr>
      <w:tr>
        <w:trPr>
          <w:cantSplit/>
        </w:trPr>
        <w:tc>
          <w:tcPr>
            <w:tcW w:type="dxa" w:w="2232"/>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commercial_​small_​business_​fee_​pct_​change_​12m</w:t>
            </w:r>
          </w:p>
        </w:tc>
        <w:tc>
          <w:tcPr>
            <w:tcW w:type="dxa" w:w="288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1. Aggregate fees. 2. Divide by the year-ago amount. 3. Subtract one and multiply by 100.</w:t>
            </w:r>
          </w:p>
        </w:tc>
        <w:tc>
          <w:tcPr>
            <w:tcW w:type="dxa" w:w="4824"/>
            <w:vAlign w:val="center"/>
            <w:tcMar>
              <w:top w:w="90" w:type="dxa"/>
              <w:bottom w:w="90" w:type="dxa"/>
              <w:left w:w="90" w:type="dxa"/>
              <w:right w:w="90" w:type="dxa"/>
            </w:tcMar>
          </w:tcPr>
          <w:p>
            <w:pPr>
              <w:spacing w:after="40" w:line="269" w:lineRule="auto"/>
            </w:pPr>
            <w:r>
              <w:rPr>
                <w:rFonts w:ascii="Times New Roman" w:hAnsi="Times New Roman" w:eastAsia="Noto Sans CJK SC"/>
                <w:color w:val="000000"/>
                <w:sz w:val="18"/>
                <w:lang w:val="en-US" w:eastAsia="zh-CN"/>
                <w:lang w:val="en-US" w:eastAsia="zh-CN"/>
              </w:rPr>
              <w:t>= 100 × [commercial_​small_​business_​fee(t)</w:t>
              <w:br/>
              <w:t xml:space="preserve">  ÷ commercial_​small_​business_​fee(t − 12) − 1]</w:t>
            </w:r>
          </w:p>
        </w:tc>
      </w:tr>
      <w:tr>
        <w:trPr>
          <w:cantSplit/>
        </w:trPr>
        <w:tc>
          <w:tcPr>
            <w:tcW w:type="dxa" w:w="2232"/>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long_​run_​fitted_​fee</w:t>
            </w:r>
          </w:p>
        </w:tc>
        <w:tc>
          <w:tcPr>
            <w:tcW w:type="dxa" w:w="288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1. Map CPI. 2. Apply the estimated long-run intercept and slope.</w:t>
            </w:r>
          </w:p>
        </w:tc>
        <w:tc>
          <w:tcPr>
            <w:tcW w:type="dxa" w:w="4824"/>
            <w:vAlign w:val="center"/>
            <w:tcMar>
              <w:top w:w="90" w:type="dxa"/>
              <w:bottom w:w="90" w:type="dxa"/>
              <w:left w:w="90" w:type="dxa"/>
              <w:right w:w="90" w:type="dxa"/>
            </w:tcMar>
          </w:tcPr>
          <w:p>
            <w:pPr>
              <w:spacing w:after="40" w:line="269" w:lineRule="auto"/>
            </w:pPr>
            <w:r>
              <w:rPr>
                <w:rFonts w:ascii="Times New Roman" w:hAnsi="Times New Roman" w:eastAsia="Noto Sans CJK SC"/>
                <w:color w:val="000000"/>
                <w:sz w:val="18"/>
                <w:lang w:val="en-US" w:eastAsia="zh-CN"/>
                <w:lang w:val="en-US" w:eastAsia="zh-CN"/>
              </w:rPr>
              <w:t>= long_​run_​intercept</w:t>
              <w:br/>
              <w:t xml:space="preserve">  + long_​run_​CPI_​coefficient</w:t>
              <w:br/>
              <w:t xml:space="preserve">  × consumer_​price_​index(t)</w:t>
            </w:r>
          </w:p>
        </w:tc>
      </w:tr>
      <w:tr>
        <w:trPr>
          <w:cantSplit/>
        </w:trPr>
        <w:tc>
          <w:tcPr>
            <w:tcW w:type="dxa" w:w="2232"/>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ec_​scaled_​adjusted_​pct_​lag_​12m</w:t>
            </w:r>
          </w:p>
        </w:tc>
        <w:tc>
          <w:tcPr>
            <w:tcW w:type="dxa" w:w="288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1. Subtract the long-run reference from fees. 2. Divide by the reference and multiply by 100. 3. Subtract the contemporaneous overlay. 4. Lag 12 months.</w:t>
            </w:r>
          </w:p>
        </w:tc>
        <w:tc>
          <w:tcPr>
            <w:tcW w:type="dxa" w:w="4824"/>
            <w:vAlign w:val="center"/>
            <w:tcMar>
              <w:top w:w="90" w:type="dxa"/>
              <w:bottom w:w="90" w:type="dxa"/>
              <w:left w:w="90" w:type="dxa"/>
              <w:right w:w="90" w:type="dxa"/>
            </w:tcMar>
          </w:tcPr>
          <w:p>
            <w:pPr>
              <w:spacing w:after="40" w:line="269" w:lineRule="auto"/>
            </w:pPr>
            <w:r>
              <w:rPr>
                <w:rFonts w:ascii="Times New Roman" w:hAnsi="Times New Roman" w:eastAsia="Noto Sans CJK SC"/>
                <w:color w:val="000000"/>
                <w:sz w:val="18"/>
                <w:lang w:val="en-US" w:eastAsia="zh-CN"/>
                <w:lang w:val="en-US" w:eastAsia="zh-CN"/>
              </w:rPr>
              <w:t>= 100 × [commercial_​small_​business_​fee(t − 12)</w:t>
              <w:br/>
              <w:t xml:space="preserve">  − long_​run_​fitted_​fee(t − 12)]</w:t>
              <w:br/>
              <w:t xml:space="preserve">  ÷ long_​run_​fitted_​fee(t − 12)</w:t>
              <w:br/>
              <w:t xml:space="preserve">  − ec_​trend_​overlay_​pct(t − 12)</w:t>
            </w:r>
          </w:p>
        </w:tc>
      </w:tr>
      <w:tr>
        <w:trPr>
          <w:cantSplit/>
        </w:trPr>
        <w:tc>
          <w:tcPr>
            <w:tcW w:type="dxa" w:w="2232"/>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commercial_​small_​business_​fee_​pct_​change_​12m_​lag_​1m; commercial_​small_​business_​fee_​pct_​change_​12m_​lag_​6m</w:t>
            </w:r>
          </w:p>
        </w:tc>
        <w:tc>
          <w:tcPr>
            <w:tcW w:type="dxa" w:w="288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1. Calculate annual fee growth. 2. Shift by 1 or 6 monthly observations.</w:t>
            </w:r>
          </w:p>
        </w:tc>
        <w:tc>
          <w:tcPr>
            <w:tcW w:type="dxa" w:w="4824"/>
            <w:vAlign w:val="center"/>
            <w:tcMar>
              <w:top w:w="90" w:type="dxa"/>
              <w:bottom w:w="90" w:type="dxa"/>
              <w:left w:w="90" w:type="dxa"/>
              <w:right w:w="90" w:type="dxa"/>
            </w:tcMar>
          </w:tcPr>
          <w:p>
            <w:pPr>
              <w:spacing w:after="40" w:line="269" w:lineRule="auto"/>
            </w:pPr>
            <w:r>
              <w:rPr>
                <w:rFonts w:ascii="Times New Roman" w:hAnsi="Times New Roman" w:eastAsia="Noto Sans CJK SC"/>
                <w:color w:val="000000"/>
                <w:sz w:val="18"/>
                <w:lang w:val="en-US" w:eastAsia="zh-CN"/>
                <w:lang w:val="en-US" w:eastAsia="zh-CN"/>
              </w:rPr>
              <w:t>= commercial_​small_​business_​fee_​pct_​change_​12m</w:t>
              <w:br/>
              <w:t xml:space="preserve">  (t − k), k = 1 or 6</w:t>
            </w:r>
          </w:p>
        </w:tc>
      </w:tr>
      <w:tr>
        <w:trPr>
          <w:cantSplit/>
        </w:trPr>
        <w:tc>
          <w:tcPr>
            <w:tcW w:type="dxa" w:w="2232"/>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corporate_​profits_​pct_​change_​12m_​lag_​2m</w:t>
            </w:r>
          </w:p>
        </w:tc>
        <w:tc>
          <w:tcPr>
            <w:tcW w:type="dxa" w:w="288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1. Map Corporate Profits. 2. Calculate annual percentage growth. 3. Lag two months.</w:t>
            </w:r>
          </w:p>
        </w:tc>
        <w:tc>
          <w:tcPr>
            <w:tcW w:type="dxa" w:w="4824"/>
            <w:vAlign w:val="center"/>
            <w:tcMar>
              <w:top w:w="90" w:type="dxa"/>
              <w:bottom w:w="90" w:type="dxa"/>
              <w:left w:w="90" w:type="dxa"/>
              <w:right w:w="90" w:type="dxa"/>
            </w:tcMar>
          </w:tcPr>
          <w:p>
            <w:pPr>
              <w:spacing w:after="40" w:line="269" w:lineRule="auto"/>
            </w:pPr>
            <w:r>
              <w:rPr>
                <w:rFonts w:ascii="Times New Roman" w:hAnsi="Times New Roman" w:eastAsia="Noto Sans CJK SC"/>
                <w:color w:val="000000"/>
                <w:sz w:val="18"/>
                <w:lang w:val="en-US" w:eastAsia="zh-CN"/>
                <w:lang w:val="en-US" w:eastAsia="zh-CN"/>
              </w:rPr>
              <w:t>= 100 × [corporate_​profits(t − 2)</w:t>
              <w:br/>
              <w:t xml:space="preserve">  ÷ corporate_​profits(t − 14) − 1]</w:t>
            </w:r>
          </w:p>
        </w:tc>
      </w:tr>
    </w:tbl>
    <w:p>
      <w:pPr>
        <w:keepNext w:val="0"/>
        <w:pageBreakBefore w:val="0"/>
        <w:spacing w:after="140" w:line="230" w:lineRule="exact"/>
      </w:pPr>
      <w:r>
        <w:rPr>
          <w:rFonts w:ascii="Times New Roman" w:hAnsi="Times New Roman" w:eastAsia="Noto Sans CJK SC"/>
          <w:color w:val="000000"/>
          <w:sz w:val="17"/>
          <w:lang w:val="en-US" w:eastAsia="zh-CN"/>
          <w:lang w:val="en-US" w:eastAsia="zh-CN"/>
        </w:rPr>
        <w:t>Data sources: commercial/​commercial_​card_​model.py; commercial/​historical_​data_​and_​features.csv.</w:t>
      </w:r>
    </w:p>
    <w:p>
      <w:pPr>
        <w:pStyle w:val="Heading3"/>
        <w:keepNext/>
        <w:pageBreakBefore w:val="0"/>
        <w:spacing w:after="140"/>
      </w:pPr>
      <w:r>
        <w:rPr>
          <w:rFonts w:ascii="Times New Roman" w:hAnsi="Times New Roman" w:eastAsia="Noto Sans CJK SC"/>
          <w:color w:val="000000"/>
          <w:sz w:val="22"/>
          <w:lang w:val="en-US" w:eastAsia="zh-CN"/>
        </w:rPr>
        <w:t>4.1.5 Data Quality Assessment</w:t>
      </w:r>
    </w:p>
    <w:p>
      <w:pPr>
        <w:keepNext w:val="0"/>
        <w:pageBreakBefore w:val="0"/>
        <w:spacing w:after="140"/>
      </w:pPr>
      <w:r>
        <w:rPr>
          <w:rFonts w:ascii="Times New Roman" w:hAnsi="Times New Roman" w:eastAsia="Noto Sans CJK SC"/>
          <w:color w:val="000000"/>
          <w:sz w:val="22"/>
          <w:lang w:val="en-US" w:eastAsia="zh-CN"/>
        </w:rPr>
        <w:t>Data-quality assessment reviews completeness, date consistency, duplicates, alignment and transformation accuracy. Required source fields are reconciled to the mapped series and exported features. Initial observations unavailable solely because of growth calculations or lags are distinguished from missing source observations.</w:t>
      </w:r>
    </w:p>
    <w:p>
      <w:pPr>
        <w:pStyle w:val="Caption"/>
        <w:keepNext/>
        <w:pageBreakBefore w:val="0"/>
        <w:spacing w:after="140"/>
      </w:pPr>
      <w:r>
        <w:rPr>
          <w:rFonts w:ascii="Times New Roman" w:hAnsi="Times New Roman" w:eastAsia="Noto Sans CJK SC"/>
          <w:color w:val="000000"/>
          <w:sz w:val="21"/>
          <w:lang w:val="en-US" w:eastAsia="zh-CN"/>
        </w:rPr>
        <w:t>Table 4.5 Commercial Card and Small Business Data Quality Review</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3744"/>
        <w:gridCol w:w="4320"/>
      </w:tblGrid>
      <w:tr>
        <w:trPr>
          <w:cantSplit/>
          <w:tblHeader/>
        </w:trPr>
        <w:tc>
          <w:tcPr>
            <w:tcW w:type="dxa" w:w="1872"/>
            <w:vAlign w:val="center"/>
            <w:tcMar>
              <w:top w:w="90" w:type="dxa"/>
              <w:bottom w:w="90" w:type="dxa"/>
              <w:left w:w="90" w:type="dxa"/>
              <w:right w:w="90" w:type="dxa"/>
            </w:tcMar>
            <w:shd w:fill="E7E6E6"/>
          </w:tcPr>
          <w:p>
            <w:pPr>
              <w:spacing w:after="40" w:line="240" w:lineRule="exact"/>
            </w:pPr>
            <w:r>
              <w:rPr>
                <w:rFonts w:ascii="Times New Roman" w:hAnsi="Times New Roman" w:eastAsia="Noto Sans CJK SC"/>
                <w:b/>
                <w:color w:val="000000"/>
                <w:sz w:val="19"/>
                <w:lang w:val="en-US" w:eastAsia="zh-CN"/>
              </w:rPr>
              <w:t>Review Area</w:t>
            </w:r>
          </w:p>
        </w:tc>
        <w:tc>
          <w:tcPr>
            <w:tcW w:type="dxa" w:w="3744"/>
            <w:vAlign w:val="center"/>
            <w:tcMar>
              <w:top w:w="90" w:type="dxa"/>
              <w:bottom w:w="90" w:type="dxa"/>
              <w:left w:w="90" w:type="dxa"/>
              <w:right w:w="90" w:type="dxa"/>
            </w:tcMar>
            <w:shd w:fill="E7E6E6"/>
          </w:tcPr>
          <w:p>
            <w:pPr>
              <w:spacing w:after="40" w:line="240" w:lineRule="exact"/>
            </w:pPr>
            <w:r>
              <w:rPr>
                <w:rFonts w:ascii="Times New Roman" w:hAnsi="Times New Roman" w:eastAsia="Noto Sans CJK SC"/>
                <w:b/>
                <w:color w:val="000000"/>
                <w:sz w:val="19"/>
                <w:lang w:val="en-US" w:eastAsia="zh-CN"/>
              </w:rPr>
              <w:t>Assessment Performed</w:t>
            </w:r>
          </w:p>
        </w:tc>
        <w:tc>
          <w:tcPr>
            <w:tcW w:type="dxa" w:w="4320"/>
            <w:vAlign w:val="center"/>
            <w:tcMar>
              <w:top w:w="90" w:type="dxa"/>
              <w:bottom w:w="90" w:type="dxa"/>
              <w:left w:w="90" w:type="dxa"/>
              <w:right w:w="90" w:type="dxa"/>
            </w:tcMar>
            <w:shd w:fill="E7E6E6"/>
          </w:tcPr>
          <w:p>
            <w:pPr>
              <w:spacing w:after="40" w:line="240" w:lineRule="exact"/>
            </w:pPr>
            <w:r>
              <w:rPr>
                <w:rFonts w:ascii="Times New Roman" w:hAnsi="Times New Roman" w:eastAsia="Noto Sans CJK SC"/>
                <w:b/>
                <w:color w:val="000000"/>
                <w:sz w:val="19"/>
                <w:lang w:val="en-US" w:eastAsia="zh-CN"/>
              </w:rPr>
              <w:t>Result</w:t>
            </w:r>
          </w:p>
        </w:tc>
      </w:tr>
      <w:tr>
        <w:trPr>
          <w:cantSplit/>
        </w:trPr>
        <w:tc>
          <w:tcPr>
            <w:tcW w:type="dxa" w:w="1872"/>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Date consistency</w:t>
            </w:r>
          </w:p>
        </w:tc>
        <w:tc>
          <w:tcPr>
            <w:tcW w:type="dxa" w:w="3744"/>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Check monthly dates and duplicate keys.</w:t>
            </w:r>
          </w:p>
        </w:tc>
        <w:tc>
          <w:tcPr>
            <w:tcW w:type="dxa" w:w="432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Unique monthly source dates.</w:t>
            </w:r>
          </w:p>
        </w:tc>
      </w:tr>
      <w:tr>
        <w:trPr>
          <w:cantSplit/>
        </w:trPr>
        <w:tc>
          <w:tcPr>
            <w:tcW w:type="dxa" w:w="1872"/>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Transformation accuracy</w:t>
            </w:r>
          </w:p>
        </w:tc>
        <w:tc>
          <w:tcPr>
            <w:tcW w:type="dxa" w:w="3744"/>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Trace features to original fields and code.</w:t>
            </w:r>
          </w:p>
        </w:tc>
        <w:tc>
          <w:tcPr>
            <w:tcW w:type="dxa" w:w="432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Aggregation, growth and lag rules are reproducible.</w:t>
            </w:r>
          </w:p>
        </w:tc>
      </w:tr>
      <w:tr>
        <w:trPr>
          <w:cantSplit/>
        </w:trPr>
        <w:tc>
          <w:tcPr>
            <w:tcW w:type="dxa" w:w="1872"/>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Sample alignment</w:t>
            </w:r>
          </w:p>
        </w:tc>
        <w:tc>
          <w:tcPr>
            <w:tcW w:type="dxa" w:w="3744"/>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Apply defined windows and complete-case alignment.</w:t>
            </w:r>
          </w:p>
        </w:tc>
        <w:tc>
          <w:tcPr>
            <w:tcW w:type="dxa" w:w="432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Estimation and calibration samples follow the component specification.</w:t>
            </w:r>
          </w:p>
        </w:tc>
      </w:tr>
    </w:tbl>
    <w:p>
      <w:pPr>
        <w:pStyle w:val="Heading3"/>
        <w:keepNext/>
        <w:pageBreakBefore w:val="0"/>
        <w:spacing w:after="140"/>
      </w:pPr>
      <w:r>
        <w:rPr>
          <w:rFonts w:ascii="Times New Roman" w:hAnsi="Times New Roman" w:eastAsia="Noto Sans CJK SC"/>
          <w:color w:val="000000"/>
          <w:sz w:val="22"/>
          <w:lang w:val="en-US" w:eastAsia="zh-CN"/>
        </w:rPr>
        <w:t>4.1.6 Missing Data Review and Inclusion Exclusion Decisions</w:t>
      </w:r>
    </w:p>
    <w:p>
      <w:pPr>
        <w:keepNext w:val="0"/>
        <w:pageBreakBefore w:val="0"/>
        <w:spacing w:after="140"/>
      </w:pPr>
      <w:r>
        <w:rPr>
          <w:rFonts w:ascii="Times New Roman" w:hAnsi="Times New Roman" w:eastAsia="Noto Sans CJK SC"/>
          <w:color w:val="000000"/>
          <w:sz w:val="22"/>
          <w:lang w:val="en-US" w:eastAsia="zh-CN"/>
        </w:rPr>
        <w:t>Missing-data assessment covers the fee history, required historical inputs, selected forecast drivers where applicable, and aligned development sample.</w:t>
      </w:r>
    </w:p>
    <w:p>
      <w:pPr>
        <w:pStyle w:val="Caption"/>
        <w:keepNext/>
        <w:pageBreakBefore w:val="0"/>
        <w:spacing w:after="140"/>
      </w:pPr>
      <w:r>
        <w:rPr>
          <w:rFonts w:ascii="Times New Roman" w:hAnsi="Times New Roman" w:eastAsia="Noto Sans CJK SC"/>
          <w:color w:val="000000"/>
          <w:sz w:val="21"/>
          <w:lang w:val="en-US" w:eastAsia="zh-CN"/>
        </w:rPr>
        <w:t>Table 4.6 Commercial Card and Small Business Missing Data Assessment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84"/>
        <w:gridCol w:w="1800"/>
        <w:gridCol w:w="4752"/>
      </w:tblGrid>
      <w:tr>
        <w:trPr>
          <w:cantSplit/>
          <w:tblHeader/>
        </w:trPr>
        <w:tc>
          <w:tcPr>
            <w:tcW w:type="dxa" w:w="3384"/>
            <w:vAlign w:val="center"/>
            <w:tcMar>
              <w:top w:w="90" w:type="dxa"/>
              <w:bottom w:w="90" w:type="dxa"/>
              <w:left w:w="90" w:type="dxa"/>
              <w:right w:w="90" w:type="dxa"/>
            </w:tcMar>
            <w:shd w:fill="E7E6E6"/>
          </w:tcPr>
          <w:p>
            <w:pPr>
              <w:spacing w:after="40" w:line="240" w:lineRule="exact"/>
            </w:pPr>
            <w:r>
              <w:rPr>
                <w:rFonts w:ascii="Times New Roman" w:hAnsi="Times New Roman" w:eastAsia="Noto Sans CJK SC"/>
                <w:b/>
                <w:color w:val="000000"/>
                <w:sz w:val="19"/>
                <w:lang w:val="en-US" w:eastAsia="zh-CN"/>
              </w:rPr>
              <w:t>Assessment Area</w:t>
            </w:r>
          </w:p>
        </w:tc>
        <w:tc>
          <w:tcPr>
            <w:tcW w:type="dxa" w:w="1800"/>
            <w:vAlign w:val="center"/>
            <w:tcMar>
              <w:top w:w="90" w:type="dxa"/>
              <w:bottom w:w="90" w:type="dxa"/>
              <w:left w:w="90" w:type="dxa"/>
              <w:right w:w="90" w:type="dxa"/>
            </w:tcMar>
            <w:shd w:fill="E7E6E6"/>
          </w:tcPr>
          <w:p>
            <w:pPr>
              <w:spacing w:after="40" w:line="240" w:lineRule="exact"/>
            </w:pPr>
            <w:r>
              <w:rPr>
                <w:rFonts w:ascii="Times New Roman" w:hAnsi="Times New Roman" w:eastAsia="Noto Sans CJK SC"/>
                <w:b/>
                <w:color w:val="000000"/>
                <w:sz w:val="19"/>
                <w:lang w:val="en-US" w:eastAsia="zh-CN"/>
              </w:rPr>
              <w:t>Missing Observations</w:t>
            </w:r>
          </w:p>
        </w:tc>
        <w:tc>
          <w:tcPr>
            <w:tcW w:type="dxa" w:w="4752"/>
            <w:vAlign w:val="center"/>
            <w:tcMar>
              <w:top w:w="90" w:type="dxa"/>
              <w:bottom w:w="90" w:type="dxa"/>
              <w:left w:w="90" w:type="dxa"/>
              <w:right w:w="90" w:type="dxa"/>
            </w:tcMar>
            <w:shd w:fill="E7E6E6"/>
          </w:tcPr>
          <w:p>
            <w:pPr>
              <w:spacing w:after="40" w:line="240" w:lineRule="exact"/>
            </w:pPr>
            <w:r>
              <w:rPr>
                <w:rFonts w:ascii="Times New Roman" w:hAnsi="Times New Roman" w:eastAsia="Noto Sans CJK SC"/>
                <w:b/>
                <w:color w:val="000000"/>
                <w:sz w:val="19"/>
                <w:lang w:val="en-US" w:eastAsia="zh-CN"/>
              </w:rPr>
              <w:t>Result</w:t>
            </w:r>
          </w:p>
        </w:tc>
      </w:tr>
      <w:tr>
        <w:trPr>
          <w:cantSplit/>
        </w:trPr>
        <w:tc>
          <w:tcPr>
            <w:tcW w:type="dxa" w:w="3384"/>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Fee revenue history</w:t>
            </w:r>
          </w:p>
        </w:tc>
        <w:tc>
          <w:tcPr>
            <w:tcW w:type="dxa" w:w="180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0</w:t>
            </w:r>
          </w:p>
        </w:tc>
        <w:tc>
          <w:tcPr>
            <w:tcW w:type="dxa" w:w="4752"/>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No missing values identified in the assessed fields.</w:t>
            </w:r>
          </w:p>
        </w:tc>
      </w:tr>
      <w:tr>
        <w:trPr>
          <w:cantSplit/>
        </w:trPr>
        <w:tc>
          <w:tcPr>
            <w:tcW w:type="dxa" w:w="3384"/>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Required historical model inputs</w:t>
            </w:r>
          </w:p>
        </w:tc>
        <w:tc>
          <w:tcPr>
            <w:tcW w:type="dxa" w:w="180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0</w:t>
            </w:r>
          </w:p>
        </w:tc>
        <w:tc>
          <w:tcPr>
            <w:tcW w:type="dxa" w:w="4752"/>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No missing values identified in the assessed fields.</w:t>
            </w:r>
          </w:p>
        </w:tc>
      </w:tr>
      <w:tr>
        <w:trPr>
          <w:cantSplit/>
        </w:trPr>
        <w:tc>
          <w:tcPr>
            <w:tcW w:type="dxa" w:w="3384"/>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Selected Baseline and S4 drivers</w:t>
            </w:r>
          </w:p>
        </w:tc>
        <w:tc>
          <w:tcPr>
            <w:tcW w:type="dxa" w:w="180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0</w:t>
            </w:r>
          </w:p>
        </w:tc>
        <w:tc>
          <w:tcPr>
            <w:tcW w:type="dxa" w:w="4752"/>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No missing values identified in the assessed fields.</w:t>
            </w:r>
          </w:p>
        </w:tc>
      </w:tr>
      <w:tr>
        <w:trPr>
          <w:cantSplit/>
        </w:trPr>
        <w:tc>
          <w:tcPr>
            <w:tcW w:type="dxa" w:w="3384"/>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Aligned development dataset</w:t>
            </w:r>
          </w:p>
        </w:tc>
        <w:tc>
          <w:tcPr>
            <w:tcW w:type="dxa" w:w="180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0</w:t>
            </w:r>
          </w:p>
        </w:tc>
        <w:tc>
          <w:tcPr>
            <w:tcW w:type="dxa" w:w="4752"/>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No missing values identified in the assessed fields.</w:t>
            </w:r>
          </w:p>
        </w:tc>
      </w:tr>
    </w:tbl>
    <w:p>
      <w:pPr>
        <w:keepNext w:val="0"/>
        <w:pageBreakBefore w:val="0"/>
        <w:spacing w:after="140" w:line="230" w:lineRule="exact"/>
      </w:pPr>
      <w:r>
        <w:rPr>
          <w:rFonts w:ascii="Times New Roman" w:hAnsi="Times New Roman" w:eastAsia="Noto Sans CJK SC"/>
          <w:color w:val="000000"/>
          <w:sz w:val="17"/>
          <w:lang w:val="en-US" w:eastAsia="zh-CN"/>
          <w:lang w:val="en-US" w:eastAsia="zh-CN"/>
        </w:rPr>
        <w:t>Data sources: commercial/​data/​fee_​history.csv; commercial/​data/​macro_​history.csv; commercial/​data/​macro_​baseline.csv; commercial/​data/​macro_​s4.csv; commercial/​historical_​data_​and_​features.csv. Assessment scope is limited to the required model fields.</w:t>
      </w:r>
    </w:p>
    <w:p>
      <w:pPr>
        <w:pStyle w:val="Heading3"/>
        <w:keepNext/>
        <w:pageBreakBefore w:val="0"/>
        <w:spacing w:after="140"/>
      </w:pPr>
      <w:r>
        <w:rPr>
          <w:rFonts w:ascii="Times New Roman" w:hAnsi="Times New Roman" w:eastAsia="Noto Sans CJK SC"/>
          <w:color w:val="000000"/>
          <w:sz w:val="22"/>
          <w:lang w:val="en-US" w:eastAsia="zh-CN"/>
        </w:rPr>
        <w:t>4.1.7 Outlier Assessment and Adjustments</w:t>
      </w:r>
    </w:p>
    <w:p>
      <w:pPr>
        <w:keepNext w:val="0"/>
        <w:pageBreakBefore w:val="0"/>
        <w:spacing w:after="140"/>
      </w:pPr>
      <w:r>
        <w:rPr>
          <w:rFonts w:ascii="Times New Roman" w:hAnsi="Times New Roman" w:eastAsia="Noto Sans CJK SC"/>
          <w:color w:val="000000"/>
          <w:sz w:val="22"/>
          <w:lang w:val="en-US" w:eastAsia="zh-CN"/>
        </w:rPr>
        <w:t>Historical fee observations are retained without manual outlier replacement. Commercial Card and Small Business fees are aggregated before growth rates are calculated. The EC trend adjustment is applied to a derived model state, not to the original fee observations.</w:t>
      </w:r>
    </w:p>
    <w:p>
      <w:pPr>
        <w:pStyle w:val="Heading3"/>
        <w:keepNext/>
        <w:pageBreakBefore w:val="0"/>
        <w:spacing w:after="140"/>
      </w:pPr>
      <w:r>
        <w:rPr>
          <w:rFonts w:ascii="Times New Roman" w:hAnsi="Times New Roman" w:eastAsia="Noto Sans CJK SC"/>
          <w:color w:val="000000"/>
          <w:sz w:val="22"/>
          <w:lang w:val="en-US" w:eastAsia="zh-CN"/>
        </w:rPr>
        <w:t>4.1.8 Data Relevance and Assumptions</w:t>
      </w:r>
    </w:p>
    <w:p>
      <w:pPr>
        <w:keepNext w:val="0"/>
        <w:pageBreakBefore w:val="0"/>
        <w:spacing w:after="140"/>
      </w:pPr>
      <w:r>
        <w:rPr>
          <w:rFonts w:ascii="Times New Roman" w:hAnsi="Times New Roman" w:eastAsia="Noto Sans CJK SC"/>
          <w:color w:val="000000"/>
          <w:sz w:val="22"/>
          <w:lang w:val="en-US" w:eastAsia="zh-CN"/>
        </w:rPr>
        <w:t>The target directly measures the fee revenue being forecast. Historical coverage provides observations across different operating environments. Data preparation assumes consistent fee definitions, component mappings and reporting units over time. Source-system lineage, accounting reconciliation and data-vintage records support ongoing data governance.</w:t>
      </w:r>
    </w:p>
    <w:p>
      <w:pPr>
        <w:keepNext w:val="0"/>
        <w:pageBreakBefore w:val="0"/>
        <w:spacing w:after="140"/>
      </w:pPr>
      <w:r>
        <w:rPr>
          <w:rFonts w:ascii="Times New Roman" w:hAnsi="Times New Roman" w:eastAsia="Noto Sans CJK SC"/>
          <w:color w:val="000000"/>
          <w:sz w:val="22"/>
          <w:lang w:val="en-US" w:eastAsia="zh-CN"/>
        </w:rPr>
        <w:t>Pricing actions, product changes and shifts in customer behavior are reviewed alongside aggregate fee history. Periodic review considers the continuing relevance of the input definitions, selected transformations and calibration periods.</w:t>
      </w:r>
    </w:p>
    <w:p>
      <w:pPr>
        <w:pStyle w:val="Heading3"/>
        <w:keepNext/>
        <w:pageBreakBefore w:val="0"/>
        <w:spacing w:after="140"/>
      </w:pPr>
      <w:r>
        <w:rPr>
          <w:rFonts w:ascii="Times New Roman" w:hAnsi="Times New Roman" w:eastAsia="Noto Sans CJK SC"/>
          <w:color w:val="000000"/>
          <w:sz w:val="22"/>
          <w:lang w:val="en-US" w:eastAsia="zh-CN"/>
        </w:rPr>
        <w:t>4.1.9 Development Data Conclusions</w:t>
      </w:r>
    </w:p>
    <w:p>
      <w:pPr>
        <w:keepNext w:val="0"/>
        <w:pageBreakBefore w:val="0"/>
        <w:spacing w:after="140"/>
      </w:pPr>
      <w:r>
        <w:rPr>
          <w:rFonts w:ascii="Times New Roman" w:hAnsi="Times New Roman" w:eastAsia="Noto Sans CJK SC"/>
          <w:color w:val="000000"/>
          <w:sz w:val="22"/>
          <w:lang w:val="en-US" w:eastAsia="zh-CN"/>
        </w:rPr>
        <w:t>The Commercial Card and Small Business development data provide a consistent foundation for the documented model methodology. Source files, derived features and calculation rules preserve traceability and support estimation, testing and forecasting. Ongoing review of data quality and business developments maintains the relevance of this foundation.</w:t>
      </w:r>
    </w:p>
    <w:p>
      <w:pPr>
        <w:pStyle w:val="Heading2"/>
        <w:keepNext/>
        <w:pageBreakBefore w:val="0"/>
        <w:spacing w:after="140"/>
      </w:pPr>
      <w:r>
        <w:rPr>
          <w:rFonts w:ascii="Times New Roman" w:hAnsi="Times New Roman" w:eastAsia="Noto Sans CJK SC"/>
          <w:color w:val="000000"/>
          <w:sz w:val="26"/>
          <w:lang w:val="en-US" w:eastAsia="zh-CN"/>
        </w:rPr>
        <w:t>4.2 Consumer Card Model Data</w:t>
      </w:r>
    </w:p>
    <w:p>
      <w:pPr>
        <w:pStyle w:val="Heading3"/>
        <w:keepNext/>
        <w:pageBreakBefore w:val="0"/>
        <w:spacing w:after="140"/>
      </w:pPr>
      <w:r>
        <w:rPr>
          <w:rFonts w:ascii="Times New Roman" w:hAnsi="Times New Roman" w:eastAsia="Noto Sans CJK SC"/>
          <w:color w:val="000000"/>
          <w:sz w:val="22"/>
          <w:lang w:val="en-US" w:eastAsia="zh-CN"/>
        </w:rPr>
        <w:t>4.2.1 Purpose and Development Sample</w:t>
      </w:r>
    </w:p>
    <w:p>
      <w:pPr>
        <w:keepNext w:val="0"/>
        <w:pageBreakBefore w:val="0"/>
        <w:spacing w:after="140"/>
      </w:pPr>
      <w:r>
        <w:rPr>
          <w:rFonts w:ascii="Times New Roman" w:hAnsi="Times New Roman" w:eastAsia="Noto Sans CJK SC"/>
          <w:color w:val="000000"/>
          <w:sz w:val="22"/>
          <w:lang w:val="en-US" w:eastAsia="zh-CN"/>
        </w:rPr>
        <w:t>The development data provide the foundation for estimating, testing and forecasting Consumer Card fee revenue. Data preparation focuses on relevance, completeness, consistent definitions and traceability from source observations to model inputs.</w:t>
      </w:r>
    </w:p>
    <w:p>
      <w:pPr>
        <w:keepNext w:val="0"/>
        <w:pageBreakBefore w:val="0"/>
        <w:spacing w:after="140"/>
      </w:pPr>
      <w:r>
        <w:rPr>
          <w:rFonts w:ascii="Times New Roman" w:hAnsi="Times New Roman" w:eastAsia="Noto Sans CJK SC"/>
          <w:color w:val="000000"/>
          <w:sz w:val="22"/>
          <w:lang w:val="en-US" w:eastAsia="zh-CN"/>
        </w:rPr>
        <w:t>Monthly fee history spans January 2011 through December 2025. Macroeconomic history starts in January 2010 and supplies prior observations for transformations. Development runs through September 2023, followed by October 2023–December 2025 OOT evaluation. The selected structure is refitted through December 2025 for future scenarios. Monthly frequency preserves the calendar indicators and short-run fee dynamics.</w:t>
      </w:r>
    </w:p>
    <w:p>
      <w:pPr>
        <w:pStyle w:val="Heading3"/>
        <w:keepNext/>
        <w:pageBreakBefore w:val="0"/>
        <w:spacing w:after="140"/>
      </w:pPr>
      <w:r>
        <w:rPr>
          <w:rFonts w:ascii="Times New Roman" w:hAnsi="Times New Roman" w:eastAsia="Noto Sans CJK SC"/>
          <w:color w:val="000000"/>
          <w:sz w:val="22"/>
          <w:lang w:val="en-US" w:eastAsia="zh-CN"/>
        </w:rPr>
        <w:t>4.2.2 Internal Data Sources</w:t>
      </w:r>
    </w:p>
    <w:p>
      <w:pPr>
        <w:keepNext w:val="0"/>
        <w:pageBreakBefore w:val="0"/>
        <w:spacing w:after="140"/>
      </w:pPr>
      <w:r>
        <w:rPr>
          <w:rFonts w:ascii="Times New Roman" w:hAnsi="Times New Roman" w:eastAsia="Noto Sans CJK SC"/>
          <w:color w:val="000000"/>
          <w:sz w:val="22"/>
          <w:lang w:val="en-US" w:eastAsia="zh-CN"/>
        </w:rPr>
        <w:t>Internal data consist of monthly fee revenue in fee_​history.csv. All fee-history amounts are in $000, representing thousands of US dollars, and are used without rescaling. Calculated growth rates and other model features are kept separate from the source fields.</w:t>
      </w:r>
    </w:p>
    <w:p>
      <w:pPr>
        <w:pStyle w:val="Caption"/>
        <w:keepNext/>
        <w:pageBreakBefore w:val="0"/>
        <w:spacing w:after="140"/>
      </w:pPr>
      <w:r>
        <w:rPr>
          <w:rFonts w:ascii="Times New Roman" w:hAnsi="Times New Roman" w:eastAsia="Noto Sans CJK SC"/>
          <w:color w:val="000000"/>
          <w:sz w:val="21"/>
          <w:lang w:val="en-US" w:eastAsia="zh-CN"/>
        </w:rPr>
        <w:t>Table 4.7 Consumer Card Internal Data Inventory</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2448"/>
        <w:gridCol w:w="2592"/>
        <w:gridCol w:w="3168"/>
      </w:tblGrid>
      <w:tr>
        <w:trPr>
          <w:cantSplit/>
          <w:tblHeader/>
        </w:trPr>
        <w:tc>
          <w:tcPr>
            <w:tcW w:type="dxa" w:w="1728"/>
            <w:vAlign w:val="center"/>
            <w:tcMar>
              <w:top w:w="90" w:type="dxa"/>
              <w:bottom w:w="90" w:type="dxa"/>
              <w:left w:w="90" w:type="dxa"/>
              <w:right w:w="90" w:type="dxa"/>
            </w:tcMar>
            <w:shd w:fill="E7E6E6"/>
          </w:tcPr>
          <w:p>
            <w:pPr>
              <w:spacing w:after="40" w:line="240" w:lineRule="exact"/>
            </w:pPr>
            <w:r>
              <w:rPr>
                <w:rFonts w:ascii="Times New Roman" w:hAnsi="Times New Roman" w:eastAsia="Noto Sans CJK SC"/>
                <w:b/>
                <w:color w:val="000000"/>
                <w:sz w:val="19"/>
                <w:lang w:val="en-US" w:eastAsia="zh-CN"/>
              </w:rPr>
              <w:t>Data Element</w:t>
            </w:r>
          </w:p>
        </w:tc>
        <w:tc>
          <w:tcPr>
            <w:tcW w:type="dxa" w:w="2448"/>
            <w:vAlign w:val="center"/>
            <w:tcMar>
              <w:top w:w="90" w:type="dxa"/>
              <w:bottom w:w="90" w:type="dxa"/>
              <w:left w:w="90" w:type="dxa"/>
              <w:right w:w="90" w:type="dxa"/>
            </w:tcMar>
            <w:shd w:fill="E7E6E6"/>
          </w:tcPr>
          <w:p>
            <w:pPr>
              <w:spacing w:after="40" w:line="240" w:lineRule="exact"/>
            </w:pPr>
            <w:r>
              <w:rPr>
                <w:rFonts w:ascii="Times New Roman" w:hAnsi="Times New Roman" w:eastAsia="Noto Sans CJK SC"/>
                <w:b/>
                <w:color w:val="000000"/>
                <w:sz w:val="19"/>
                <w:lang w:val="en-US" w:eastAsia="zh-CN"/>
              </w:rPr>
              <w:t>Description</w:t>
            </w:r>
          </w:p>
        </w:tc>
        <w:tc>
          <w:tcPr>
            <w:tcW w:type="dxa" w:w="2592"/>
            <w:vAlign w:val="center"/>
            <w:tcMar>
              <w:top w:w="90" w:type="dxa"/>
              <w:bottom w:w="90" w:type="dxa"/>
              <w:left w:w="90" w:type="dxa"/>
              <w:right w:w="90" w:type="dxa"/>
            </w:tcMar>
            <w:shd w:fill="E7E6E6"/>
          </w:tcPr>
          <w:p>
            <w:pPr>
              <w:spacing w:after="40" w:line="240" w:lineRule="exact"/>
            </w:pPr>
            <w:r>
              <w:rPr>
                <w:rFonts w:ascii="Times New Roman" w:hAnsi="Times New Roman" w:eastAsia="Noto Sans CJK SC"/>
                <w:b/>
                <w:color w:val="000000"/>
                <w:sz w:val="19"/>
                <w:lang w:val="en-US" w:eastAsia="zh-CN"/>
              </w:rPr>
              <w:t>Source Dataset</w:t>
            </w:r>
          </w:p>
        </w:tc>
        <w:tc>
          <w:tcPr>
            <w:tcW w:type="dxa" w:w="3168"/>
            <w:vAlign w:val="center"/>
            <w:tcMar>
              <w:top w:w="90" w:type="dxa"/>
              <w:bottom w:w="90" w:type="dxa"/>
              <w:left w:w="90" w:type="dxa"/>
              <w:right w:w="90" w:type="dxa"/>
            </w:tcMar>
            <w:shd w:fill="E7E6E6"/>
          </w:tcPr>
          <w:p>
            <w:pPr>
              <w:spacing w:after="40" w:line="240" w:lineRule="exact"/>
            </w:pPr>
            <w:r>
              <w:rPr>
                <w:rFonts w:ascii="Times New Roman" w:hAnsi="Times New Roman" w:eastAsia="Noto Sans CJK SC"/>
                <w:b/>
                <w:color w:val="000000"/>
                <w:sz w:val="19"/>
                <w:lang w:val="en-US" w:eastAsia="zh-CN"/>
              </w:rPr>
              <w:t>Model Usage</w:t>
            </w:r>
          </w:p>
        </w:tc>
      </w:tr>
      <w:tr>
        <w:trPr>
          <w:cantSplit/>
        </w:trPr>
        <w:tc>
          <w:tcPr>
            <w:tcW w:type="dxa" w:w="1728"/>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date</w:t>
            </w:r>
          </w:p>
        </w:tc>
        <w:tc>
          <w:tcPr>
            <w:tcW w:type="dxa" w:w="2448"/>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Monthly observation date</w:t>
            </w:r>
          </w:p>
        </w:tc>
        <w:tc>
          <w:tcPr>
            <w:tcW w:type="dxa" w:w="2592"/>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consumer/​data/​fee_​history.csv</w:t>
            </w:r>
          </w:p>
        </w:tc>
        <w:tc>
          <w:tcPr>
            <w:tcW w:type="dxa" w:w="3168"/>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Monthly alignment and calendar key</w:t>
            </w:r>
          </w:p>
        </w:tc>
      </w:tr>
      <w:tr>
        <w:trPr>
          <w:cantSplit/>
        </w:trPr>
        <w:tc>
          <w:tcPr>
            <w:tcW w:type="dxa" w:w="1728"/>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Consumer Card</w:t>
            </w:r>
          </w:p>
        </w:tc>
        <w:tc>
          <w:tcPr>
            <w:tcW w:type="dxa" w:w="2448"/>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Monthly Consumer Card fee revenue ($000)</w:t>
            </w:r>
          </w:p>
        </w:tc>
        <w:tc>
          <w:tcPr>
            <w:tcW w:type="dxa" w:w="2592"/>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consumer/​data/​fee_​history.csv</w:t>
            </w:r>
          </w:p>
        </w:tc>
        <w:tc>
          <w:tcPr>
            <w:tcW w:type="dxa" w:w="3168"/>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Source fee series for model preparation</w:t>
            </w:r>
          </w:p>
        </w:tc>
      </w:tr>
    </w:tbl>
    <w:p>
      <w:pPr>
        <w:keepNext w:val="0"/>
        <w:pageBreakBefore w:val="0"/>
        <w:spacing w:after="140" w:line="230" w:lineRule="exact"/>
      </w:pPr>
      <w:r>
        <w:rPr>
          <w:rFonts w:ascii="Times New Roman" w:hAnsi="Times New Roman" w:eastAsia="Noto Sans CJK SC"/>
          <w:color w:val="000000"/>
          <w:sz w:val="17"/>
          <w:lang w:val="en-US" w:eastAsia="zh-CN"/>
          <w:lang w:val="en-US" w:eastAsia="zh-CN"/>
        </w:rPr>
        <w:t>Data sources: consumer/​data/​fee_​history.csv; consumer/​consumer_​card_​model.py.</w:t>
      </w:r>
    </w:p>
    <w:p>
      <w:pPr>
        <w:pStyle w:val="Heading3"/>
        <w:keepNext/>
        <w:pageBreakBefore w:val="0"/>
        <w:spacing w:after="140"/>
      </w:pPr>
      <w:r>
        <w:rPr>
          <w:rFonts w:ascii="Times New Roman" w:hAnsi="Times New Roman" w:eastAsia="Noto Sans CJK SC"/>
          <w:color w:val="000000"/>
          <w:sz w:val="22"/>
          <w:lang w:val="en-US" w:eastAsia="zh-CN"/>
        </w:rPr>
        <w:t>4.2.3 External Data Sources and Appropriateness</w:t>
      </w:r>
    </w:p>
    <w:p>
      <w:pPr>
        <w:keepNext w:val="0"/>
        <w:pageBreakBefore w:val="0"/>
        <w:spacing w:after="140"/>
      </w:pPr>
      <w:r>
        <w:rPr>
          <w:rFonts w:ascii="Times New Roman" w:hAnsi="Times New Roman" w:eastAsia="Noto Sans CJK SC"/>
          <w:color w:val="000000"/>
          <w:sz w:val="22"/>
          <w:lang w:val="en-US" w:eastAsia="zh-CN"/>
        </w:rPr>
        <w:t>Table 4.8 inventories all five raw macroeconomic inputs, including candidates not retained in the final equation. Each variable is screened using monthly changes and trailing three-month averages. The final equation retains Retail Sales monthly-growth MA3, including the current month. Baseline inputs contain all five series; S4 supplies Retail Sales. Scenario inputs cover January 2026 through March 2028.</w:t>
      </w:r>
    </w:p>
    <w:p>
      <w:pPr>
        <w:pStyle w:val="Caption"/>
        <w:keepNext/>
        <w:pageBreakBefore w:val="0"/>
        <w:spacing w:after="140"/>
      </w:pPr>
      <w:r>
        <w:rPr>
          <w:rFonts w:ascii="Times New Roman" w:hAnsi="Times New Roman" w:eastAsia="Noto Sans CJK SC"/>
          <w:color w:val="000000"/>
          <w:sz w:val="21"/>
          <w:lang w:val="en-US" w:eastAsia="zh-CN"/>
        </w:rPr>
        <w:t>Table 4.8 Consumer Card External Data Inventory</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64"/>
        <w:gridCol w:w="1800"/>
        <w:gridCol w:w="2304"/>
        <w:gridCol w:w="3168"/>
      </w:tblGrid>
      <w:tr>
        <w:trPr>
          <w:cantSplit/>
          <w:tblHeader/>
        </w:trPr>
        <w:tc>
          <w:tcPr>
            <w:tcW w:type="dxa" w:w="2664"/>
            <w:vAlign w:val="center"/>
            <w:tcMar>
              <w:top w:w="80" w:type="dxa"/>
              <w:bottom w:w="80" w:type="dxa"/>
              <w:left w:w="80" w:type="dxa"/>
              <w:right w:w="80" w:type="dxa"/>
            </w:tcMar>
            <w:shd w:fill="E7E6E6"/>
          </w:tcPr>
          <w:p>
            <w:pPr>
              <w:spacing w:after="40" w:line="240" w:lineRule="exact"/>
            </w:pPr>
            <w:r>
              <w:rPr>
                <w:rFonts w:ascii="Times New Roman" w:hAnsi="Times New Roman" w:eastAsia="Noto Sans CJK SC"/>
                <w:b/>
                <w:color w:val="000000"/>
                <w:sz w:val="19"/>
                <w:lang w:val="en-US" w:eastAsia="zh-CN"/>
              </w:rPr>
              <w:t>Data Element</w:t>
            </w:r>
          </w:p>
        </w:tc>
        <w:tc>
          <w:tcPr>
            <w:tcW w:type="dxa" w:w="1800"/>
            <w:vAlign w:val="center"/>
            <w:tcMar>
              <w:top w:w="80" w:type="dxa"/>
              <w:bottom w:w="80" w:type="dxa"/>
              <w:left w:w="80" w:type="dxa"/>
              <w:right w:w="80" w:type="dxa"/>
            </w:tcMar>
            <w:shd w:fill="E7E6E6"/>
          </w:tcPr>
          <w:p>
            <w:pPr>
              <w:spacing w:after="40" w:line="240" w:lineRule="exact"/>
            </w:pPr>
            <w:r>
              <w:rPr>
                <w:rFonts w:ascii="Times New Roman" w:hAnsi="Times New Roman" w:eastAsia="Noto Sans CJK SC"/>
                <w:b/>
                <w:color w:val="000000"/>
                <w:sz w:val="19"/>
                <w:lang w:val="en-US" w:eastAsia="zh-CN"/>
              </w:rPr>
              <w:t>Description</w:t>
            </w:r>
          </w:p>
        </w:tc>
        <w:tc>
          <w:tcPr>
            <w:tcW w:type="dxa" w:w="2304"/>
            <w:vAlign w:val="center"/>
            <w:tcMar>
              <w:top w:w="80" w:type="dxa"/>
              <w:bottom w:w="80" w:type="dxa"/>
              <w:left w:w="80" w:type="dxa"/>
              <w:right w:w="80" w:type="dxa"/>
            </w:tcMar>
            <w:shd w:fill="E7E6E6"/>
          </w:tcPr>
          <w:p>
            <w:pPr>
              <w:spacing w:after="40" w:line="240" w:lineRule="exact"/>
            </w:pPr>
            <w:r>
              <w:rPr>
                <w:rFonts w:ascii="Times New Roman" w:hAnsi="Times New Roman" w:eastAsia="Noto Sans CJK SC"/>
                <w:b/>
                <w:color w:val="000000"/>
                <w:sz w:val="19"/>
                <w:lang w:val="en-US" w:eastAsia="zh-CN"/>
              </w:rPr>
              <w:t>Source Dataset</w:t>
            </w:r>
          </w:p>
        </w:tc>
        <w:tc>
          <w:tcPr>
            <w:tcW w:type="dxa" w:w="3168"/>
            <w:vAlign w:val="center"/>
            <w:tcMar>
              <w:top w:w="80" w:type="dxa"/>
              <w:bottom w:w="80" w:type="dxa"/>
              <w:left w:w="80" w:type="dxa"/>
              <w:right w:w="80" w:type="dxa"/>
            </w:tcMar>
            <w:shd w:fill="E7E6E6"/>
          </w:tcPr>
          <w:p>
            <w:pPr>
              <w:spacing w:after="40" w:line="240" w:lineRule="exact"/>
            </w:pPr>
            <w:r>
              <w:rPr>
                <w:rFonts w:ascii="Times New Roman" w:hAnsi="Times New Roman" w:eastAsia="Noto Sans CJK SC"/>
                <w:b/>
                <w:color w:val="000000"/>
                <w:sz w:val="19"/>
                <w:lang w:val="en-US" w:eastAsia="zh-CN"/>
              </w:rPr>
              <w:t>Model Usage</w:t>
            </w:r>
          </w:p>
        </w:tc>
      </w:tr>
      <w:tr>
        <w:trPr>
          <w:cantSplit/>
        </w:trPr>
        <w:tc>
          <w:tcPr>
            <w:tcW w:type="dxa" w:w="2664"/>
            <w:vAlign w:val="center"/>
            <w:tcMar>
              <w:top w:w="80" w:type="dxa"/>
              <w:bottom w:w="80" w:type="dxa"/>
              <w:left w:w="80" w:type="dxa"/>
              <w:right w:w="80" w:type="dxa"/>
            </w:tcMar>
          </w:tcPr>
          <w:p>
            <w:pPr>
              <w:spacing w:after="40" w:line="240" w:lineRule="exact"/>
            </w:pPr>
            <w:r>
              <w:rPr>
                <w:rFonts w:ascii="Times New Roman" w:hAnsi="Times New Roman" w:eastAsia="Noto Sans CJK SC"/>
                <w:color w:val="000000"/>
                <w:sz w:val="19"/>
                <w:lang w:val="en-US" w:eastAsia="zh-CN"/>
              </w:rPr>
              <w:t>M_​FLBR_​B.IUSA</w:t>
              <w:br/>
              <w:t>unemployment_​rate</w:t>
            </w:r>
          </w:p>
        </w:tc>
        <w:tc>
          <w:tcPr>
            <w:tcW w:type="dxa" w:w="1800"/>
            <w:vAlign w:val="center"/>
            <w:tcMar>
              <w:top w:w="80" w:type="dxa"/>
              <w:bottom w:w="80" w:type="dxa"/>
              <w:left w:w="80" w:type="dxa"/>
              <w:right w:w="80" w:type="dxa"/>
            </w:tcMar>
          </w:tcPr>
          <w:p>
            <w:pPr>
              <w:spacing w:after="40" w:line="240" w:lineRule="exact"/>
            </w:pPr>
            <w:r>
              <w:rPr>
                <w:rFonts w:ascii="Times New Roman" w:hAnsi="Times New Roman" w:eastAsia="Noto Sans CJK SC"/>
                <w:color w:val="000000"/>
                <w:sz w:val="19"/>
                <w:lang w:val="en-US" w:eastAsia="zh-CN"/>
              </w:rPr>
              <w:t>Unemployment rate</w:t>
            </w:r>
          </w:p>
        </w:tc>
        <w:tc>
          <w:tcPr>
            <w:tcW w:type="dxa" w:w="2304"/>
            <w:vAlign w:val="center"/>
            <w:tcMar>
              <w:top w:w="80" w:type="dxa"/>
              <w:bottom w:w="80" w:type="dxa"/>
              <w:left w:w="80" w:type="dxa"/>
              <w:right w:w="80" w:type="dxa"/>
            </w:tcMar>
          </w:tcPr>
          <w:p>
            <w:pPr>
              <w:spacing w:after="40" w:line="240" w:lineRule="exact"/>
            </w:pPr>
            <w:r>
              <w:rPr>
                <w:rFonts w:ascii="Times New Roman" w:hAnsi="Times New Roman" w:eastAsia="Noto Sans CJK SC"/>
                <w:color w:val="000000"/>
                <w:sz w:val="19"/>
                <w:lang w:val="en-US" w:eastAsia="zh-CN"/>
              </w:rPr>
              <w:t>consumer/​data/​macro_​history.csv</w:t>
            </w:r>
          </w:p>
        </w:tc>
        <w:tc>
          <w:tcPr>
            <w:tcW w:type="dxa" w:w="3168"/>
            <w:vAlign w:val="center"/>
            <w:tcMar>
              <w:top w:w="80" w:type="dxa"/>
              <w:bottom w:w="80" w:type="dxa"/>
              <w:left w:w="80" w:type="dxa"/>
              <w:right w:w="80" w:type="dxa"/>
            </w:tcMar>
          </w:tcPr>
          <w:p>
            <w:pPr>
              <w:spacing w:after="40" w:line="240" w:lineRule="exact"/>
            </w:pPr>
            <w:r>
              <w:rPr>
                <w:rFonts w:ascii="Times New Roman" w:hAnsi="Times New Roman" w:eastAsia="Noto Sans CJK SC"/>
                <w:color w:val="000000"/>
                <w:sz w:val="19"/>
                <w:lang w:val="en-US" w:eastAsia="zh-CN"/>
              </w:rPr>
              <w:t>Monthly percentage-point change and its three-month average; candidate only.</w:t>
            </w:r>
          </w:p>
        </w:tc>
      </w:tr>
      <w:tr>
        <w:trPr>
          <w:cantSplit/>
        </w:trPr>
        <w:tc>
          <w:tcPr>
            <w:tcW w:type="dxa" w:w="2664"/>
            <w:vAlign w:val="center"/>
            <w:tcMar>
              <w:top w:w="80" w:type="dxa"/>
              <w:bottom w:w="80" w:type="dxa"/>
              <w:left w:w="80" w:type="dxa"/>
              <w:right w:w="80" w:type="dxa"/>
            </w:tcMar>
          </w:tcPr>
          <w:p>
            <w:pPr>
              <w:spacing w:after="40" w:line="240" w:lineRule="exact"/>
            </w:pPr>
            <w:r>
              <w:rPr>
                <w:rFonts w:ascii="Times New Roman" w:hAnsi="Times New Roman" w:eastAsia="Noto Sans CJK SC"/>
                <w:color w:val="000000"/>
                <w:sz w:val="19"/>
                <w:lang w:val="en-US" w:eastAsia="zh-CN"/>
              </w:rPr>
              <w:t>M_​FCPIU_​B.IUSA</w:t>
              <w:br/>
              <w:t>consumer_​price_​index</w:t>
            </w:r>
          </w:p>
        </w:tc>
        <w:tc>
          <w:tcPr>
            <w:tcW w:type="dxa" w:w="1800"/>
            <w:vAlign w:val="center"/>
            <w:tcMar>
              <w:top w:w="80" w:type="dxa"/>
              <w:bottom w:w="80" w:type="dxa"/>
              <w:left w:w="80" w:type="dxa"/>
              <w:right w:w="80" w:type="dxa"/>
            </w:tcMar>
          </w:tcPr>
          <w:p>
            <w:pPr>
              <w:spacing w:after="40" w:line="240" w:lineRule="exact"/>
            </w:pPr>
            <w:r>
              <w:rPr>
                <w:rFonts w:ascii="Times New Roman" w:hAnsi="Times New Roman" w:eastAsia="Noto Sans CJK SC"/>
                <w:color w:val="000000"/>
                <w:sz w:val="19"/>
                <w:lang w:val="en-US" w:eastAsia="zh-CN"/>
              </w:rPr>
              <w:t>Consumer Price Index</w:t>
            </w:r>
          </w:p>
        </w:tc>
        <w:tc>
          <w:tcPr>
            <w:tcW w:type="dxa" w:w="2304"/>
            <w:vAlign w:val="center"/>
            <w:tcMar>
              <w:top w:w="80" w:type="dxa"/>
              <w:bottom w:w="80" w:type="dxa"/>
              <w:left w:w="80" w:type="dxa"/>
              <w:right w:w="80" w:type="dxa"/>
            </w:tcMar>
          </w:tcPr>
          <w:p>
            <w:pPr>
              <w:spacing w:after="40" w:line="240" w:lineRule="exact"/>
            </w:pPr>
            <w:r>
              <w:rPr>
                <w:rFonts w:ascii="Times New Roman" w:hAnsi="Times New Roman" w:eastAsia="Noto Sans CJK SC"/>
                <w:color w:val="000000"/>
                <w:sz w:val="19"/>
                <w:lang w:val="en-US" w:eastAsia="zh-CN"/>
              </w:rPr>
              <w:t>consumer/​data/​macro_​history.csv</w:t>
            </w:r>
          </w:p>
        </w:tc>
        <w:tc>
          <w:tcPr>
            <w:tcW w:type="dxa" w:w="3168"/>
            <w:vAlign w:val="center"/>
            <w:tcMar>
              <w:top w:w="80" w:type="dxa"/>
              <w:bottom w:w="80" w:type="dxa"/>
              <w:left w:w="80" w:type="dxa"/>
              <w:right w:w="80" w:type="dxa"/>
            </w:tcMar>
          </w:tcPr>
          <w:p>
            <w:pPr>
              <w:spacing w:after="40" w:line="240" w:lineRule="exact"/>
            </w:pPr>
            <w:r>
              <w:rPr>
                <w:rFonts w:ascii="Times New Roman" w:hAnsi="Times New Roman" w:eastAsia="Noto Sans CJK SC"/>
                <w:color w:val="000000"/>
                <w:sz w:val="19"/>
                <w:lang w:val="en-US" w:eastAsia="zh-CN"/>
              </w:rPr>
              <w:t>Monthly percentage growth and its three-month average; candidate only.</w:t>
            </w:r>
          </w:p>
        </w:tc>
      </w:tr>
      <w:tr>
        <w:trPr>
          <w:cantSplit/>
        </w:trPr>
        <w:tc>
          <w:tcPr>
            <w:tcW w:type="dxa" w:w="2664"/>
            <w:vAlign w:val="center"/>
            <w:tcMar>
              <w:top w:w="80" w:type="dxa"/>
              <w:bottom w:w="80" w:type="dxa"/>
              <w:left w:w="80" w:type="dxa"/>
              <w:right w:w="80" w:type="dxa"/>
            </w:tcMar>
          </w:tcPr>
          <w:p>
            <w:pPr>
              <w:spacing w:after="40" w:line="240" w:lineRule="exact"/>
            </w:pPr>
            <w:r>
              <w:rPr>
                <w:rFonts w:ascii="Times New Roman" w:hAnsi="Times New Roman" w:eastAsia="Noto Sans CJK SC"/>
                <w:color w:val="000000"/>
                <w:sz w:val="19"/>
                <w:lang w:val="en-US" w:eastAsia="zh-CN"/>
              </w:rPr>
              <w:t>M_​FYPDPIQ_​B.IUSA</w:t>
              <w:br/>
              <w:t>disposable_​personal_​income</w:t>
            </w:r>
          </w:p>
        </w:tc>
        <w:tc>
          <w:tcPr>
            <w:tcW w:type="dxa" w:w="1800"/>
            <w:vAlign w:val="center"/>
            <w:tcMar>
              <w:top w:w="80" w:type="dxa"/>
              <w:bottom w:w="80" w:type="dxa"/>
              <w:left w:w="80" w:type="dxa"/>
              <w:right w:w="80" w:type="dxa"/>
            </w:tcMar>
          </w:tcPr>
          <w:p>
            <w:pPr>
              <w:spacing w:after="40" w:line="240" w:lineRule="exact"/>
            </w:pPr>
            <w:r>
              <w:rPr>
                <w:rFonts w:ascii="Times New Roman" w:hAnsi="Times New Roman" w:eastAsia="Noto Sans CJK SC"/>
                <w:color w:val="000000"/>
                <w:sz w:val="19"/>
                <w:lang w:val="en-US" w:eastAsia="zh-CN"/>
              </w:rPr>
              <w:t>Disposable personal income</w:t>
            </w:r>
          </w:p>
        </w:tc>
        <w:tc>
          <w:tcPr>
            <w:tcW w:type="dxa" w:w="2304"/>
            <w:vAlign w:val="center"/>
            <w:tcMar>
              <w:top w:w="80" w:type="dxa"/>
              <w:bottom w:w="80" w:type="dxa"/>
              <w:left w:w="80" w:type="dxa"/>
              <w:right w:w="80" w:type="dxa"/>
            </w:tcMar>
          </w:tcPr>
          <w:p>
            <w:pPr>
              <w:spacing w:after="40" w:line="240" w:lineRule="exact"/>
            </w:pPr>
            <w:r>
              <w:rPr>
                <w:rFonts w:ascii="Times New Roman" w:hAnsi="Times New Roman" w:eastAsia="Noto Sans CJK SC"/>
                <w:color w:val="000000"/>
                <w:sz w:val="19"/>
                <w:lang w:val="en-US" w:eastAsia="zh-CN"/>
              </w:rPr>
              <w:t>consumer/​data/​macro_​history.csv</w:t>
            </w:r>
          </w:p>
        </w:tc>
        <w:tc>
          <w:tcPr>
            <w:tcW w:type="dxa" w:w="3168"/>
            <w:vAlign w:val="center"/>
            <w:tcMar>
              <w:top w:w="80" w:type="dxa"/>
              <w:bottom w:w="80" w:type="dxa"/>
              <w:left w:w="80" w:type="dxa"/>
              <w:right w:w="80" w:type="dxa"/>
            </w:tcMar>
          </w:tcPr>
          <w:p>
            <w:pPr>
              <w:spacing w:after="40" w:line="240" w:lineRule="exact"/>
            </w:pPr>
            <w:r>
              <w:rPr>
                <w:rFonts w:ascii="Times New Roman" w:hAnsi="Times New Roman" w:eastAsia="Noto Sans CJK SC"/>
                <w:color w:val="000000"/>
                <w:sz w:val="19"/>
                <w:lang w:val="en-US" w:eastAsia="zh-CN"/>
              </w:rPr>
              <w:t>Monthly percentage growth and its three-month average; candidate only.</w:t>
            </w:r>
          </w:p>
        </w:tc>
      </w:tr>
      <w:tr>
        <w:trPr>
          <w:cantSplit/>
        </w:trPr>
        <w:tc>
          <w:tcPr>
            <w:tcW w:type="dxa" w:w="2664"/>
            <w:vAlign w:val="center"/>
            <w:tcMar>
              <w:top w:w="80" w:type="dxa"/>
              <w:bottom w:w="80" w:type="dxa"/>
              <w:left w:w="80" w:type="dxa"/>
              <w:right w:w="80" w:type="dxa"/>
            </w:tcMar>
          </w:tcPr>
          <w:p>
            <w:pPr>
              <w:spacing w:after="40" w:line="240" w:lineRule="exact"/>
            </w:pPr>
            <w:r>
              <w:rPr>
                <w:rFonts w:ascii="Times New Roman" w:hAnsi="Times New Roman" w:eastAsia="Noto Sans CJK SC"/>
                <w:color w:val="000000"/>
                <w:sz w:val="19"/>
                <w:lang w:val="en-US" w:eastAsia="zh-CN"/>
              </w:rPr>
              <w:t>M_​FRT_​B.IUSA (Retail Sales Total_​Bil.USD,CDASAAR)</w:t>
              <w:br/>
              <w:t>retail_​sales</w:t>
            </w:r>
          </w:p>
        </w:tc>
        <w:tc>
          <w:tcPr>
            <w:tcW w:type="dxa" w:w="1800"/>
            <w:vAlign w:val="center"/>
            <w:tcMar>
              <w:top w:w="80" w:type="dxa"/>
              <w:bottom w:w="80" w:type="dxa"/>
              <w:left w:w="80" w:type="dxa"/>
              <w:right w:w="80" w:type="dxa"/>
            </w:tcMar>
          </w:tcPr>
          <w:p>
            <w:pPr>
              <w:spacing w:after="40" w:line="240" w:lineRule="exact"/>
            </w:pPr>
            <w:r>
              <w:rPr>
                <w:rFonts w:ascii="Times New Roman" w:hAnsi="Times New Roman" w:eastAsia="Noto Sans CJK SC"/>
                <w:color w:val="000000"/>
                <w:sz w:val="19"/>
                <w:lang w:val="en-US" w:eastAsia="zh-CN"/>
              </w:rPr>
              <w:t>Total Retail Sales</w:t>
            </w:r>
          </w:p>
        </w:tc>
        <w:tc>
          <w:tcPr>
            <w:tcW w:type="dxa" w:w="2304"/>
            <w:vAlign w:val="center"/>
            <w:tcMar>
              <w:top w:w="80" w:type="dxa"/>
              <w:bottom w:w="80" w:type="dxa"/>
              <w:left w:w="80" w:type="dxa"/>
              <w:right w:w="80" w:type="dxa"/>
            </w:tcMar>
          </w:tcPr>
          <w:p>
            <w:pPr>
              <w:spacing w:after="40" w:line="240" w:lineRule="exact"/>
            </w:pPr>
            <w:r>
              <w:rPr>
                <w:rFonts w:ascii="Times New Roman" w:hAnsi="Times New Roman" w:eastAsia="Noto Sans CJK SC"/>
                <w:color w:val="000000"/>
                <w:sz w:val="19"/>
                <w:lang w:val="en-US" w:eastAsia="zh-CN"/>
              </w:rPr>
              <w:t>consumer/​data/​macro_​history.csv</w:t>
            </w:r>
          </w:p>
        </w:tc>
        <w:tc>
          <w:tcPr>
            <w:tcW w:type="dxa" w:w="3168"/>
            <w:vAlign w:val="center"/>
            <w:tcMar>
              <w:top w:w="80" w:type="dxa"/>
              <w:bottom w:w="80" w:type="dxa"/>
              <w:left w:w="80" w:type="dxa"/>
              <w:right w:w="80" w:type="dxa"/>
            </w:tcMar>
          </w:tcPr>
          <w:p>
            <w:pPr>
              <w:spacing w:after="40" w:line="240" w:lineRule="exact"/>
            </w:pPr>
            <w:r>
              <w:rPr>
                <w:rFonts w:ascii="Times New Roman" w:hAnsi="Times New Roman" w:eastAsia="Noto Sans CJK SC"/>
                <w:color w:val="000000"/>
                <w:sz w:val="19"/>
                <w:lang w:val="en-US" w:eastAsia="zh-CN"/>
              </w:rPr>
              <w:t>Monthly percentage growth and its three-month average; the average is selected.</w:t>
            </w:r>
          </w:p>
        </w:tc>
      </w:tr>
      <w:tr>
        <w:trPr>
          <w:cantSplit/>
        </w:trPr>
        <w:tc>
          <w:tcPr>
            <w:tcW w:type="dxa" w:w="2664"/>
            <w:vAlign w:val="center"/>
            <w:tcMar>
              <w:top w:w="80" w:type="dxa"/>
              <w:bottom w:w="80" w:type="dxa"/>
              <w:left w:w="80" w:type="dxa"/>
              <w:right w:w="80" w:type="dxa"/>
            </w:tcMar>
          </w:tcPr>
          <w:p>
            <w:pPr>
              <w:spacing w:after="40" w:line="240" w:lineRule="exact"/>
            </w:pPr>
            <w:r>
              <w:rPr>
                <w:rFonts w:ascii="Times New Roman" w:hAnsi="Times New Roman" w:eastAsia="Noto Sans CJK SC"/>
                <w:color w:val="000000"/>
                <w:sz w:val="19"/>
                <w:lang w:val="en-US" w:eastAsia="zh-CN"/>
              </w:rPr>
              <w:t>M_​FCBC_​B.IUSA(Consumer confidence index)</w:t>
              <w:br/>
              <w:t>consumer_​confidence</w:t>
            </w:r>
          </w:p>
        </w:tc>
        <w:tc>
          <w:tcPr>
            <w:tcW w:type="dxa" w:w="1800"/>
            <w:vAlign w:val="center"/>
            <w:tcMar>
              <w:top w:w="80" w:type="dxa"/>
              <w:bottom w:w="80" w:type="dxa"/>
              <w:left w:w="80" w:type="dxa"/>
              <w:right w:w="80" w:type="dxa"/>
            </w:tcMar>
          </w:tcPr>
          <w:p>
            <w:pPr>
              <w:spacing w:after="40" w:line="240" w:lineRule="exact"/>
            </w:pPr>
            <w:r>
              <w:rPr>
                <w:rFonts w:ascii="Times New Roman" w:hAnsi="Times New Roman" w:eastAsia="Noto Sans CJK SC"/>
                <w:color w:val="000000"/>
                <w:sz w:val="19"/>
                <w:lang w:val="en-US" w:eastAsia="zh-CN"/>
              </w:rPr>
              <w:t>Consumer confidence index</w:t>
            </w:r>
          </w:p>
        </w:tc>
        <w:tc>
          <w:tcPr>
            <w:tcW w:type="dxa" w:w="2304"/>
            <w:vAlign w:val="center"/>
            <w:tcMar>
              <w:top w:w="80" w:type="dxa"/>
              <w:bottom w:w="80" w:type="dxa"/>
              <w:left w:w="80" w:type="dxa"/>
              <w:right w:w="80" w:type="dxa"/>
            </w:tcMar>
          </w:tcPr>
          <w:p>
            <w:pPr>
              <w:spacing w:after="40" w:line="240" w:lineRule="exact"/>
            </w:pPr>
            <w:r>
              <w:rPr>
                <w:rFonts w:ascii="Times New Roman" w:hAnsi="Times New Roman" w:eastAsia="Noto Sans CJK SC"/>
                <w:color w:val="000000"/>
                <w:sz w:val="19"/>
                <w:lang w:val="en-US" w:eastAsia="zh-CN"/>
              </w:rPr>
              <w:t>consumer/​data/​macro_​history.csv</w:t>
            </w:r>
          </w:p>
        </w:tc>
        <w:tc>
          <w:tcPr>
            <w:tcW w:type="dxa" w:w="3168"/>
            <w:vAlign w:val="center"/>
            <w:tcMar>
              <w:top w:w="80" w:type="dxa"/>
              <w:bottom w:w="80" w:type="dxa"/>
              <w:left w:w="80" w:type="dxa"/>
              <w:right w:w="80" w:type="dxa"/>
            </w:tcMar>
          </w:tcPr>
          <w:p>
            <w:pPr>
              <w:spacing w:after="40" w:line="240" w:lineRule="exact"/>
            </w:pPr>
            <w:r>
              <w:rPr>
                <w:rFonts w:ascii="Times New Roman" w:hAnsi="Times New Roman" w:eastAsia="Noto Sans CJK SC"/>
                <w:color w:val="000000"/>
                <w:sz w:val="19"/>
                <w:lang w:val="en-US" w:eastAsia="zh-CN"/>
              </w:rPr>
              <w:t>Monthly percentage growth and its three-month average; candidate only.</w:t>
            </w:r>
          </w:p>
        </w:tc>
      </w:tr>
    </w:tbl>
    <w:p>
      <w:pPr>
        <w:keepNext w:val="0"/>
        <w:pageBreakBefore w:val="0"/>
        <w:spacing w:after="140" w:line="230" w:lineRule="exact"/>
      </w:pPr>
      <w:r>
        <w:rPr>
          <w:rFonts w:ascii="Times New Roman" w:hAnsi="Times New Roman" w:eastAsia="Noto Sans CJK SC"/>
          <w:color w:val="000000"/>
          <w:sz w:val="17"/>
          <w:lang w:val="en-US" w:eastAsia="zh-CN"/>
        </w:rPr>
        <w:t>Data sources: consumer/​data/​macro_​history.csv; consumer/​data/​macro_​baseline.csv; consumer/​data/​macro_​s4.csv; consumer/​consumer_​card_​model.py, MACRO_​COLUMNS and engineer. Source-field names retain the exact CSV headers.</w:t>
      </w:r>
    </w:p>
    <w:p>
      <w:pPr>
        <w:pStyle w:val="Heading3"/>
        <w:keepNext/>
        <w:pageBreakBefore w:val="0"/>
        <w:spacing w:after="140"/>
      </w:pPr>
      <w:r>
        <w:rPr>
          <w:rFonts w:ascii="Times New Roman" w:hAnsi="Times New Roman" w:eastAsia="Noto Sans CJK SC"/>
          <w:color w:val="000000"/>
          <w:sz w:val="22"/>
          <w:lang w:val="en-US" w:eastAsia="zh-CN"/>
        </w:rPr>
        <w:t>4.2.4 Data Lineage and Preparation</w:t>
      </w:r>
    </w:p>
    <w:p>
      <w:pPr>
        <w:keepNext w:val="0"/>
        <w:pageBreakBefore w:val="0"/>
        <w:spacing w:after="140"/>
      </w:pPr>
      <w:r>
        <w:rPr>
          <w:rFonts w:ascii="Times New Roman" w:hAnsi="Times New Roman" w:eastAsia="Noto Sans CJK SC"/>
          <w:color w:val="000000"/>
          <w:sz w:val="22"/>
          <w:lang w:val="en-US" w:eastAsia="zh-CN"/>
        </w:rPr>
        <w:t>Preparation imports the source files, maps field names, orders and aligns dates, constructs the specified transformations and selects the relevant estimation or calibration period. Original inputs remain separate from exported features and results. No random sampling is applied.</w:t>
      </w:r>
    </w:p>
    <w:p>
      <w:pPr>
        <w:pStyle w:val="Caption"/>
        <w:keepNext/>
        <w:pageBreakBefore w:val="0"/>
        <w:spacing w:after="140"/>
      </w:pPr>
      <w:r>
        <w:rPr>
          <w:rFonts w:ascii="Times New Roman" w:hAnsi="Times New Roman" w:eastAsia="Noto Sans CJK SC"/>
          <w:color w:val="000000"/>
          <w:sz w:val="21"/>
          <w:lang w:val="en-US" w:eastAsia="zh-CN"/>
        </w:rPr>
        <w:t>Table 4.9 Consumer Card Data Lineage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3168"/>
        <w:gridCol w:w="3672"/>
      </w:tblGrid>
      <w:tr>
        <w:trPr>
          <w:cantSplit/>
          <w:tblHeader/>
        </w:trPr>
        <w:tc>
          <w:tcPr>
            <w:tcW w:type="dxa" w:w="3096"/>
            <w:vAlign w:val="center"/>
            <w:tcMar>
              <w:top w:w="90" w:type="dxa"/>
              <w:bottom w:w="90" w:type="dxa"/>
              <w:left w:w="90" w:type="dxa"/>
              <w:right w:w="90" w:type="dxa"/>
            </w:tcMar>
            <w:shd w:fill="E7E6E6"/>
          </w:tcPr>
          <w:p>
            <w:pPr>
              <w:spacing w:after="40" w:line="240" w:lineRule="exact"/>
            </w:pPr>
            <w:r>
              <w:rPr>
                <w:rFonts w:ascii="Times New Roman" w:hAnsi="Times New Roman" w:eastAsia="Noto Sans CJK SC"/>
                <w:b/>
                <w:color w:val="000000"/>
                <w:sz w:val="19"/>
                <w:lang w:val="en-US" w:eastAsia="zh-CN"/>
              </w:rPr>
              <w:t>Input Source</w:t>
            </w:r>
          </w:p>
        </w:tc>
        <w:tc>
          <w:tcPr>
            <w:tcW w:type="dxa" w:w="3168"/>
            <w:vAlign w:val="center"/>
            <w:tcMar>
              <w:top w:w="90" w:type="dxa"/>
              <w:bottom w:w="90" w:type="dxa"/>
              <w:left w:w="90" w:type="dxa"/>
              <w:right w:w="90" w:type="dxa"/>
            </w:tcMar>
            <w:shd w:fill="E7E6E6"/>
          </w:tcPr>
          <w:p>
            <w:pPr>
              <w:spacing w:after="40" w:line="240" w:lineRule="exact"/>
            </w:pPr>
            <w:r>
              <w:rPr>
                <w:rFonts w:ascii="Times New Roman" w:hAnsi="Times New Roman" w:eastAsia="Noto Sans CJK SC"/>
                <w:b/>
                <w:color w:val="000000"/>
                <w:sz w:val="19"/>
                <w:lang w:val="en-US" w:eastAsia="zh-CN"/>
              </w:rPr>
              <w:t>Output File</w:t>
            </w:r>
          </w:p>
        </w:tc>
        <w:tc>
          <w:tcPr>
            <w:tcW w:type="dxa" w:w="3672"/>
            <w:vAlign w:val="center"/>
            <w:tcMar>
              <w:top w:w="90" w:type="dxa"/>
              <w:bottom w:w="90" w:type="dxa"/>
              <w:left w:w="90" w:type="dxa"/>
              <w:right w:w="90" w:type="dxa"/>
            </w:tcMar>
            <w:shd w:fill="E7E6E6"/>
          </w:tcPr>
          <w:p>
            <w:pPr>
              <w:spacing w:after="40" w:line="240" w:lineRule="exact"/>
            </w:pPr>
            <w:r>
              <w:rPr>
                <w:rFonts w:ascii="Times New Roman" w:hAnsi="Times New Roman" w:eastAsia="Noto Sans CJK SC"/>
                <w:b/>
                <w:color w:val="000000"/>
                <w:sz w:val="19"/>
                <w:lang w:val="en-US" w:eastAsia="zh-CN"/>
              </w:rPr>
              <w:t>Purpose</w:t>
            </w:r>
          </w:p>
        </w:tc>
      </w:tr>
      <w:tr>
        <w:trPr>
          <w:cantSplit/>
        </w:trPr>
        <w:tc>
          <w:tcPr>
            <w:tcW w:type="dxa" w:w="3096"/>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consumer/​data/​fee_​history.csv</w:t>
            </w:r>
          </w:p>
        </w:tc>
        <w:tc>
          <w:tcPr>
            <w:tcW w:type="dxa" w:w="3168"/>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consumer/​historical_​data_​and_​features.csv</w:t>
            </w:r>
          </w:p>
        </w:tc>
        <w:tc>
          <w:tcPr>
            <w:tcW w:type="dxa" w:w="3672"/>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Preserve mapped fee history and derived model features.</w:t>
            </w:r>
          </w:p>
        </w:tc>
      </w:tr>
      <w:tr>
        <w:trPr>
          <w:cantSplit/>
        </w:trPr>
        <w:tc>
          <w:tcPr>
            <w:tcW w:type="dxa" w:w="3096"/>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consumer/​data/​macro_​history.csv</w:t>
            </w:r>
          </w:p>
        </w:tc>
        <w:tc>
          <w:tcPr>
            <w:tcW w:type="dxa" w:w="3168"/>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consumer/​historical_​data_​and_​features.csv</w:t>
            </w:r>
          </w:p>
        </w:tc>
        <w:tc>
          <w:tcPr>
            <w:tcW w:type="dxa" w:w="3672"/>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Align and transform historical economic candidates.</w:t>
            </w:r>
          </w:p>
        </w:tc>
      </w:tr>
      <w:tr>
        <w:trPr>
          <w:cantSplit/>
        </w:trPr>
        <w:tc>
          <w:tcPr>
            <w:tcW w:type="dxa" w:w="3096"/>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consumer/​data/​macro_​baseline.csv; consumer/​data/​macro_​s4.csv</w:t>
            </w:r>
          </w:p>
        </w:tc>
        <w:tc>
          <w:tcPr>
            <w:tcW w:type="dxa" w:w="3168"/>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consumer/​forecast_​monthly.csv</w:t>
            </w:r>
          </w:p>
        </w:tc>
        <w:tc>
          <w:tcPr>
            <w:tcW w:type="dxa" w:w="3672"/>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Generate future scenario paths.</w:t>
            </w:r>
          </w:p>
        </w:tc>
      </w:tr>
    </w:tbl>
    <w:p>
      <w:pPr>
        <w:keepNext/>
        <w:keepLines/>
        <w:pageBreakBefore w:val="0"/>
        <w:spacing w:after="140"/>
      </w:pPr>
      <w:r>
        <w:rPr>
          <w:rFonts w:ascii="Times New Roman" w:hAnsi="Times New Roman" w:eastAsia="Noto Sans CJK SC"/>
          <w:color w:val="000000"/>
          <w:sz w:val="22"/>
          <w:lang w:val="en-US" w:eastAsia="zh-CN"/>
        </w:rPr>
        <w:t>This table documents how Consumer fee levels become monthly log changes, lagged terms and calendar indicators, together with the smoothed Retail Sales driver. The formulas distinguish the change calculation from the subsequent lag or moving-average operation.</w:t>
      </w:r>
    </w:p>
    <w:p>
      <w:pPr>
        <w:pStyle w:val="Caption"/>
        <w:keepNext/>
        <w:pageBreakBefore w:val="0"/>
        <w:spacing w:after="140"/>
      </w:pPr>
      <w:r>
        <w:rPr>
          <w:rFonts w:ascii="Times New Roman" w:hAnsi="Times New Roman" w:eastAsia="Noto Sans CJK SC"/>
          <w:color w:val="000000"/>
          <w:sz w:val="21"/>
          <w:lang w:val="en-US" w:eastAsia="zh-CN"/>
        </w:rPr>
        <w:t>Table 4.10 Consumer Card Transformations and Final Formulas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2880"/>
        <w:gridCol w:w="4824"/>
      </w:tblGrid>
      <w:tr>
        <w:trPr>
          <w:cantSplit/>
          <w:tblHeader/>
        </w:trPr>
        <w:tc>
          <w:tcPr>
            <w:tcW w:type="dxa" w:w="2232"/>
            <w:vAlign w:val="center"/>
            <w:tcMar>
              <w:top w:w="90" w:type="dxa"/>
              <w:bottom w:w="90" w:type="dxa"/>
              <w:left w:w="90" w:type="dxa"/>
              <w:right w:w="90" w:type="dxa"/>
            </w:tcMar>
            <w:shd w:fill="E7E6E6"/>
          </w:tcPr>
          <w:p>
            <w:pPr>
              <w:spacing w:after="40" w:line="240" w:lineRule="exact"/>
            </w:pPr>
            <w:r>
              <w:rPr>
                <w:rFonts w:ascii="Times New Roman" w:hAnsi="Times New Roman" w:eastAsia="Noto Sans CJK SC"/>
                <w:b/>
                <w:color w:val="000000"/>
                <w:sz w:val="19"/>
                <w:lang w:val="en-US" w:eastAsia="zh-CN"/>
              </w:rPr>
              <w:t>Model Element</w:t>
            </w:r>
          </w:p>
        </w:tc>
        <w:tc>
          <w:tcPr>
            <w:tcW w:type="dxa" w:w="2880"/>
            <w:vAlign w:val="center"/>
            <w:tcMar>
              <w:top w:w="90" w:type="dxa"/>
              <w:bottom w:w="90" w:type="dxa"/>
              <w:left w:w="90" w:type="dxa"/>
              <w:right w:w="90" w:type="dxa"/>
            </w:tcMar>
            <w:shd w:fill="E7E6E6"/>
          </w:tcPr>
          <w:p>
            <w:pPr>
              <w:spacing w:after="40" w:line="240" w:lineRule="exact"/>
            </w:pPr>
            <w:r>
              <w:rPr>
                <w:rFonts w:ascii="Times New Roman" w:hAnsi="Times New Roman" w:eastAsia="Noto Sans CJK SC"/>
                <w:b/>
                <w:color w:val="000000"/>
                <w:sz w:val="19"/>
                <w:lang w:val="en-US" w:eastAsia="zh-CN"/>
              </w:rPr>
              <w:t>Transformation Steps</w:t>
            </w:r>
          </w:p>
        </w:tc>
        <w:tc>
          <w:tcPr>
            <w:tcW w:type="dxa" w:w="4824"/>
            <w:vAlign w:val="center"/>
            <w:tcMar>
              <w:top w:w="90" w:type="dxa"/>
              <w:bottom w:w="90" w:type="dxa"/>
              <w:left w:w="90" w:type="dxa"/>
              <w:right w:w="90" w:type="dxa"/>
            </w:tcMar>
            <w:shd w:fill="E7E6E6"/>
          </w:tcPr>
          <w:p>
            <w:pPr>
              <w:spacing w:after="40" w:line="240" w:lineRule="exact"/>
            </w:pPr>
            <w:r>
              <w:rPr>
                <w:rFonts w:ascii="Times New Roman" w:hAnsi="Times New Roman" w:eastAsia="Noto Sans CJK SC"/>
                <w:b/>
                <w:color w:val="000000"/>
                <w:sz w:val="19"/>
                <w:lang w:val="en-US" w:eastAsia="zh-CN"/>
              </w:rPr>
              <w:t>Final Formula</w:t>
            </w:r>
          </w:p>
        </w:tc>
      </w:tr>
      <w:tr>
        <w:trPr>
          <w:cantSplit/>
        </w:trPr>
        <w:tc>
          <w:tcPr>
            <w:tcW w:type="dxa" w:w="2232"/>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consumer_​card_​fee</w:t>
            </w:r>
          </w:p>
        </w:tc>
        <w:tc>
          <w:tcPr>
            <w:tcW w:type="dxa" w:w="288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Read Consumer Card and map the source field without rescaling.</w:t>
            </w:r>
          </w:p>
        </w:tc>
        <w:tc>
          <w:tcPr>
            <w:tcW w:type="dxa" w:w="4824"/>
            <w:vAlign w:val="center"/>
            <w:tcMar>
              <w:top w:w="90" w:type="dxa"/>
              <w:bottom w:w="90" w:type="dxa"/>
              <w:left w:w="90" w:type="dxa"/>
              <w:right w:w="90" w:type="dxa"/>
            </w:tcMar>
          </w:tcPr>
          <w:p>
            <w:pPr>
              <w:spacing w:after="40" w:line="269" w:lineRule="auto"/>
            </w:pPr>
            <w:r>
              <w:rPr>
                <w:rFonts w:ascii="Times New Roman" w:hAnsi="Times New Roman" w:eastAsia="Noto Sans CJK SC"/>
                <w:color w:val="000000"/>
                <w:sz w:val="18"/>
                <w:lang w:val="en-US" w:eastAsia="zh-CN"/>
                <w:lang w:val="en-US" w:eastAsia="zh-CN"/>
              </w:rPr>
              <w:t>= Consumer Card source amount(t)</w:t>
            </w:r>
          </w:p>
        </w:tc>
      </w:tr>
      <w:tr>
        <w:trPr>
          <w:cantSplit/>
        </w:trPr>
        <w:tc>
          <w:tcPr>
            <w:tcW w:type="dxa" w:w="2232"/>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consumer_​card_​fee_​log_​change_​1m_​pct</w:t>
            </w:r>
          </w:p>
        </w:tc>
        <w:tc>
          <w:tcPr>
            <w:tcW w:type="dxa" w:w="288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1. Take natural logarithms of monthly fees. 2. Difference consecutive months. 3. Multiply by 100.</w:t>
            </w:r>
          </w:p>
        </w:tc>
        <w:tc>
          <w:tcPr>
            <w:tcW w:type="dxa" w:w="4824"/>
            <w:vAlign w:val="center"/>
            <w:tcMar>
              <w:top w:w="90" w:type="dxa"/>
              <w:bottom w:w="90" w:type="dxa"/>
              <w:left w:w="90" w:type="dxa"/>
              <w:right w:w="90" w:type="dxa"/>
            </w:tcMar>
          </w:tcPr>
          <w:p>
            <w:pPr>
              <w:spacing w:after="40" w:line="269" w:lineRule="auto"/>
            </w:pPr>
            <w:r>
              <w:rPr>
                <w:rFonts w:ascii="Times New Roman" w:hAnsi="Times New Roman" w:eastAsia="Noto Sans CJK SC"/>
                <w:color w:val="000000"/>
                <w:sz w:val="18"/>
                <w:lang w:val="en-US" w:eastAsia="zh-CN"/>
                <w:lang w:val="en-US" w:eastAsia="zh-CN"/>
              </w:rPr>
              <w:t>= 100 × [ln(consumer_​card_​fee(t))</w:t>
              <w:br/>
              <w:t xml:space="preserve">  − ln(consumer_​card_​fee(t − 1))]</w:t>
            </w:r>
          </w:p>
        </w:tc>
      </w:tr>
      <w:tr>
        <w:trPr>
          <w:cantSplit/>
        </w:trPr>
        <w:tc>
          <w:tcPr>
            <w:tcW w:type="dxa" w:w="2232"/>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consumer_​card_​fee_​log_​change_​1m_​pct_​lag_​1m; consumer_​card_​fee_​log_​change_​1m_​pct_​lag_​2m</w:t>
            </w:r>
          </w:p>
        </w:tc>
        <w:tc>
          <w:tcPr>
            <w:tcW w:type="dxa" w:w="288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Calculate fee log changes, then shift by 1 or 2 months.</w:t>
            </w:r>
          </w:p>
        </w:tc>
        <w:tc>
          <w:tcPr>
            <w:tcW w:type="dxa" w:w="4824"/>
            <w:vAlign w:val="center"/>
            <w:tcMar>
              <w:top w:w="90" w:type="dxa"/>
              <w:bottom w:w="90" w:type="dxa"/>
              <w:left w:w="90" w:type="dxa"/>
              <w:right w:w="90" w:type="dxa"/>
            </w:tcMar>
          </w:tcPr>
          <w:p>
            <w:pPr>
              <w:spacing w:after="40" w:line="269" w:lineRule="auto"/>
            </w:pPr>
            <w:r>
              <w:rPr>
                <w:rFonts w:ascii="Times New Roman" w:hAnsi="Times New Roman" w:eastAsia="Noto Sans CJK SC"/>
                <w:color w:val="000000"/>
                <w:sz w:val="18"/>
                <w:lang w:val="en-US" w:eastAsia="zh-CN"/>
                <w:lang w:val="en-US" w:eastAsia="zh-CN"/>
              </w:rPr>
              <w:t>= consumer_​card_​fee_​log_​change_​1m_​pct</w:t>
              <w:br/>
              <w:t xml:space="preserve">  (t − k), k = 1 or 2</w:t>
            </w:r>
          </w:p>
        </w:tc>
      </w:tr>
      <w:tr>
        <w:trPr>
          <w:cantSplit/>
        </w:trPr>
        <w:tc>
          <w:tcPr>
            <w:tcW w:type="dxa" w:w="2232"/>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is_​january; is_​december</w:t>
            </w:r>
          </w:p>
        </w:tc>
        <w:tc>
          <w:tcPr>
            <w:tcW w:type="dxa" w:w="288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Extract the calendar month and create binary indicators.</w:t>
            </w:r>
          </w:p>
        </w:tc>
        <w:tc>
          <w:tcPr>
            <w:tcW w:type="dxa" w:w="4824"/>
            <w:vAlign w:val="center"/>
            <w:tcMar>
              <w:top w:w="90" w:type="dxa"/>
              <w:bottom w:w="90" w:type="dxa"/>
              <w:left w:w="90" w:type="dxa"/>
              <w:right w:w="90" w:type="dxa"/>
            </w:tcMar>
          </w:tcPr>
          <w:p>
            <w:pPr>
              <w:spacing w:after="40" w:line="269" w:lineRule="auto"/>
            </w:pPr>
            <w:r>
              <w:rPr>
                <w:rFonts w:ascii="Times New Roman" w:hAnsi="Times New Roman" w:eastAsia="Noto Sans CJK SC"/>
                <w:color w:val="000000"/>
                <w:sz w:val="18"/>
                <w:lang w:val="en-US" w:eastAsia="zh-CN"/>
                <w:lang w:val="en-US" w:eastAsia="zh-CN"/>
              </w:rPr>
              <w:t>is_​january(t) = 1 if month(t) = 1; else 0</w:t>
              <w:br/>
              <w:t>is_​december(t) = 1 if month(t) = 12; else 0</w:t>
            </w:r>
          </w:p>
        </w:tc>
      </w:tr>
      <w:tr>
        <w:trPr>
          <w:cantSplit/>
        </w:trPr>
        <w:tc>
          <w:tcPr>
            <w:tcW w:type="dxa" w:w="2232"/>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retail_​sales_​pct_​change_​1m_​ma_​3m</w:t>
            </w:r>
          </w:p>
        </w:tc>
        <w:tc>
          <w:tcPr>
            <w:tcW w:type="dxa" w:w="288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1. Calculate monthly Retail Sales growth in percent. 2. Average current and preceding two growth rates.</w:t>
            </w:r>
          </w:p>
        </w:tc>
        <w:tc>
          <w:tcPr>
            <w:tcW w:type="dxa" w:w="4824"/>
            <w:vAlign w:val="center"/>
            <w:tcMar>
              <w:top w:w="90" w:type="dxa"/>
              <w:bottom w:w="90" w:type="dxa"/>
              <w:left w:w="90" w:type="dxa"/>
              <w:right w:w="90" w:type="dxa"/>
            </w:tcMar>
          </w:tcPr>
          <w:p>
            <w:pPr>
              <w:spacing w:after="40" w:line="269" w:lineRule="auto"/>
            </w:pPr>
            <w:r>
              <w:rPr>
                <w:rFonts w:ascii="Times New Roman" w:hAnsi="Times New Roman" w:eastAsia="Noto Sans CJK SC"/>
                <w:color w:val="000000"/>
                <w:sz w:val="18"/>
                <w:lang w:val="en-US" w:eastAsia="zh-CN"/>
                <w:lang w:val="en-US" w:eastAsia="zh-CN"/>
              </w:rPr>
              <w:t>= [retail_​sales_​pct_​change_​1m(t)</w:t>
              <w:br/>
              <w:t xml:space="preserve">  + retail_​sales_​pct_​change_​1m(t − 1)</w:t>
              <w:br/>
              <w:t xml:space="preserve">  + retail_​sales_​pct_​change_​1m(t − 2)] ÷ 3</w:t>
              <w:br/>
              <w:t>retail_​sales_​pct_​change_​1m(t)</w:t>
              <w:br/>
              <w:t>= 100 × [retail_​sales(t)</w:t>
              <w:br/>
              <w:t xml:space="preserve">  ÷ retail_​sales(t − 1) − 1]</w:t>
            </w:r>
          </w:p>
        </w:tc>
      </w:tr>
    </w:tbl>
    <w:p>
      <w:pPr>
        <w:keepNext w:val="0"/>
        <w:pageBreakBefore w:val="0"/>
        <w:spacing w:after="140" w:line="230" w:lineRule="exact"/>
      </w:pPr>
      <w:r>
        <w:rPr>
          <w:rFonts w:ascii="Times New Roman" w:hAnsi="Times New Roman" w:eastAsia="Noto Sans CJK SC"/>
          <w:color w:val="000000"/>
          <w:sz w:val="17"/>
          <w:lang w:val="en-US" w:eastAsia="zh-CN"/>
          <w:lang w:val="en-US" w:eastAsia="zh-CN"/>
        </w:rPr>
        <w:t>Data sources: consumer/​consumer_​card_​model.py; consumer/​historical_​data_​and_​features.csv.</w:t>
      </w:r>
    </w:p>
    <w:p>
      <w:pPr>
        <w:pStyle w:val="Heading3"/>
        <w:keepNext/>
        <w:pageBreakBefore w:val="0"/>
        <w:spacing w:after="140"/>
      </w:pPr>
      <w:r>
        <w:rPr>
          <w:rFonts w:ascii="Times New Roman" w:hAnsi="Times New Roman" w:eastAsia="Noto Sans CJK SC"/>
          <w:color w:val="000000"/>
          <w:sz w:val="22"/>
          <w:lang w:val="en-US" w:eastAsia="zh-CN"/>
        </w:rPr>
        <w:t>4.2.5 Data Quality Assessment</w:t>
      </w:r>
    </w:p>
    <w:p>
      <w:pPr>
        <w:keepNext w:val="0"/>
        <w:pageBreakBefore w:val="0"/>
        <w:spacing w:after="140"/>
      </w:pPr>
      <w:r>
        <w:rPr>
          <w:rFonts w:ascii="Times New Roman" w:hAnsi="Times New Roman" w:eastAsia="Noto Sans CJK SC"/>
          <w:color w:val="000000"/>
          <w:sz w:val="22"/>
          <w:lang w:val="en-US" w:eastAsia="zh-CN"/>
        </w:rPr>
        <w:t>Data-quality assessment reviews completeness, date consistency, duplicates, alignment and transformation accuracy. Required source fields are reconciled to the mapped series and exported features. Initial observations unavailable solely because of growth calculations or lags are distinguished from missing source observations.</w:t>
      </w:r>
    </w:p>
    <w:p>
      <w:pPr>
        <w:pStyle w:val="Caption"/>
        <w:keepNext/>
        <w:pageBreakBefore w:val="0"/>
        <w:spacing w:after="140"/>
      </w:pPr>
      <w:r>
        <w:rPr>
          <w:rFonts w:ascii="Times New Roman" w:hAnsi="Times New Roman" w:eastAsia="Noto Sans CJK SC"/>
          <w:color w:val="000000"/>
          <w:sz w:val="21"/>
          <w:lang w:val="en-US" w:eastAsia="zh-CN"/>
        </w:rPr>
        <w:t>Table 4.11 Consumer Card Data Quality Review</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3744"/>
        <w:gridCol w:w="4320"/>
      </w:tblGrid>
      <w:tr>
        <w:trPr>
          <w:cantSplit/>
          <w:tblHeader/>
        </w:trPr>
        <w:tc>
          <w:tcPr>
            <w:tcW w:type="dxa" w:w="1872"/>
            <w:vAlign w:val="center"/>
            <w:tcMar>
              <w:top w:w="90" w:type="dxa"/>
              <w:bottom w:w="90" w:type="dxa"/>
              <w:left w:w="90" w:type="dxa"/>
              <w:right w:w="90" w:type="dxa"/>
            </w:tcMar>
            <w:shd w:fill="E7E6E6"/>
          </w:tcPr>
          <w:p>
            <w:pPr>
              <w:spacing w:after="40" w:line="240" w:lineRule="exact"/>
            </w:pPr>
            <w:r>
              <w:rPr>
                <w:rFonts w:ascii="Times New Roman" w:hAnsi="Times New Roman" w:eastAsia="Noto Sans CJK SC"/>
                <w:b/>
                <w:color w:val="000000"/>
                <w:sz w:val="19"/>
                <w:lang w:val="en-US" w:eastAsia="zh-CN"/>
              </w:rPr>
              <w:t>Review Area</w:t>
            </w:r>
          </w:p>
        </w:tc>
        <w:tc>
          <w:tcPr>
            <w:tcW w:type="dxa" w:w="3744"/>
            <w:vAlign w:val="center"/>
            <w:tcMar>
              <w:top w:w="90" w:type="dxa"/>
              <w:bottom w:w="90" w:type="dxa"/>
              <w:left w:w="90" w:type="dxa"/>
              <w:right w:w="90" w:type="dxa"/>
            </w:tcMar>
            <w:shd w:fill="E7E6E6"/>
          </w:tcPr>
          <w:p>
            <w:pPr>
              <w:spacing w:after="40" w:line="240" w:lineRule="exact"/>
            </w:pPr>
            <w:r>
              <w:rPr>
                <w:rFonts w:ascii="Times New Roman" w:hAnsi="Times New Roman" w:eastAsia="Noto Sans CJK SC"/>
                <w:b/>
                <w:color w:val="000000"/>
                <w:sz w:val="19"/>
                <w:lang w:val="en-US" w:eastAsia="zh-CN"/>
              </w:rPr>
              <w:t>Assessment Performed</w:t>
            </w:r>
          </w:p>
        </w:tc>
        <w:tc>
          <w:tcPr>
            <w:tcW w:type="dxa" w:w="4320"/>
            <w:vAlign w:val="center"/>
            <w:tcMar>
              <w:top w:w="90" w:type="dxa"/>
              <w:bottom w:w="90" w:type="dxa"/>
              <w:left w:w="90" w:type="dxa"/>
              <w:right w:w="90" w:type="dxa"/>
            </w:tcMar>
            <w:shd w:fill="E7E6E6"/>
          </w:tcPr>
          <w:p>
            <w:pPr>
              <w:spacing w:after="40" w:line="240" w:lineRule="exact"/>
            </w:pPr>
            <w:r>
              <w:rPr>
                <w:rFonts w:ascii="Times New Roman" w:hAnsi="Times New Roman" w:eastAsia="Noto Sans CJK SC"/>
                <w:b/>
                <w:color w:val="000000"/>
                <w:sz w:val="19"/>
                <w:lang w:val="en-US" w:eastAsia="zh-CN"/>
              </w:rPr>
              <w:t>Result</w:t>
            </w:r>
          </w:p>
        </w:tc>
      </w:tr>
      <w:tr>
        <w:trPr>
          <w:cantSplit/>
        </w:trPr>
        <w:tc>
          <w:tcPr>
            <w:tcW w:type="dxa" w:w="1872"/>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Date consistency</w:t>
            </w:r>
          </w:p>
        </w:tc>
        <w:tc>
          <w:tcPr>
            <w:tcW w:type="dxa" w:w="3744"/>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Check monthly dates and duplicate keys.</w:t>
            </w:r>
          </w:p>
        </w:tc>
        <w:tc>
          <w:tcPr>
            <w:tcW w:type="dxa" w:w="432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Unique monthly source dates.</w:t>
            </w:r>
          </w:p>
        </w:tc>
      </w:tr>
      <w:tr>
        <w:trPr>
          <w:cantSplit/>
        </w:trPr>
        <w:tc>
          <w:tcPr>
            <w:tcW w:type="dxa" w:w="1872"/>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Transformation accuracy</w:t>
            </w:r>
          </w:p>
        </w:tc>
        <w:tc>
          <w:tcPr>
            <w:tcW w:type="dxa" w:w="3744"/>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Trace features to original fields and code.</w:t>
            </w:r>
          </w:p>
        </w:tc>
        <w:tc>
          <w:tcPr>
            <w:tcW w:type="dxa" w:w="432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Aggregation, growth and lag rules are reproducible.</w:t>
            </w:r>
          </w:p>
        </w:tc>
      </w:tr>
      <w:tr>
        <w:trPr>
          <w:cantSplit/>
        </w:trPr>
        <w:tc>
          <w:tcPr>
            <w:tcW w:type="dxa" w:w="1872"/>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Sample alignment</w:t>
            </w:r>
          </w:p>
        </w:tc>
        <w:tc>
          <w:tcPr>
            <w:tcW w:type="dxa" w:w="3744"/>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Apply defined windows and complete-case alignment.</w:t>
            </w:r>
          </w:p>
        </w:tc>
        <w:tc>
          <w:tcPr>
            <w:tcW w:type="dxa" w:w="432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Estimation and calibration samples follow the component specification.</w:t>
            </w:r>
          </w:p>
        </w:tc>
      </w:tr>
    </w:tbl>
    <w:p>
      <w:pPr>
        <w:pStyle w:val="Heading3"/>
        <w:keepNext/>
        <w:pageBreakBefore w:val="0"/>
        <w:spacing w:after="140"/>
      </w:pPr>
      <w:r>
        <w:rPr>
          <w:rFonts w:ascii="Times New Roman" w:hAnsi="Times New Roman" w:eastAsia="Noto Sans CJK SC"/>
          <w:color w:val="000000"/>
          <w:sz w:val="22"/>
          <w:lang w:val="en-US" w:eastAsia="zh-CN"/>
        </w:rPr>
        <w:t>4.2.6 Missing Data Review and Inclusion Exclusion Decisions</w:t>
      </w:r>
    </w:p>
    <w:p>
      <w:pPr>
        <w:keepNext w:val="0"/>
        <w:pageBreakBefore w:val="0"/>
        <w:spacing w:after="140"/>
      </w:pPr>
      <w:r>
        <w:rPr>
          <w:rFonts w:ascii="Times New Roman" w:hAnsi="Times New Roman" w:eastAsia="Noto Sans CJK SC"/>
          <w:color w:val="000000"/>
          <w:sz w:val="22"/>
          <w:lang w:val="en-US" w:eastAsia="zh-CN"/>
        </w:rPr>
        <w:t>Missing-data assessment covers the fee history, required historical inputs, selected forecast drivers where applicable, and aligned development sample.</w:t>
      </w:r>
    </w:p>
    <w:p>
      <w:pPr>
        <w:pStyle w:val="Caption"/>
        <w:keepNext/>
        <w:pageBreakBefore w:val="0"/>
        <w:spacing w:after="140"/>
      </w:pPr>
      <w:r>
        <w:rPr>
          <w:rFonts w:ascii="Times New Roman" w:hAnsi="Times New Roman" w:eastAsia="Noto Sans CJK SC"/>
          <w:color w:val="000000"/>
          <w:sz w:val="21"/>
          <w:lang w:val="en-US" w:eastAsia="zh-CN"/>
        </w:rPr>
        <w:t>Table 4.12 Consumer Card Missing Data Assessment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84"/>
        <w:gridCol w:w="1800"/>
        <w:gridCol w:w="4752"/>
      </w:tblGrid>
      <w:tr>
        <w:trPr>
          <w:cantSplit/>
          <w:tblHeader/>
        </w:trPr>
        <w:tc>
          <w:tcPr>
            <w:tcW w:type="dxa" w:w="3384"/>
            <w:vAlign w:val="center"/>
            <w:tcMar>
              <w:top w:w="90" w:type="dxa"/>
              <w:bottom w:w="90" w:type="dxa"/>
              <w:left w:w="90" w:type="dxa"/>
              <w:right w:w="90" w:type="dxa"/>
            </w:tcMar>
            <w:shd w:fill="E7E6E6"/>
          </w:tcPr>
          <w:p>
            <w:pPr>
              <w:spacing w:after="40" w:line="240" w:lineRule="exact"/>
            </w:pPr>
            <w:r>
              <w:rPr>
                <w:rFonts w:ascii="Times New Roman" w:hAnsi="Times New Roman" w:eastAsia="Noto Sans CJK SC"/>
                <w:b/>
                <w:color w:val="000000"/>
                <w:sz w:val="19"/>
                <w:lang w:val="en-US" w:eastAsia="zh-CN"/>
              </w:rPr>
              <w:t>Assessment Area</w:t>
            </w:r>
          </w:p>
        </w:tc>
        <w:tc>
          <w:tcPr>
            <w:tcW w:type="dxa" w:w="1800"/>
            <w:vAlign w:val="center"/>
            <w:tcMar>
              <w:top w:w="90" w:type="dxa"/>
              <w:bottom w:w="90" w:type="dxa"/>
              <w:left w:w="90" w:type="dxa"/>
              <w:right w:w="90" w:type="dxa"/>
            </w:tcMar>
            <w:shd w:fill="E7E6E6"/>
          </w:tcPr>
          <w:p>
            <w:pPr>
              <w:spacing w:after="40" w:line="240" w:lineRule="exact"/>
            </w:pPr>
            <w:r>
              <w:rPr>
                <w:rFonts w:ascii="Times New Roman" w:hAnsi="Times New Roman" w:eastAsia="Noto Sans CJK SC"/>
                <w:b/>
                <w:color w:val="000000"/>
                <w:sz w:val="19"/>
                <w:lang w:val="en-US" w:eastAsia="zh-CN"/>
              </w:rPr>
              <w:t>Missing Observations</w:t>
            </w:r>
          </w:p>
        </w:tc>
        <w:tc>
          <w:tcPr>
            <w:tcW w:type="dxa" w:w="4752"/>
            <w:vAlign w:val="center"/>
            <w:tcMar>
              <w:top w:w="90" w:type="dxa"/>
              <w:bottom w:w="90" w:type="dxa"/>
              <w:left w:w="90" w:type="dxa"/>
              <w:right w:w="90" w:type="dxa"/>
            </w:tcMar>
            <w:shd w:fill="E7E6E6"/>
          </w:tcPr>
          <w:p>
            <w:pPr>
              <w:spacing w:after="40" w:line="240" w:lineRule="exact"/>
            </w:pPr>
            <w:r>
              <w:rPr>
                <w:rFonts w:ascii="Times New Roman" w:hAnsi="Times New Roman" w:eastAsia="Noto Sans CJK SC"/>
                <w:b/>
                <w:color w:val="000000"/>
                <w:sz w:val="19"/>
                <w:lang w:val="en-US" w:eastAsia="zh-CN"/>
              </w:rPr>
              <w:t>Result</w:t>
            </w:r>
          </w:p>
        </w:tc>
      </w:tr>
      <w:tr>
        <w:trPr>
          <w:cantSplit/>
        </w:trPr>
        <w:tc>
          <w:tcPr>
            <w:tcW w:type="dxa" w:w="3384"/>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Fee revenue history</w:t>
            </w:r>
          </w:p>
        </w:tc>
        <w:tc>
          <w:tcPr>
            <w:tcW w:type="dxa" w:w="180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0</w:t>
            </w:r>
          </w:p>
        </w:tc>
        <w:tc>
          <w:tcPr>
            <w:tcW w:type="dxa" w:w="4752"/>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No missing values identified in the assessed fields.</w:t>
            </w:r>
          </w:p>
        </w:tc>
      </w:tr>
      <w:tr>
        <w:trPr>
          <w:cantSplit/>
        </w:trPr>
        <w:tc>
          <w:tcPr>
            <w:tcW w:type="dxa" w:w="3384"/>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Required historical model inputs</w:t>
            </w:r>
          </w:p>
        </w:tc>
        <w:tc>
          <w:tcPr>
            <w:tcW w:type="dxa" w:w="180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0</w:t>
            </w:r>
          </w:p>
        </w:tc>
        <w:tc>
          <w:tcPr>
            <w:tcW w:type="dxa" w:w="4752"/>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No missing values identified in the assessed fields.</w:t>
            </w:r>
          </w:p>
        </w:tc>
      </w:tr>
      <w:tr>
        <w:trPr>
          <w:cantSplit/>
        </w:trPr>
        <w:tc>
          <w:tcPr>
            <w:tcW w:type="dxa" w:w="3384"/>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Selected Baseline and S4 drivers</w:t>
            </w:r>
          </w:p>
        </w:tc>
        <w:tc>
          <w:tcPr>
            <w:tcW w:type="dxa" w:w="180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0</w:t>
            </w:r>
          </w:p>
        </w:tc>
        <w:tc>
          <w:tcPr>
            <w:tcW w:type="dxa" w:w="4752"/>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No missing values identified in the assessed fields.</w:t>
            </w:r>
          </w:p>
        </w:tc>
      </w:tr>
      <w:tr>
        <w:trPr>
          <w:cantSplit/>
        </w:trPr>
        <w:tc>
          <w:tcPr>
            <w:tcW w:type="dxa" w:w="3384"/>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Aligned development dataset</w:t>
            </w:r>
          </w:p>
        </w:tc>
        <w:tc>
          <w:tcPr>
            <w:tcW w:type="dxa" w:w="180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0</w:t>
            </w:r>
          </w:p>
        </w:tc>
        <w:tc>
          <w:tcPr>
            <w:tcW w:type="dxa" w:w="4752"/>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No missing values identified in the assessed fields.</w:t>
            </w:r>
          </w:p>
        </w:tc>
      </w:tr>
    </w:tbl>
    <w:p>
      <w:pPr>
        <w:keepNext w:val="0"/>
        <w:pageBreakBefore w:val="0"/>
        <w:spacing w:after="140" w:line="230" w:lineRule="exact"/>
      </w:pPr>
      <w:r>
        <w:rPr>
          <w:rFonts w:ascii="Times New Roman" w:hAnsi="Times New Roman" w:eastAsia="Noto Sans CJK SC"/>
          <w:color w:val="000000"/>
          <w:sz w:val="17"/>
          <w:lang w:val="en-US" w:eastAsia="zh-CN"/>
          <w:lang w:val="en-US" w:eastAsia="zh-CN"/>
        </w:rPr>
        <w:t>Data sources: consumer/​data/​fee_​history.csv; consumer/​data/​macro_​history.csv; consumer/​data/​macro_​baseline.csv; consumer/​data/​macro_​s4.csv; consumer/​historical_​data_​and_​features.csv. Assessment scope is limited to the required model fields.</w:t>
      </w:r>
    </w:p>
    <w:p>
      <w:pPr>
        <w:pStyle w:val="Heading3"/>
        <w:keepNext/>
        <w:pageBreakBefore w:val="0"/>
        <w:spacing w:after="140"/>
      </w:pPr>
      <w:r>
        <w:rPr>
          <w:rFonts w:ascii="Times New Roman" w:hAnsi="Times New Roman" w:eastAsia="Noto Sans CJK SC"/>
          <w:color w:val="000000"/>
          <w:sz w:val="22"/>
          <w:lang w:val="en-US" w:eastAsia="zh-CN"/>
        </w:rPr>
        <w:t>4.2.7 Outlier Assessment and Adjustments</w:t>
      </w:r>
    </w:p>
    <w:p>
      <w:pPr>
        <w:keepNext w:val="0"/>
        <w:pageBreakBefore w:val="0"/>
        <w:spacing w:after="140"/>
      </w:pPr>
      <w:r>
        <w:rPr>
          <w:rFonts w:ascii="Times New Roman" w:hAnsi="Times New Roman" w:eastAsia="Noto Sans CJK SC"/>
          <w:color w:val="000000"/>
          <w:sz w:val="22"/>
          <w:lang w:val="en-US" w:eastAsia="zh-CN"/>
        </w:rPr>
        <w:t>Historical Consumer Card fee observations are retained without manual outlier replacement. Monthly logarithmic changes, own lags and January and December indicators represent the observed dynamics and calendar pattern within the model. Raw fee amounts remain unchanged.</w:t>
      </w:r>
    </w:p>
    <w:p>
      <w:pPr>
        <w:pStyle w:val="Heading3"/>
        <w:keepNext/>
        <w:pageBreakBefore w:val="0"/>
        <w:spacing w:after="140"/>
      </w:pPr>
      <w:r>
        <w:rPr>
          <w:rFonts w:ascii="Times New Roman" w:hAnsi="Times New Roman" w:eastAsia="Noto Sans CJK SC"/>
          <w:color w:val="000000"/>
          <w:sz w:val="22"/>
          <w:lang w:val="en-US" w:eastAsia="zh-CN"/>
        </w:rPr>
        <w:t>4.2.8 Data Relevance and Assumptions</w:t>
      </w:r>
    </w:p>
    <w:p>
      <w:pPr>
        <w:keepNext w:val="0"/>
        <w:pageBreakBefore w:val="0"/>
        <w:spacing w:after="140"/>
      </w:pPr>
      <w:r>
        <w:rPr>
          <w:rFonts w:ascii="Times New Roman" w:hAnsi="Times New Roman" w:eastAsia="Noto Sans CJK SC"/>
          <w:color w:val="000000"/>
          <w:sz w:val="22"/>
          <w:lang w:val="en-US" w:eastAsia="zh-CN"/>
        </w:rPr>
        <w:t>The target directly measures the fee revenue being forecast. Historical coverage provides observations across different operating environments. Data preparation assumes consistent fee definitions, component mappings and reporting units over time. Source-system lineage, accounting reconciliation and data-vintage records support ongoing data governance.</w:t>
      </w:r>
    </w:p>
    <w:p>
      <w:pPr>
        <w:keepNext w:val="0"/>
        <w:pageBreakBefore w:val="0"/>
        <w:spacing w:after="140"/>
      </w:pPr>
      <w:r>
        <w:rPr>
          <w:rFonts w:ascii="Times New Roman" w:hAnsi="Times New Roman" w:eastAsia="Noto Sans CJK SC"/>
          <w:color w:val="000000"/>
          <w:sz w:val="22"/>
          <w:lang w:val="en-US" w:eastAsia="zh-CN"/>
        </w:rPr>
        <w:t>Pricing actions, product changes and shifts in customer behavior are reviewed alongside aggregate fee history. Periodic review considers the continuing relevance of the input definitions, selected transformations and calibration periods.</w:t>
      </w:r>
    </w:p>
    <w:p>
      <w:pPr>
        <w:pStyle w:val="Heading3"/>
        <w:keepNext/>
        <w:pageBreakBefore w:val="0"/>
        <w:spacing w:after="140"/>
      </w:pPr>
      <w:r>
        <w:rPr>
          <w:rFonts w:ascii="Times New Roman" w:hAnsi="Times New Roman" w:eastAsia="Noto Sans CJK SC"/>
          <w:color w:val="000000"/>
          <w:sz w:val="22"/>
          <w:lang w:val="en-US" w:eastAsia="zh-CN"/>
        </w:rPr>
        <w:t>4.2.9 Development Data Conclusions</w:t>
      </w:r>
    </w:p>
    <w:p>
      <w:pPr>
        <w:keepNext w:val="0"/>
        <w:pageBreakBefore w:val="0"/>
        <w:spacing w:after="140"/>
      </w:pPr>
      <w:r>
        <w:rPr>
          <w:rFonts w:ascii="Times New Roman" w:hAnsi="Times New Roman" w:eastAsia="Noto Sans CJK SC"/>
          <w:color w:val="000000"/>
          <w:sz w:val="22"/>
          <w:lang w:val="en-US" w:eastAsia="zh-CN"/>
        </w:rPr>
        <w:t>The Consumer Card development data provide a consistent foundation for the documented model methodology. Source files, derived features and calculation rules preserve traceability and support estimation, testing and forecasting. Ongoing review of data quality and business developments maintains the relevance of this foundation.</w:t>
      </w:r>
    </w:p>
    <w:p>
      <w:pPr>
        <w:pStyle w:val="Heading2"/>
        <w:keepNext/>
        <w:pageBreakBefore w:val="0"/>
        <w:spacing w:after="140"/>
      </w:pPr>
      <w:r>
        <w:rPr>
          <w:rFonts w:ascii="Times New Roman" w:hAnsi="Times New Roman" w:eastAsia="Noto Sans CJK SC"/>
          <w:color w:val="000000"/>
          <w:sz w:val="26"/>
          <w:lang w:val="en-US" w:eastAsia="zh-CN"/>
        </w:rPr>
        <w:t>4.3 Debit Card Model Data</w:t>
      </w:r>
    </w:p>
    <w:p>
      <w:pPr>
        <w:pStyle w:val="Heading3"/>
        <w:keepNext/>
        <w:pageBreakBefore w:val="0"/>
        <w:spacing w:after="140"/>
      </w:pPr>
      <w:r>
        <w:rPr>
          <w:rFonts w:ascii="Times New Roman" w:hAnsi="Times New Roman" w:eastAsia="Noto Sans CJK SC"/>
          <w:color w:val="000000"/>
          <w:sz w:val="22"/>
          <w:lang w:val="en-US" w:eastAsia="zh-CN"/>
        </w:rPr>
        <w:t>4.3.1 Purpose and Development Sample</w:t>
      </w:r>
    </w:p>
    <w:p>
      <w:pPr>
        <w:keepNext w:val="0"/>
        <w:pageBreakBefore w:val="0"/>
        <w:spacing w:after="140"/>
      </w:pPr>
      <w:r>
        <w:rPr>
          <w:rFonts w:ascii="Times New Roman" w:hAnsi="Times New Roman" w:eastAsia="Noto Sans CJK SC"/>
          <w:color w:val="000000"/>
          <w:sz w:val="22"/>
          <w:lang w:val="en-US" w:eastAsia="zh-CN"/>
        </w:rPr>
        <w:t>The development data provide the foundation for estimating, testing and forecasting Debit Card fee revenue. Data preparation focuses on relevance, completeness, consistent definitions and traceability from source observations to model inputs.</w:t>
      </w:r>
    </w:p>
    <w:p>
      <w:pPr>
        <w:keepNext w:val="0"/>
        <w:pageBreakBefore w:val="0"/>
        <w:spacing w:after="140"/>
      </w:pPr>
      <w:r>
        <w:rPr>
          <w:rFonts w:ascii="Times New Roman" w:hAnsi="Times New Roman" w:eastAsia="Noto Sans CJK SC"/>
          <w:color w:val="000000"/>
          <w:sz w:val="22"/>
          <w:lang w:val="en-US" w:eastAsia="zh-CN"/>
        </w:rPr>
        <w:t>Raw monthly fee history spans January 2011 through December 2025. Development uses observations from January 2012 onward after the documented adjustments. Complete quarterly revenue is the sum of three monthly adjusted observations. Baseline calibration uses the latest eight complete actual quarters; stress calibration uses complete quarters from 2015 onward.</w:t>
      </w:r>
    </w:p>
    <w:p>
      <w:pPr>
        <w:pStyle w:val="Heading3"/>
        <w:keepNext/>
        <w:pageBreakBefore w:val="0"/>
        <w:spacing w:after="140"/>
      </w:pPr>
      <w:r>
        <w:rPr>
          <w:rFonts w:ascii="Times New Roman" w:hAnsi="Times New Roman" w:eastAsia="Noto Sans CJK SC"/>
          <w:color w:val="000000"/>
          <w:sz w:val="22"/>
          <w:lang w:val="en-US" w:eastAsia="zh-CN"/>
        </w:rPr>
        <w:t>4.3.2 Internal Data Sources</w:t>
      </w:r>
    </w:p>
    <w:p>
      <w:pPr>
        <w:keepNext w:val="0"/>
        <w:pageBreakBefore w:val="0"/>
        <w:spacing w:after="140"/>
      </w:pPr>
      <w:r>
        <w:rPr>
          <w:rFonts w:ascii="Times New Roman" w:hAnsi="Times New Roman" w:eastAsia="Noto Sans CJK SC"/>
          <w:color w:val="000000"/>
          <w:sz w:val="22"/>
          <w:lang w:val="en-US" w:eastAsia="zh-CN"/>
        </w:rPr>
        <w:t>Internal data consist of monthly fee revenue in fee_​history.csv. All fee-history amounts are in $000, representing thousands of US dollars, and are used without rescaling. Calculated growth rates and other model features are kept separate from the source fields.</w:t>
      </w:r>
    </w:p>
    <w:p>
      <w:pPr>
        <w:pStyle w:val="Caption"/>
        <w:keepNext/>
        <w:pageBreakBefore w:val="0"/>
        <w:spacing w:after="140"/>
      </w:pPr>
      <w:r>
        <w:rPr>
          <w:rFonts w:ascii="Times New Roman" w:hAnsi="Times New Roman" w:eastAsia="Noto Sans CJK SC"/>
          <w:color w:val="000000"/>
          <w:sz w:val="21"/>
          <w:lang w:val="en-US" w:eastAsia="zh-CN"/>
        </w:rPr>
        <w:t>Table 4.13 Debit Card Internal Data Inventory</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2448"/>
        <w:gridCol w:w="2592"/>
        <w:gridCol w:w="3168"/>
      </w:tblGrid>
      <w:tr>
        <w:trPr>
          <w:cantSplit/>
          <w:tblHeader/>
        </w:trPr>
        <w:tc>
          <w:tcPr>
            <w:tcW w:type="dxa" w:w="1728"/>
            <w:vAlign w:val="center"/>
            <w:tcMar>
              <w:top w:w="90" w:type="dxa"/>
              <w:bottom w:w="90" w:type="dxa"/>
              <w:left w:w="90" w:type="dxa"/>
              <w:right w:w="90" w:type="dxa"/>
            </w:tcMar>
            <w:shd w:fill="E7E6E6"/>
          </w:tcPr>
          <w:p>
            <w:pPr>
              <w:spacing w:after="40" w:line="240" w:lineRule="exact"/>
            </w:pPr>
            <w:r>
              <w:rPr>
                <w:rFonts w:ascii="Times New Roman" w:hAnsi="Times New Roman" w:eastAsia="Noto Sans CJK SC"/>
                <w:b/>
                <w:color w:val="000000"/>
                <w:sz w:val="19"/>
                <w:lang w:val="en-US" w:eastAsia="zh-CN"/>
              </w:rPr>
              <w:t>Data Element</w:t>
            </w:r>
          </w:p>
        </w:tc>
        <w:tc>
          <w:tcPr>
            <w:tcW w:type="dxa" w:w="2448"/>
            <w:vAlign w:val="center"/>
            <w:tcMar>
              <w:top w:w="90" w:type="dxa"/>
              <w:bottom w:w="90" w:type="dxa"/>
              <w:left w:w="90" w:type="dxa"/>
              <w:right w:w="90" w:type="dxa"/>
            </w:tcMar>
            <w:shd w:fill="E7E6E6"/>
          </w:tcPr>
          <w:p>
            <w:pPr>
              <w:spacing w:after="40" w:line="240" w:lineRule="exact"/>
            </w:pPr>
            <w:r>
              <w:rPr>
                <w:rFonts w:ascii="Times New Roman" w:hAnsi="Times New Roman" w:eastAsia="Noto Sans CJK SC"/>
                <w:b/>
                <w:color w:val="000000"/>
                <w:sz w:val="19"/>
                <w:lang w:val="en-US" w:eastAsia="zh-CN"/>
              </w:rPr>
              <w:t>Description</w:t>
            </w:r>
          </w:p>
        </w:tc>
        <w:tc>
          <w:tcPr>
            <w:tcW w:type="dxa" w:w="2592"/>
            <w:vAlign w:val="center"/>
            <w:tcMar>
              <w:top w:w="90" w:type="dxa"/>
              <w:bottom w:w="90" w:type="dxa"/>
              <w:left w:w="90" w:type="dxa"/>
              <w:right w:w="90" w:type="dxa"/>
            </w:tcMar>
            <w:shd w:fill="E7E6E6"/>
          </w:tcPr>
          <w:p>
            <w:pPr>
              <w:spacing w:after="40" w:line="240" w:lineRule="exact"/>
            </w:pPr>
            <w:r>
              <w:rPr>
                <w:rFonts w:ascii="Times New Roman" w:hAnsi="Times New Roman" w:eastAsia="Noto Sans CJK SC"/>
                <w:b/>
                <w:color w:val="000000"/>
                <w:sz w:val="19"/>
                <w:lang w:val="en-US" w:eastAsia="zh-CN"/>
              </w:rPr>
              <w:t>Source Dataset</w:t>
            </w:r>
          </w:p>
        </w:tc>
        <w:tc>
          <w:tcPr>
            <w:tcW w:type="dxa" w:w="3168"/>
            <w:vAlign w:val="center"/>
            <w:tcMar>
              <w:top w:w="90" w:type="dxa"/>
              <w:bottom w:w="90" w:type="dxa"/>
              <w:left w:w="90" w:type="dxa"/>
              <w:right w:w="90" w:type="dxa"/>
            </w:tcMar>
            <w:shd w:fill="E7E6E6"/>
          </w:tcPr>
          <w:p>
            <w:pPr>
              <w:spacing w:after="40" w:line="240" w:lineRule="exact"/>
            </w:pPr>
            <w:r>
              <w:rPr>
                <w:rFonts w:ascii="Times New Roman" w:hAnsi="Times New Roman" w:eastAsia="Noto Sans CJK SC"/>
                <w:b/>
                <w:color w:val="000000"/>
                <w:sz w:val="19"/>
                <w:lang w:val="en-US" w:eastAsia="zh-CN"/>
              </w:rPr>
              <w:t>Model Usage</w:t>
            </w:r>
          </w:p>
        </w:tc>
      </w:tr>
      <w:tr>
        <w:trPr>
          <w:cantSplit/>
        </w:trPr>
        <w:tc>
          <w:tcPr>
            <w:tcW w:type="dxa" w:w="1728"/>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date</w:t>
            </w:r>
          </w:p>
        </w:tc>
        <w:tc>
          <w:tcPr>
            <w:tcW w:type="dxa" w:w="2448"/>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Monthly observation date</w:t>
            </w:r>
          </w:p>
        </w:tc>
        <w:tc>
          <w:tcPr>
            <w:tcW w:type="dxa" w:w="2592"/>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debit/​data/​fee_​history.csv</w:t>
            </w:r>
          </w:p>
        </w:tc>
        <w:tc>
          <w:tcPr>
            <w:tcW w:type="dxa" w:w="3168"/>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Monthly alignment and calendar key</w:t>
            </w:r>
          </w:p>
        </w:tc>
      </w:tr>
      <w:tr>
        <w:trPr>
          <w:cantSplit/>
        </w:trPr>
        <w:tc>
          <w:tcPr>
            <w:tcW w:type="dxa" w:w="1728"/>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Debit Card</w:t>
            </w:r>
          </w:p>
        </w:tc>
        <w:tc>
          <w:tcPr>
            <w:tcW w:type="dxa" w:w="2448"/>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Monthly Debit Card fee revenue ($000)</w:t>
            </w:r>
          </w:p>
        </w:tc>
        <w:tc>
          <w:tcPr>
            <w:tcW w:type="dxa" w:w="2592"/>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debit/​data/​fee_​history.csv</w:t>
            </w:r>
          </w:p>
        </w:tc>
        <w:tc>
          <w:tcPr>
            <w:tcW w:type="dxa" w:w="3168"/>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Source fee series for model preparation</w:t>
            </w:r>
          </w:p>
        </w:tc>
      </w:tr>
    </w:tbl>
    <w:p>
      <w:pPr>
        <w:keepNext w:val="0"/>
        <w:pageBreakBefore w:val="0"/>
        <w:spacing w:after="140" w:line="230" w:lineRule="exact"/>
      </w:pPr>
      <w:r>
        <w:rPr>
          <w:rFonts w:ascii="Times New Roman" w:hAnsi="Times New Roman" w:eastAsia="Noto Sans CJK SC"/>
          <w:color w:val="000000"/>
          <w:sz w:val="17"/>
          <w:lang w:val="en-US" w:eastAsia="zh-CN"/>
          <w:lang w:val="en-US" w:eastAsia="zh-CN"/>
        </w:rPr>
        <w:t>Data sources: debit/​data/​fee_​history.csv; debit/​debit_​card_​model.py.</w:t>
      </w:r>
    </w:p>
    <w:p>
      <w:pPr>
        <w:pStyle w:val="Heading3"/>
        <w:keepNext/>
        <w:pageBreakBefore w:val="0"/>
        <w:spacing w:after="140"/>
      </w:pPr>
      <w:r>
        <w:rPr>
          <w:rFonts w:ascii="Times New Roman" w:hAnsi="Times New Roman" w:eastAsia="Noto Sans CJK SC"/>
          <w:color w:val="000000"/>
          <w:sz w:val="22"/>
          <w:lang w:val="en-US" w:eastAsia="zh-CN"/>
        </w:rPr>
        <w:t>4.3.3 External Data Sources and Appropriateness</w:t>
      </w:r>
    </w:p>
    <w:p>
      <w:pPr>
        <w:keepNext w:val="0"/>
        <w:pageBreakBefore w:val="0"/>
        <w:spacing w:after="140"/>
      </w:pPr>
      <w:r>
        <w:rPr>
          <w:rFonts w:ascii="Times New Roman" w:hAnsi="Times New Roman" w:eastAsia="Noto Sans CJK SC"/>
          <w:color w:val="000000"/>
          <w:sz w:val="22"/>
          <w:lang w:val="en-US" w:eastAsia="zh-CN"/>
        </w:rPr>
        <w:t>Table 4.14 inventories all fourteen historical macroeconomic variables considered during development. Regression screening covers monthly levels, monthly and annual changes, and quarterly changes with applicable lags. Quarterly candidates use quarter-end observations. The adopted historical calibration uses actual quarterly fee revenue, with no direct macroeconomic inputs or future macroeconomic paths.</w:t>
      </w:r>
    </w:p>
    <w:p>
      <w:pPr>
        <w:pStyle w:val="Caption"/>
        <w:keepNext/>
        <w:pageBreakBefore w:val="0"/>
        <w:spacing w:after="140"/>
      </w:pPr>
      <w:r>
        <w:rPr>
          <w:rFonts w:ascii="Times New Roman" w:hAnsi="Times New Roman" w:eastAsia="Noto Sans CJK SC"/>
          <w:color w:val="000000"/>
          <w:sz w:val="21"/>
          <w:lang w:val="en-US" w:eastAsia="zh-CN"/>
        </w:rPr>
        <w:t>Table 4.14 Debit Card External Data Inventory</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64"/>
        <w:gridCol w:w="1800"/>
        <w:gridCol w:w="2304"/>
        <w:gridCol w:w="3168"/>
      </w:tblGrid>
      <w:tr>
        <w:trPr>
          <w:cantSplit/>
          <w:tblHeader/>
        </w:trPr>
        <w:tc>
          <w:tcPr>
            <w:tcW w:type="dxa" w:w="2664"/>
            <w:vAlign w:val="center"/>
            <w:tcMar>
              <w:top w:w="80" w:type="dxa"/>
              <w:bottom w:w="80" w:type="dxa"/>
              <w:left w:w="80" w:type="dxa"/>
              <w:right w:w="80" w:type="dxa"/>
            </w:tcMar>
            <w:shd w:fill="E7E6E6"/>
          </w:tcPr>
          <w:p>
            <w:pPr>
              <w:spacing w:after="40" w:line="240" w:lineRule="exact"/>
            </w:pPr>
            <w:r>
              <w:rPr>
                <w:rFonts w:ascii="Times New Roman" w:hAnsi="Times New Roman" w:eastAsia="Noto Sans CJK SC"/>
                <w:b/>
                <w:color w:val="000000"/>
                <w:sz w:val="19"/>
                <w:lang w:val="en-US" w:eastAsia="zh-CN"/>
              </w:rPr>
              <w:t>Data Element</w:t>
            </w:r>
          </w:p>
        </w:tc>
        <w:tc>
          <w:tcPr>
            <w:tcW w:type="dxa" w:w="1800"/>
            <w:vAlign w:val="center"/>
            <w:tcMar>
              <w:top w:w="80" w:type="dxa"/>
              <w:bottom w:w="80" w:type="dxa"/>
              <w:left w:w="80" w:type="dxa"/>
              <w:right w:w="80" w:type="dxa"/>
            </w:tcMar>
            <w:shd w:fill="E7E6E6"/>
          </w:tcPr>
          <w:p>
            <w:pPr>
              <w:spacing w:after="40" w:line="240" w:lineRule="exact"/>
            </w:pPr>
            <w:r>
              <w:rPr>
                <w:rFonts w:ascii="Times New Roman" w:hAnsi="Times New Roman" w:eastAsia="Noto Sans CJK SC"/>
                <w:b/>
                <w:color w:val="000000"/>
                <w:sz w:val="19"/>
                <w:lang w:val="en-US" w:eastAsia="zh-CN"/>
              </w:rPr>
              <w:t>Description</w:t>
            </w:r>
          </w:p>
        </w:tc>
        <w:tc>
          <w:tcPr>
            <w:tcW w:type="dxa" w:w="2304"/>
            <w:vAlign w:val="center"/>
            <w:tcMar>
              <w:top w:w="80" w:type="dxa"/>
              <w:bottom w:w="80" w:type="dxa"/>
              <w:left w:w="80" w:type="dxa"/>
              <w:right w:w="80" w:type="dxa"/>
            </w:tcMar>
            <w:shd w:fill="E7E6E6"/>
          </w:tcPr>
          <w:p>
            <w:pPr>
              <w:spacing w:after="40" w:line="240" w:lineRule="exact"/>
            </w:pPr>
            <w:r>
              <w:rPr>
                <w:rFonts w:ascii="Times New Roman" w:hAnsi="Times New Roman" w:eastAsia="Noto Sans CJK SC"/>
                <w:b/>
                <w:color w:val="000000"/>
                <w:sz w:val="19"/>
                <w:lang w:val="en-US" w:eastAsia="zh-CN"/>
              </w:rPr>
              <w:t>Source Dataset</w:t>
            </w:r>
          </w:p>
        </w:tc>
        <w:tc>
          <w:tcPr>
            <w:tcW w:type="dxa" w:w="3168"/>
            <w:vAlign w:val="center"/>
            <w:tcMar>
              <w:top w:w="80" w:type="dxa"/>
              <w:bottom w:w="80" w:type="dxa"/>
              <w:left w:w="80" w:type="dxa"/>
              <w:right w:w="80" w:type="dxa"/>
            </w:tcMar>
            <w:shd w:fill="E7E6E6"/>
          </w:tcPr>
          <w:p>
            <w:pPr>
              <w:spacing w:after="40" w:line="240" w:lineRule="exact"/>
            </w:pPr>
            <w:r>
              <w:rPr>
                <w:rFonts w:ascii="Times New Roman" w:hAnsi="Times New Roman" w:eastAsia="Noto Sans CJK SC"/>
                <w:b/>
                <w:color w:val="000000"/>
                <w:sz w:val="19"/>
                <w:lang w:val="en-US" w:eastAsia="zh-CN"/>
              </w:rPr>
              <w:t>Model Usage</w:t>
            </w:r>
          </w:p>
        </w:tc>
      </w:tr>
      <w:tr>
        <w:trPr>
          <w:cantSplit/>
        </w:trPr>
        <w:tc>
          <w:tcPr>
            <w:tcW w:type="dxa" w:w="2664"/>
            <w:vAlign w:val="center"/>
            <w:tcMar>
              <w:top w:w="80" w:type="dxa"/>
              <w:bottom w:w="80" w:type="dxa"/>
              <w:left w:w="80" w:type="dxa"/>
              <w:right w:w="80" w:type="dxa"/>
            </w:tcMar>
          </w:tcPr>
          <w:p>
            <w:pPr>
              <w:spacing w:after="40" w:line="240" w:lineRule="exact"/>
            </w:pPr>
            <w:r>
              <w:rPr>
                <w:rFonts w:ascii="Times New Roman" w:hAnsi="Times New Roman" w:eastAsia="Noto Sans CJK SC"/>
                <w:color w:val="000000"/>
                <w:sz w:val="19"/>
                <w:lang w:val="en-US" w:eastAsia="zh-CN"/>
              </w:rPr>
              <w:t>M_​FLBR_​B.IUSA</w:t>
              <w:br/>
              <w:t>unemployment_​rate</w:t>
            </w:r>
          </w:p>
        </w:tc>
        <w:tc>
          <w:tcPr>
            <w:tcW w:type="dxa" w:w="1800"/>
            <w:vAlign w:val="center"/>
            <w:tcMar>
              <w:top w:w="80" w:type="dxa"/>
              <w:bottom w:w="80" w:type="dxa"/>
              <w:left w:w="80" w:type="dxa"/>
              <w:right w:w="80" w:type="dxa"/>
            </w:tcMar>
          </w:tcPr>
          <w:p>
            <w:pPr>
              <w:spacing w:after="40" w:line="240" w:lineRule="exact"/>
            </w:pPr>
            <w:r>
              <w:rPr>
                <w:rFonts w:ascii="Times New Roman" w:hAnsi="Times New Roman" w:eastAsia="Noto Sans CJK SC"/>
                <w:color w:val="000000"/>
                <w:sz w:val="19"/>
                <w:lang w:val="en-US" w:eastAsia="zh-CN"/>
              </w:rPr>
              <w:t>Unemployment rate</w:t>
            </w:r>
          </w:p>
        </w:tc>
        <w:tc>
          <w:tcPr>
            <w:tcW w:type="dxa" w:w="2304"/>
            <w:vAlign w:val="center"/>
            <w:tcMar>
              <w:top w:w="80" w:type="dxa"/>
              <w:bottom w:w="80" w:type="dxa"/>
              <w:left w:w="80" w:type="dxa"/>
              <w:right w:w="80" w:type="dxa"/>
            </w:tcMar>
          </w:tcPr>
          <w:p>
            <w:pPr>
              <w:spacing w:after="40" w:line="240" w:lineRule="exact"/>
            </w:pPr>
            <w:r>
              <w:rPr>
                <w:rFonts w:ascii="Times New Roman" w:hAnsi="Times New Roman" w:eastAsia="Noto Sans CJK SC"/>
                <w:color w:val="000000"/>
                <w:sz w:val="19"/>
                <w:lang w:val="en-US" w:eastAsia="zh-CN"/>
              </w:rPr>
              <w:t>debit/​data/​macro_​history.csv</w:t>
            </w:r>
          </w:p>
        </w:tc>
        <w:tc>
          <w:tcPr>
            <w:tcW w:type="dxa" w:w="3168"/>
            <w:vAlign w:val="center"/>
            <w:tcMar>
              <w:top w:w="80" w:type="dxa"/>
              <w:bottom w:w="80" w:type="dxa"/>
              <w:left w:w="80" w:type="dxa"/>
              <w:right w:w="80" w:type="dxa"/>
            </w:tcMar>
          </w:tcPr>
          <w:p>
            <w:pPr>
              <w:spacing w:after="40" w:line="240" w:lineRule="exact"/>
            </w:pPr>
            <w:r>
              <w:rPr>
                <w:rFonts w:ascii="Times New Roman" w:hAnsi="Times New Roman" w:eastAsia="Noto Sans CJK SC"/>
                <w:color w:val="000000"/>
                <w:sz w:val="19"/>
                <w:lang w:val="en-US" w:eastAsia="zh-CN"/>
              </w:rPr>
              <w:t>Development regression screening.</w:t>
            </w:r>
          </w:p>
        </w:tc>
      </w:tr>
      <w:tr>
        <w:trPr>
          <w:cantSplit/>
        </w:trPr>
        <w:tc>
          <w:tcPr>
            <w:tcW w:type="dxa" w:w="2664"/>
            <w:vAlign w:val="center"/>
            <w:tcMar>
              <w:top w:w="80" w:type="dxa"/>
              <w:bottom w:w="80" w:type="dxa"/>
              <w:left w:w="80" w:type="dxa"/>
              <w:right w:w="80" w:type="dxa"/>
            </w:tcMar>
          </w:tcPr>
          <w:p>
            <w:pPr>
              <w:spacing w:after="40" w:line="240" w:lineRule="exact"/>
            </w:pPr>
            <w:r>
              <w:rPr>
                <w:rFonts w:ascii="Times New Roman" w:hAnsi="Times New Roman" w:eastAsia="Noto Sans CJK SC"/>
                <w:color w:val="000000"/>
                <w:sz w:val="19"/>
                <w:lang w:val="en-US" w:eastAsia="zh-CN"/>
              </w:rPr>
              <w:t>M_​FCPIU_​B.IUSA</w:t>
              <w:br/>
              <w:t>consumer_​price_​index</w:t>
            </w:r>
          </w:p>
        </w:tc>
        <w:tc>
          <w:tcPr>
            <w:tcW w:type="dxa" w:w="1800"/>
            <w:vAlign w:val="center"/>
            <w:tcMar>
              <w:top w:w="80" w:type="dxa"/>
              <w:bottom w:w="80" w:type="dxa"/>
              <w:left w:w="80" w:type="dxa"/>
              <w:right w:w="80" w:type="dxa"/>
            </w:tcMar>
          </w:tcPr>
          <w:p>
            <w:pPr>
              <w:spacing w:after="40" w:line="240" w:lineRule="exact"/>
            </w:pPr>
            <w:r>
              <w:rPr>
                <w:rFonts w:ascii="Times New Roman" w:hAnsi="Times New Roman" w:eastAsia="Noto Sans CJK SC"/>
                <w:color w:val="000000"/>
                <w:sz w:val="19"/>
                <w:lang w:val="en-US" w:eastAsia="zh-CN"/>
              </w:rPr>
              <w:t>Consumer Price Index</w:t>
            </w:r>
          </w:p>
        </w:tc>
        <w:tc>
          <w:tcPr>
            <w:tcW w:type="dxa" w:w="2304"/>
            <w:vAlign w:val="center"/>
            <w:tcMar>
              <w:top w:w="80" w:type="dxa"/>
              <w:bottom w:w="80" w:type="dxa"/>
              <w:left w:w="80" w:type="dxa"/>
              <w:right w:w="80" w:type="dxa"/>
            </w:tcMar>
          </w:tcPr>
          <w:p>
            <w:pPr>
              <w:spacing w:after="40" w:line="240" w:lineRule="exact"/>
            </w:pPr>
            <w:r>
              <w:rPr>
                <w:rFonts w:ascii="Times New Roman" w:hAnsi="Times New Roman" w:eastAsia="Noto Sans CJK SC"/>
                <w:color w:val="000000"/>
                <w:sz w:val="19"/>
                <w:lang w:val="en-US" w:eastAsia="zh-CN"/>
              </w:rPr>
              <w:t>debit/​data/​macro_​history.csv</w:t>
            </w:r>
          </w:p>
        </w:tc>
        <w:tc>
          <w:tcPr>
            <w:tcW w:type="dxa" w:w="3168"/>
            <w:vAlign w:val="center"/>
            <w:tcMar>
              <w:top w:w="80" w:type="dxa"/>
              <w:bottom w:w="80" w:type="dxa"/>
              <w:left w:w="80" w:type="dxa"/>
              <w:right w:w="80" w:type="dxa"/>
            </w:tcMar>
          </w:tcPr>
          <w:p>
            <w:pPr>
              <w:spacing w:after="40" w:line="240" w:lineRule="exact"/>
            </w:pPr>
            <w:r>
              <w:rPr>
                <w:rFonts w:ascii="Times New Roman" w:hAnsi="Times New Roman" w:eastAsia="Noto Sans CJK SC"/>
                <w:color w:val="000000"/>
                <w:sz w:val="19"/>
                <w:lang w:val="en-US" w:eastAsia="zh-CN"/>
              </w:rPr>
              <w:t>Development regression screening.</w:t>
            </w:r>
          </w:p>
        </w:tc>
      </w:tr>
      <w:tr>
        <w:trPr>
          <w:cantSplit/>
        </w:trPr>
        <w:tc>
          <w:tcPr>
            <w:tcW w:type="dxa" w:w="2664"/>
            <w:vAlign w:val="center"/>
            <w:tcMar>
              <w:top w:w="80" w:type="dxa"/>
              <w:bottom w:w="80" w:type="dxa"/>
              <w:left w:w="80" w:type="dxa"/>
              <w:right w:w="80" w:type="dxa"/>
            </w:tcMar>
          </w:tcPr>
          <w:p>
            <w:pPr>
              <w:spacing w:after="40" w:line="240" w:lineRule="exact"/>
            </w:pPr>
            <w:r>
              <w:rPr>
                <w:rFonts w:ascii="Times New Roman" w:hAnsi="Times New Roman" w:eastAsia="Noto Sans CJK SC"/>
                <w:color w:val="000000"/>
                <w:sz w:val="19"/>
                <w:lang w:val="en-US" w:eastAsia="zh-CN"/>
              </w:rPr>
              <w:t>M_​FYPDPIQ_​B.IUSA</w:t>
              <w:br/>
              <w:t>disposable_​personal_​income</w:t>
            </w:r>
          </w:p>
        </w:tc>
        <w:tc>
          <w:tcPr>
            <w:tcW w:type="dxa" w:w="1800"/>
            <w:vAlign w:val="center"/>
            <w:tcMar>
              <w:top w:w="80" w:type="dxa"/>
              <w:bottom w:w="80" w:type="dxa"/>
              <w:left w:w="80" w:type="dxa"/>
              <w:right w:w="80" w:type="dxa"/>
            </w:tcMar>
          </w:tcPr>
          <w:p>
            <w:pPr>
              <w:spacing w:after="40" w:line="240" w:lineRule="exact"/>
            </w:pPr>
            <w:r>
              <w:rPr>
                <w:rFonts w:ascii="Times New Roman" w:hAnsi="Times New Roman" w:eastAsia="Noto Sans CJK SC"/>
                <w:color w:val="000000"/>
                <w:sz w:val="19"/>
                <w:lang w:val="en-US" w:eastAsia="zh-CN"/>
              </w:rPr>
              <w:t>Disposable personal income</w:t>
            </w:r>
          </w:p>
        </w:tc>
        <w:tc>
          <w:tcPr>
            <w:tcW w:type="dxa" w:w="2304"/>
            <w:vAlign w:val="center"/>
            <w:tcMar>
              <w:top w:w="80" w:type="dxa"/>
              <w:bottom w:w="80" w:type="dxa"/>
              <w:left w:w="80" w:type="dxa"/>
              <w:right w:w="80" w:type="dxa"/>
            </w:tcMar>
          </w:tcPr>
          <w:p>
            <w:pPr>
              <w:spacing w:after="40" w:line="240" w:lineRule="exact"/>
            </w:pPr>
            <w:r>
              <w:rPr>
                <w:rFonts w:ascii="Times New Roman" w:hAnsi="Times New Roman" w:eastAsia="Noto Sans CJK SC"/>
                <w:color w:val="000000"/>
                <w:sz w:val="19"/>
                <w:lang w:val="en-US" w:eastAsia="zh-CN"/>
              </w:rPr>
              <w:t>debit/​data/​macro_​history.csv</w:t>
            </w:r>
          </w:p>
        </w:tc>
        <w:tc>
          <w:tcPr>
            <w:tcW w:type="dxa" w:w="3168"/>
            <w:vAlign w:val="center"/>
            <w:tcMar>
              <w:top w:w="80" w:type="dxa"/>
              <w:bottom w:w="80" w:type="dxa"/>
              <w:left w:w="80" w:type="dxa"/>
              <w:right w:w="80" w:type="dxa"/>
            </w:tcMar>
          </w:tcPr>
          <w:p>
            <w:pPr>
              <w:spacing w:after="40" w:line="240" w:lineRule="exact"/>
            </w:pPr>
            <w:r>
              <w:rPr>
                <w:rFonts w:ascii="Times New Roman" w:hAnsi="Times New Roman" w:eastAsia="Noto Sans CJK SC"/>
                <w:color w:val="000000"/>
                <w:sz w:val="19"/>
                <w:lang w:val="en-US" w:eastAsia="zh-CN"/>
              </w:rPr>
              <w:t>Development regression screening.</w:t>
            </w:r>
          </w:p>
        </w:tc>
      </w:tr>
      <w:tr>
        <w:trPr>
          <w:cantSplit/>
        </w:trPr>
        <w:tc>
          <w:tcPr>
            <w:tcW w:type="dxa" w:w="2664"/>
            <w:vAlign w:val="center"/>
            <w:tcMar>
              <w:top w:w="80" w:type="dxa"/>
              <w:bottom w:w="80" w:type="dxa"/>
              <w:left w:w="80" w:type="dxa"/>
              <w:right w:w="80" w:type="dxa"/>
            </w:tcMar>
          </w:tcPr>
          <w:p>
            <w:pPr>
              <w:spacing w:after="40" w:line="240" w:lineRule="exact"/>
            </w:pPr>
            <w:r>
              <w:rPr>
                <w:rFonts w:ascii="Times New Roman" w:hAnsi="Times New Roman" w:eastAsia="Noto Sans CJK SC"/>
                <w:color w:val="000000"/>
                <w:sz w:val="19"/>
                <w:lang w:val="en-US" w:eastAsia="zh-CN"/>
              </w:rPr>
              <w:t>M_​FRT_​B.IUSA (Retail Sales Total_​Bil.USD,CDASAAR)</w:t>
              <w:br/>
              <w:t>retail_​sales</w:t>
            </w:r>
          </w:p>
        </w:tc>
        <w:tc>
          <w:tcPr>
            <w:tcW w:type="dxa" w:w="1800"/>
            <w:vAlign w:val="center"/>
            <w:tcMar>
              <w:top w:w="80" w:type="dxa"/>
              <w:bottom w:w="80" w:type="dxa"/>
              <w:left w:w="80" w:type="dxa"/>
              <w:right w:w="80" w:type="dxa"/>
            </w:tcMar>
          </w:tcPr>
          <w:p>
            <w:pPr>
              <w:spacing w:after="40" w:line="240" w:lineRule="exact"/>
            </w:pPr>
            <w:r>
              <w:rPr>
                <w:rFonts w:ascii="Times New Roman" w:hAnsi="Times New Roman" w:eastAsia="Noto Sans CJK SC"/>
                <w:color w:val="000000"/>
                <w:sz w:val="19"/>
                <w:lang w:val="en-US" w:eastAsia="zh-CN"/>
              </w:rPr>
              <w:t>Total Retail Sales</w:t>
            </w:r>
          </w:p>
        </w:tc>
        <w:tc>
          <w:tcPr>
            <w:tcW w:type="dxa" w:w="2304"/>
            <w:vAlign w:val="center"/>
            <w:tcMar>
              <w:top w:w="80" w:type="dxa"/>
              <w:bottom w:w="80" w:type="dxa"/>
              <w:left w:w="80" w:type="dxa"/>
              <w:right w:w="80" w:type="dxa"/>
            </w:tcMar>
          </w:tcPr>
          <w:p>
            <w:pPr>
              <w:spacing w:after="40" w:line="240" w:lineRule="exact"/>
            </w:pPr>
            <w:r>
              <w:rPr>
                <w:rFonts w:ascii="Times New Roman" w:hAnsi="Times New Roman" w:eastAsia="Noto Sans CJK SC"/>
                <w:color w:val="000000"/>
                <w:sz w:val="19"/>
                <w:lang w:val="en-US" w:eastAsia="zh-CN"/>
              </w:rPr>
              <w:t>debit/​data/​macro_​history.csv</w:t>
            </w:r>
          </w:p>
        </w:tc>
        <w:tc>
          <w:tcPr>
            <w:tcW w:type="dxa" w:w="3168"/>
            <w:vAlign w:val="center"/>
            <w:tcMar>
              <w:top w:w="80" w:type="dxa"/>
              <w:bottom w:w="80" w:type="dxa"/>
              <w:left w:w="80" w:type="dxa"/>
              <w:right w:w="80" w:type="dxa"/>
            </w:tcMar>
          </w:tcPr>
          <w:p>
            <w:pPr>
              <w:spacing w:after="40" w:line="240" w:lineRule="exact"/>
            </w:pPr>
            <w:r>
              <w:rPr>
                <w:rFonts w:ascii="Times New Roman" w:hAnsi="Times New Roman" w:eastAsia="Noto Sans CJK SC"/>
                <w:color w:val="000000"/>
                <w:sz w:val="19"/>
                <w:lang w:val="en-US" w:eastAsia="zh-CN"/>
              </w:rPr>
              <w:t>Development regression screening.</w:t>
            </w:r>
          </w:p>
        </w:tc>
      </w:tr>
      <w:tr>
        <w:trPr>
          <w:cantSplit/>
        </w:trPr>
        <w:tc>
          <w:tcPr>
            <w:tcW w:type="dxa" w:w="2664"/>
            <w:vAlign w:val="center"/>
            <w:tcMar>
              <w:top w:w="80" w:type="dxa"/>
              <w:bottom w:w="80" w:type="dxa"/>
              <w:left w:w="80" w:type="dxa"/>
              <w:right w:w="80" w:type="dxa"/>
            </w:tcMar>
          </w:tcPr>
          <w:p>
            <w:pPr>
              <w:spacing w:after="40" w:line="240" w:lineRule="exact"/>
            </w:pPr>
            <w:r>
              <w:rPr>
                <w:rFonts w:ascii="Times New Roman" w:hAnsi="Times New Roman" w:eastAsia="Noto Sans CJK SC"/>
                <w:color w:val="000000"/>
                <w:sz w:val="19"/>
                <w:lang w:val="en-US" w:eastAsia="zh-CN"/>
              </w:rPr>
              <w:t>M_​FCBC_​B.IUSA(Consumer confidence index)</w:t>
              <w:br/>
              <w:t>consumer_​confidence</w:t>
            </w:r>
          </w:p>
        </w:tc>
        <w:tc>
          <w:tcPr>
            <w:tcW w:type="dxa" w:w="1800"/>
            <w:vAlign w:val="center"/>
            <w:tcMar>
              <w:top w:w="80" w:type="dxa"/>
              <w:bottom w:w="80" w:type="dxa"/>
              <w:left w:w="80" w:type="dxa"/>
              <w:right w:w="80" w:type="dxa"/>
            </w:tcMar>
          </w:tcPr>
          <w:p>
            <w:pPr>
              <w:spacing w:after="40" w:line="240" w:lineRule="exact"/>
            </w:pPr>
            <w:r>
              <w:rPr>
                <w:rFonts w:ascii="Times New Roman" w:hAnsi="Times New Roman" w:eastAsia="Noto Sans CJK SC"/>
                <w:color w:val="000000"/>
                <w:sz w:val="19"/>
                <w:lang w:val="en-US" w:eastAsia="zh-CN"/>
              </w:rPr>
              <w:t>Consumer confidence index</w:t>
            </w:r>
          </w:p>
        </w:tc>
        <w:tc>
          <w:tcPr>
            <w:tcW w:type="dxa" w:w="2304"/>
            <w:vAlign w:val="center"/>
            <w:tcMar>
              <w:top w:w="80" w:type="dxa"/>
              <w:bottom w:w="80" w:type="dxa"/>
              <w:left w:w="80" w:type="dxa"/>
              <w:right w:w="80" w:type="dxa"/>
            </w:tcMar>
          </w:tcPr>
          <w:p>
            <w:pPr>
              <w:spacing w:after="40" w:line="240" w:lineRule="exact"/>
            </w:pPr>
            <w:r>
              <w:rPr>
                <w:rFonts w:ascii="Times New Roman" w:hAnsi="Times New Roman" w:eastAsia="Noto Sans CJK SC"/>
                <w:color w:val="000000"/>
                <w:sz w:val="19"/>
                <w:lang w:val="en-US" w:eastAsia="zh-CN"/>
              </w:rPr>
              <w:t>debit/​data/​macro_​history.csv</w:t>
            </w:r>
          </w:p>
        </w:tc>
        <w:tc>
          <w:tcPr>
            <w:tcW w:type="dxa" w:w="3168"/>
            <w:vAlign w:val="center"/>
            <w:tcMar>
              <w:top w:w="80" w:type="dxa"/>
              <w:bottom w:w="80" w:type="dxa"/>
              <w:left w:w="80" w:type="dxa"/>
              <w:right w:w="80" w:type="dxa"/>
            </w:tcMar>
          </w:tcPr>
          <w:p>
            <w:pPr>
              <w:spacing w:after="40" w:line="240" w:lineRule="exact"/>
            </w:pPr>
            <w:r>
              <w:rPr>
                <w:rFonts w:ascii="Times New Roman" w:hAnsi="Times New Roman" w:eastAsia="Noto Sans CJK SC"/>
                <w:color w:val="000000"/>
                <w:sz w:val="19"/>
                <w:lang w:val="en-US" w:eastAsia="zh-CN"/>
              </w:rPr>
              <w:t>Development regression screening.</w:t>
            </w:r>
          </w:p>
        </w:tc>
      </w:tr>
      <w:tr>
        <w:trPr>
          <w:cantSplit/>
        </w:trPr>
        <w:tc>
          <w:tcPr>
            <w:tcW w:type="dxa" w:w="2664"/>
            <w:vAlign w:val="center"/>
            <w:tcMar>
              <w:top w:w="80" w:type="dxa"/>
              <w:bottom w:w="80" w:type="dxa"/>
              <w:left w:w="80" w:type="dxa"/>
              <w:right w:w="80" w:type="dxa"/>
            </w:tcMar>
          </w:tcPr>
          <w:p>
            <w:pPr>
              <w:spacing w:after="40" w:line="240" w:lineRule="exact"/>
            </w:pPr>
            <w:r>
              <w:rPr>
                <w:rFonts w:ascii="Times New Roman" w:hAnsi="Times New Roman" w:eastAsia="Noto Sans CJK SC"/>
                <w:color w:val="000000"/>
                <w:sz w:val="19"/>
                <w:lang w:val="en-US" w:eastAsia="zh-CN"/>
              </w:rPr>
              <w:t>M_​FSBINQ_​B.IUSA</w:t>
              <w:br/>
              <w:t>small_​business_​optimism</w:t>
            </w:r>
          </w:p>
        </w:tc>
        <w:tc>
          <w:tcPr>
            <w:tcW w:type="dxa" w:w="1800"/>
            <w:vAlign w:val="center"/>
            <w:tcMar>
              <w:top w:w="80" w:type="dxa"/>
              <w:bottom w:w="80" w:type="dxa"/>
              <w:left w:w="80" w:type="dxa"/>
              <w:right w:w="80" w:type="dxa"/>
            </w:tcMar>
          </w:tcPr>
          <w:p>
            <w:pPr>
              <w:spacing w:after="40" w:line="240" w:lineRule="exact"/>
            </w:pPr>
            <w:r>
              <w:rPr>
                <w:rFonts w:ascii="Times New Roman" w:hAnsi="Times New Roman" w:eastAsia="Noto Sans CJK SC"/>
                <w:color w:val="000000"/>
                <w:sz w:val="19"/>
                <w:lang w:val="en-US" w:eastAsia="zh-CN"/>
              </w:rPr>
              <w:t>Small business optimism</w:t>
            </w:r>
          </w:p>
        </w:tc>
        <w:tc>
          <w:tcPr>
            <w:tcW w:type="dxa" w:w="2304"/>
            <w:vAlign w:val="center"/>
            <w:tcMar>
              <w:top w:w="80" w:type="dxa"/>
              <w:bottom w:w="80" w:type="dxa"/>
              <w:left w:w="80" w:type="dxa"/>
              <w:right w:w="80" w:type="dxa"/>
            </w:tcMar>
          </w:tcPr>
          <w:p>
            <w:pPr>
              <w:spacing w:after="40" w:line="240" w:lineRule="exact"/>
            </w:pPr>
            <w:r>
              <w:rPr>
                <w:rFonts w:ascii="Times New Roman" w:hAnsi="Times New Roman" w:eastAsia="Noto Sans CJK SC"/>
                <w:color w:val="000000"/>
                <w:sz w:val="19"/>
                <w:lang w:val="en-US" w:eastAsia="zh-CN"/>
              </w:rPr>
              <w:t>debit/​data/​macro_​history.csv</w:t>
            </w:r>
          </w:p>
        </w:tc>
        <w:tc>
          <w:tcPr>
            <w:tcW w:type="dxa" w:w="3168"/>
            <w:vAlign w:val="center"/>
            <w:tcMar>
              <w:top w:w="80" w:type="dxa"/>
              <w:bottom w:w="80" w:type="dxa"/>
              <w:left w:w="80" w:type="dxa"/>
              <w:right w:w="80" w:type="dxa"/>
            </w:tcMar>
          </w:tcPr>
          <w:p>
            <w:pPr>
              <w:spacing w:after="40" w:line="240" w:lineRule="exact"/>
            </w:pPr>
            <w:r>
              <w:rPr>
                <w:rFonts w:ascii="Times New Roman" w:hAnsi="Times New Roman" w:eastAsia="Noto Sans CJK SC"/>
                <w:color w:val="000000"/>
                <w:sz w:val="19"/>
                <w:lang w:val="en-US" w:eastAsia="zh-CN"/>
              </w:rPr>
              <w:t>Development regression screening.</w:t>
            </w:r>
          </w:p>
        </w:tc>
      </w:tr>
      <w:tr>
        <w:trPr>
          <w:cantSplit/>
        </w:trPr>
        <w:tc>
          <w:tcPr>
            <w:tcW w:type="dxa" w:w="2664"/>
            <w:vAlign w:val="center"/>
            <w:tcMar>
              <w:top w:w="80" w:type="dxa"/>
              <w:bottom w:w="80" w:type="dxa"/>
              <w:left w:w="80" w:type="dxa"/>
              <w:right w:w="80" w:type="dxa"/>
            </w:tcMar>
          </w:tcPr>
          <w:p>
            <w:pPr>
              <w:spacing w:after="40" w:line="240" w:lineRule="exact"/>
            </w:pPr>
            <w:r>
              <w:rPr>
                <w:rFonts w:ascii="Times New Roman" w:hAnsi="Times New Roman" w:eastAsia="Noto Sans CJK SC"/>
                <w:color w:val="000000"/>
                <w:sz w:val="19"/>
                <w:lang w:val="en-US" w:eastAsia="zh-CN"/>
              </w:rPr>
              <w:t>M_​FGDP42Q_​B.IUSA</w:t>
              <w:br/>
              <w:t>wholesale_​trade_​gdp</w:t>
            </w:r>
          </w:p>
        </w:tc>
        <w:tc>
          <w:tcPr>
            <w:tcW w:type="dxa" w:w="1800"/>
            <w:vAlign w:val="center"/>
            <w:tcMar>
              <w:top w:w="80" w:type="dxa"/>
              <w:bottom w:w="80" w:type="dxa"/>
              <w:left w:w="80" w:type="dxa"/>
              <w:right w:w="80" w:type="dxa"/>
            </w:tcMar>
          </w:tcPr>
          <w:p>
            <w:pPr>
              <w:spacing w:after="40" w:line="240" w:lineRule="exact"/>
            </w:pPr>
            <w:r>
              <w:rPr>
                <w:rFonts w:ascii="Times New Roman" w:hAnsi="Times New Roman" w:eastAsia="Noto Sans CJK SC"/>
                <w:color w:val="000000"/>
                <w:sz w:val="19"/>
                <w:lang w:val="en-US" w:eastAsia="zh-CN"/>
              </w:rPr>
              <w:t>Wholesale trade GDP</w:t>
            </w:r>
          </w:p>
        </w:tc>
        <w:tc>
          <w:tcPr>
            <w:tcW w:type="dxa" w:w="2304"/>
            <w:vAlign w:val="center"/>
            <w:tcMar>
              <w:top w:w="80" w:type="dxa"/>
              <w:bottom w:w="80" w:type="dxa"/>
              <w:left w:w="80" w:type="dxa"/>
              <w:right w:w="80" w:type="dxa"/>
            </w:tcMar>
          </w:tcPr>
          <w:p>
            <w:pPr>
              <w:spacing w:after="40" w:line="240" w:lineRule="exact"/>
            </w:pPr>
            <w:r>
              <w:rPr>
                <w:rFonts w:ascii="Times New Roman" w:hAnsi="Times New Roman" w:eastAsia="Noto Sans CJK SC"/>
                <w:color w:val="000000"/>
                <w:sz w:val="19"/>
                <w:lang w:val="en-US" w:eastAsia="zh-CN"/>
              </w:rPr>
              <w:t>debit/​data/​macro_​history.csv</w:t>
            </w:r>
          </w:p>
        </w:tc>
        <w:tc>
          <w:tcPr>
            <w:tcW w:type="dxa" w:w="3168"/>
            <w:vAlign w:val="center"/>
            <w:tcMar>
              <w:top w:w="80" w:type="dxa"/>
              <w:bottom w:w="80" w:type="dxa"/>
              <w:left w:w="80" w:type="dxa"/>
              <w:right w:w="80" w:type="dxa"/>
            </w:tcMar>
          </w:tcPr>
          <w:p>
            <w:pPr>
              <w:spacing w:after="40" w:line="240" w:lineRule="exact"/>
            </w:pPr>
            <w:r>
              <w:rPr>
                <w:rFonts w:ascii="Times New Roman" w:hAnsi="Times New Roman" w:eastAsia="Noto Sans CJK SC"/>
                <w:color w:val="000000"/>
                <w:sz w:val="19"/>
                <w:lang w:val="en-US" w:eastAsia="zh-CN"/>
              </w:rPr>
              <w:t>Development regression screening.</w:t>
            </w:r>
          </w:p>
        </w:tc>
      </w:tr>
      <w:tr>
        <w:trPr>
          <w:cantSplit/>
        </w:trPr>
        <w:tc>
          <w:tcPr>
            <w:tcW w:type="dxa" w:w="2664"/>
            <w:vAlign w:val="center"/>
            <w:tcMar>
              <w:top w:w="80" w:type="dxa"/>
              <w:bottom w:w="80" w:type="dxa"/>
              <w:left w:w="80" w:type="dxa"/>
              <w:right w:w="80" w:type="dxa"/>
            </w:tcMar>
          </w:tcPr>
          <w:p>
            <w:pPr>
              <w:spacing w:after="40" w:line="240" w:lineRule="exact"/>
            </w:pPr>
            <w:r>
              <w:rPr>
                <w:rFonts w:ascii="Times New Roman" w:hAnsi="Times New Roman" w:eastAsia="Noto Sans CJK SC"/>
                <w:color w:val="000000"/>
                <w:sz w:val="19"/>
                <w:lang w:val="en-US" w:eastAsia="zh-CN"/>
              </w:rPr>
              <w:t>M_​FIP_​B.IUSA</w:t>
              <w:br/>
              <w:t>industrial_​production</w:t>
            </w:r>
          </w:p>
        </w:tc>
        <w:tc>
          <w:tcPr>
            <w:tcW w:type="dxa" w:w="1800"/>
            <w:vAlign w:val="center"/>
            <w:tcMar>
              <w:top w:w="80" w:type="dxa"/>
              <w:bottom w:w="80" w:type="dxa"/>
              <w:left w:w="80" w:type="dxa"/>
              <w:right w:w="80" w:type="dxa"/>
            </w:tcMar>
          </w:tcPr>
          <w:p>
            <w:pPr>
              <w:spacing w:after="40" w:line="240" w:lineRule="exact"/>
            </w:pPr>
            <w:r>
              <w:rPr>
                <w:rFonts w:ascii="Times New Roman" w:hAnsi="Times New Roman" w:eastAsia="Noto Sans CJK SC"/>
                <w:color w:val="000000"/>
                <w:sz w:val="19"/>
                <w:lang w:val="en-US" w:eastAsia="zh-CN"/>
              </w:rPr>
              <w:t>Industrial production</w:t>
            </w:r>
          </w:p>
        </w:tc>
        <w:tc>
          <w:tcPr>
            <w:tcW w:type="dxa" w:w="2304"/>
            <w:vAlign w:val="center"/>
            <w:tcMar>
              <w:top w:w="80" w:type="dxa"/>
              <w:bottom w:w="80" w:type="dxa"/>
              <w:left w:w="80" w:type="dxa"/>
              <w:right w:w="80" w:type="dxa"/>
            </w:tcMar>
          </w:tcPr>
          <w:p>
            <w:pPr>
              <w:spacing w:after="40" w:line="240" w:lineRule="exact"/>
            </w:pPr>
            <w:r>
              <w:rPr>
                <w:rFonts w:ascii="Times New Roman" w:hAnsi="Times New Roman" w:eastAsia="Noto Sans CJK SC"/>
                <w:color w:val="000000"/>
                <w:sz w:val="19"/>
                <w:lang w:val="en-US" w:eastAsia="zh-CN"/>
              </w:rPr>
              <w:t>debit/​data/​macro_​history.csv</w:t>
            </w:r>
          </w:p>
        </w:tc>
        <w:tc>
          <w:tcPr>
            <w:tcW w:type="dxa" w:w="3168"/>
            <w:vAlign w:val="center"/>
            <w:tcMar>
              <w:top w:w="80" w:type="dxa"/>
              <w:bottom w:w="80" w:type="dxa"/>
              <w:left w:w="80" w:type="dxa"/>
              <w:right w:w="80" w:type="dxa"/>
            </w:tcMar>
          </w:tcPr>
          <w:p>
            <w:pPr>
              <w:spacing w:after="40" w:line="240" w:lineRule="exact"/>
            </w:pPr>
            <w:r>
              <w:rPr>
                <w:rFonts w:ascii="Times New Roman" w:hAnsi="Times New Roman" w:eastAsia="Noto Sans CJK SC"/>
                <w:color w:val="000000"/>
                <w:sz w:val="19"/>
                <w:lang w:val="en-US" w:eastAsia="zh-CN"/>
              </w:rPr>
              <w:t>Development regression screening.</w:t>
            </w:r>
          </w:p>
        </w:tc>
      </w:tr>
      <w:tr>
        <w:trPr>
          <w:cantSplit/>
        </w:trPr>
        <w:tc>
          <w:tcPr>
            <w:tcW w:type="dxa" w:w="2664"/>
            <w:vAlign w:val="center"/>
            <w:tcMar>
              <w:top w:w="80" w:type="dxa"/>
              <w:bottom w:w="80" w:type="dxa"/>
              <w:left w:w="80" w:type="dxa"/>
              <w:right w:w="80" w:type="dxa"/>
            </w:tcMar>
          </w:tcPr>
          <w:p>
            <w:pPr>
              <w:spacing w:after="40" w:line="240" w:lineRule="exact"/>
            </w:pPr>
            <w:r>
              <w:rPr>
                <w:rFonts w:ascii="Times New Roman" w:hAnsi="Times New Roman" w:eastAsia="Noto Sans CJK SC"/>
                <w:color w:val="000000"/>
                <w:sz w:val="19"/>
                <w:lang w:val="en-US" w:eastAsia="zh-CN"/>
              </w:rPr>
              <w:t>M_​FZA_​B.IUSA</w:t>
              <w:br/>
              <w:t>corporate_​profits</w:t>
            </w:r>
          </w:p>
        </w:tc>
        <w:tc>
          <w:tcPr>
            <w:tcW w:type="dxa" w:w="1800"/>
            <w:vAlign w:val="center"/>
            <w:tcMar>
              <w:top w:w="80" w:type="dxa"/>
              <w:bottom w:w="80" w:type="dxa"/>
              <w:left w:w="80" w:type="dxa"/>
              <w:right w:w="80" w:type="dxa"/>
            </w:tcMar>
          </w:tcPr>
          <w:p>
            <w:pPr>
              <w:spacing w:after="40" w:line="240" w:lineRule="exact"/>
            </w:pPr>
            <w:r>
              <w:rPr>
                <w:rFonts w:ascii="Times New Roman" w:hAnsi="Times New Roman" w:eastAsia="Noto Sans CJK SC"/>
                <w:color w:val="000000"/>
                <w:sz w:val="19"/>
                <w:lang w:val="en-US" w:eastAsia="zh-CN"/>
              </w:rPr>
              <w:t>Corporate Profits</w:t>
            </w:r>
          </w:p>
        </w:tc>
        <w:tc>
          <w:tcPr>
            <w:tcW w:type="dxa" w:w="2304"/>
            <w:vAlign w:val="center"/>
            <w:tcMar>
              <w:top w:w="80" w:type="dxa"/>
              <w:bottom w:w="80" w:type="dxa"/>
              <w:left w:w="80" w:type="dxa"/>
              <w:right w:w="80" w:type="dxa"/>
            </w:tcMar>
          </w:tcPr>
          <w:p>
            <w:pPr>
              <w:spacing w:after="40" w:line="240" w:lineRule="exact"/>
            </w:pPr>
            <w:r>
              <w:rPr>
                <w:rFonts w:ascii="Times New Roman" w:hAnsi="Times New Roman" w:eastAsia="Noto Sans CJK SC"/>
                <w:color w:val="000000"/>
                <w:sz w:val="19"/>
                <w:lang w:val="en-US" w:eastAsia="zh-CN"/>
              </w:rPr>
              <w:t>debit/​data/​macro_​history.csv</w:t>
            </w:r>
          </w:p>
        </w:tc>
        <w:tc>
          <w:tcPr>
            <w:tcW w:type="dxa" w:w="3168"/>
            <w:vAlign w:val="center"/>
            <w:tcMar>
              <w:top w:w="80" w:type="dxa"/>
              <w:bottom w:w="80" w:type="dxa"/>
              <w:left w:w="80" w:type="dxa"/>
              <w:right w:w="80" w:type="dxa"/>
            </w:tcMar>
          </w:tcPr>
          <w:p>
            <w:pPr>
              <w:spacing w:after="40" w:line="240" w:lineRule="exact"/>
            </w:pPr>
            <w:r>
              <w:rPr>
                <w:rFonts w:ascii="Times New Roman" w:hAnsi="Times New Roman" w:eastAsia="Noto Sans CJK SC"/>
                <w:color w:val="000000"/>
                <w:sz w:val="19"/>
                <w:lang w:val="en-US" w:eastAsia="zh-CN"/>
              </w:rPr>
              <w:t>Development regression screening.</w:t>
            </w:r>
          </w:p>
        </w:tc>
      </w:tr>
      <w:tr>
        <w:trPr>
          <w:cantSplit/>
        </w:trPr>
        <w:tc>
          <w:tcPr>
            <w:tcW w:type="dxa" w:w="2664"/>
            <w:vAlign w:val="center"/>
            <w:tcMar>
              <w:top w:w="80" w:type="dxa"/>
              <w:bottom w:w="80" w:type="dxa"/>
              <w:left w:w="80" w:type="dxa"/>
              <w:right w:w="80" w:type="dxa"/>
            </w:tcMar>
          </w:tcPr>
          <w:p>
            <w:pPr>
              <w:spacing w:after="40" w:line="240" w:lineRule="exact"/>
            </w:pPr>
            <w:r>
              <w:rPr>
                <w:rFonts w:ascii="Times New Roman" w:hAnsi="Times New Roman" w:eastAsia="Noto Sans CJK SC"/>
                <w:color w:val="000000"/>
                <w:sz w:val="19"/>
                <w:lang w:val="en-US" w:eastAsia="zh-CN"/>
              </w:rPr>
              <w:t>M_​FDJMIIUSDD_​WCFTDQ_​B.IUSA</w:t>
              <w:br/>
              <w:t>dow_​jones_​total_​market_​index</w:t>
            </w:r>
          </w:p>
        </w:tc>
        <w:tc>
          <w:tcPr>
            <w:tcW w:type="dxa" w:w="1800"/>
            <w:vAlign w:val="center"/>
            <w:tcMar>
              <w:top w:w="80" w:type="dxa"/>
              <w:bottom w:w="80" w:type="dxa"/>
              <w:left w:w="80" w:type="dxa"/>
              <w:right w:w="80" w:type="dxa"/>
            </w:tcMar>
          </w:tcPr>
          <w:p>
            <w:pPr>
              <w:spacing w:after="40" w:line="240" w:lineRule="exact"/>
            </w:pPr>
            <w:r>
              <w:rPr>
                <w:rFonts w:ascii="Times New Roman" w:hAnsi="Times New Roman" w:eastAsia="Noto Sans CJK SC"/>
                <w:color w:val="000000"/>
                <w:sz w:val="19"/>
                <w:lang w:val="en-US" w:eastAsia="zh-CN"/>
              </w:rPr>
              <w:t>Dow Jones total market index</w:t>
            </w:r>
          </w:p>
        </w:tc>
        <w:tc>
          <w:tcPr>
            <w:tcW w:type="dxa" w:w="2304"/>
            <w:vAlign w:val="center"/>
            <w:tcMar>
              <w:top w:w="80" w:type="dxa"/>
              <w:bottom w:w="80" w:type="dxa"/>
              <w:left w:w="80" w:type="dxa"/>
              <w:right w:w="80" w:type="dxa"/>
            </w:tcMar>
          </w:tcPr>
          <w:p>
            <w:pPr>
              <w:spacing w:after="40" w:line="240" w:lineRule="exact"/>
            </w:pPr>
            <w:r>
              <w:rPr>
                <w:rFonts w:ascii="Times New Roman" w:hAnsi="Times New Roman" w:eastAsia="Noto Sans CJK SC"/>
                <w:color w:val="000000"/>
                <w:sz w:val="19"/>
                <w:lang w:val="en-US" w:eastAsia="zh-CN"/>
              </w:rPr>
              <w:t>debit/​data/​macro_​history.csv</w:t>
            </w:r>
          </w:p>
        </w:tc>
        <w:tc>
          <w:tcPr>
            <w:tcW w:type="dxa" w:w="3168"/>
            <w:vAlign w:val="center"/>
            <w:tcMar>
              <w:top w:w="80" w:type="dxa"/>
              <w:bottom w:w="80" w:type="dxa"/>
              <w:left w:w="80" w:type="dxa"/>
              <w:right w:w="80" w:type="dxa"/>
            </w:tcMar>
          </w:tcPr>
          <w:p>
            <w:pPr>
              <w:spacing w:after="40" w:line="240" w:lineRule="exact"/>
            </w:pPr>
            <w:r>
              <w:rPr>
                <w:rFonts w:ascii="Times New Roman" w:hAnsi="Times New Roman" w:eastAsia="Noto Sans CJK SC"/>
                <w:color w:val="000000"/>
                <w:sz w:val="19"/>
                <w:lang w:val="en-US" w:eastAsia="zh-CN"/>
              </w:rPr>
              <w:t>Development regression screening.</w:t>
            </w:r>
          </w:p>
        </w:tc>
      </w:tr>
      <w:tr>
        <w:trPr>
          <w:cantSplit/>
        </w:trPr>
        <w:tc>
          <w:tcPr>
            <w:tcW w:type="dxa" w:w="2664"/>
            <w:vAlign w:val="center"/>
            <w:tcMar>
              <w:top w:w="80" w:type="dxa"/>
              <w:bottom w:w="80" w:type="dxa"/>
              <w:left w:w="80" w:type="dxa"/>
              <w:right w:w="80" w:type="dxa"/>
            </w:tcMar>
          </w:tcPr>
          <w:p>
            <w:pPr>
              <w:spacing w:after="40" w:line="240" w:lineRule="exact"/>
            </w:pPr>
            <w:r>
              <w:rPr>
                <w:rFonts w:ascii="Times New Roman" w:hAnsi="Times New Roman" w:eastAsia="Noto Sans CJK SC"/>
                <w:color w:val="000000"/>
                <w:sz w:val="19"/>
                <w:lang w:val="en-US" w:eastAsia="zh-CN"/>
              </w:rPr>
              <w:t>M_​FRT4451_​B.IUSA</w:t>
              <w:br/>
              <w:t>grocery_​sales</w:t>
            </w:r>
          </w:p>
        </w:tc>
        <w:tc>
          <w:tcPr>
            <w:tcW w:type="dxa" w:w="1800"/>
            <w:vAlign w:val="center"/>
            <w:tcMar>
              <w:top w:w="80" w:type="dxa"/>
              <w:bottom w:w="80" w:type="dxa"/>
              <w:left w:w="80" w:type="dxa"/>
              <w:right w:w="80" w:type="dxa"/>
            </w:tcMar>
          </w:tcPr>
          <w:p>
            <w:pPr>
              <w:spacing w:after="40" w:line="240" w:lineRule="exact"/>
            </w:pPr>
            <w:r>
              <w:rPr>
                <w:rFonts w:ascii="Times New Roman" w:hAnsi="Times New Roman" w:eastAsia="Noto Sans CJK SC"/>
                <w:color w:val="000000"/>
                <w:sz w:val="19"/>
                <w:lang w:val="en-US" w:eastAsia="zh-CN"/>
              </w:rPr>
              <w:t>Grocery sales</w:t>
            </w:r>
          </w:p>
        </w:tc>
        <w:tc>
          <w:tcPr>
            <w:tcW w:type="dxa" w:w="2304"/>
            <w:vAlign w:val="center"/>
            <w:tcMar>
              <w:top w:w="80" w:type="dxa"/>
              <w:bottom w:w="80" w:type="dxa"/>
              <w:left w:w="80" w:type="dxa"/>
              <w:right w:w="80" w:type="dxa"/>
            </w:tcMar>
          </w:tcPr>
          <w:p>
            <w:pPr>
              <w:spacing w:after="40" w:line="240" w:lineRule="exact"/>
            </w:pPr>
            <w:r>
              <w:rPr>
                <w:rFonts w:ascii="Times New Roman" w:hAnsi="Times New Roman" w:eastAsia="Noto Sans CJK SC"/>
                <w:color w:val="000000"/>
                <w:sz w:val="19"/>
                <w:lang w:val="en-US" w:eastAsia="zh-CN"/>
              </w:rPr>
              <w:t>debit/​data/​macro_​history.csv</w:t>
            </w:r>
          </w:p>
        </w:tc>
        <w:tc>
          <w:tcPr>
            <w:tcW w:type="dxa" w:w="3168"/>
            <w:vAlign w:val="center"/>
            <w:tcMar>
              <w:top w:w="80" w:type="dxa"/>
              <w:bottom w:w="80" w:type="dxa"/>
              <w:left w:w="80" w:type="dxa"/>
              <w:right w:w="80" w:type="dxa"/>
            </w:tcMar>
          </w:tcPr>
          <w:p>
            <w:pPr>
              <w:spacing w:after="40" w:line="240" w:lineRule="exact"/>
            </w:pPr>
            <w:r>
              <w:rPr>
                <w:rFonts w:ascii="Times New Roman" w:hAnsi="Times New Roman" w:eastAsia="Noto Sans CJK SC"/>
                <w:color w:val="000000"/>
                <w:sz w:val="19"/>
                <w:lang w:val="en-US" w:eastAsia="zh-CN"/>
              </w:rPr>
              <w:t>Development regression screening.</w:t>
            </w:r>
          </w:p>
        </w:tc>
      </w:tr>
      <w:tr>
        <w:trPr>
          <w:cantSplit/>
        </w:trPr>
        <w:tc>
          <w:tcPr>
            <w:tcW w:type="dxa" w:w="2664"/>
            <w:vAlign w:val="center"/>
            <w:tcMar>
              <w:top w:w="80" w:type="dxa"/>
              <w:bottom w:w="80" w:type="dxa"/>
              <w:left w:w="80" w:type="dxa"/>
              <w:right w:w="80" w:type="dxa"/>
            </w:tcMar>
          </w:tcPr>
          <w:p>
            <w:pPr>
              <w:spacing w:after="40" w:line="240" w:lineRule="exact"/>
            </w:pPr>
            <w:r>
              <w:rPr>
                <w:rFonts w:ascii="Times New Roman" w:hAnsi="Times New Roman" w:eastAsia="Noto Sans CJK SC"/>
                <w:color w:val="000000"/>
                <w:sz w:val="19"/>
                <w:lang w:val="en-US" w:eastAsia="zh-CN"/>
              </w:rPr>
              <w:t>M_​FRT447_​B.IUSA</w:t>
              <w:br/>
              <w:t>gasoline_​sales</w:t>
            </w:r>
          </w:p>
        </w:tc>
        <w:tc>
          <w:tcPr>
            <w:tcW w:type="dxa" w:w="1800"/>
            <w:vAlign w:val="center"/>
            <w:tcMar>
              <w:top w:w="80" w:type="dxa"/>
              <w:bottom w:w="80" w:type="dxa"/>
              <w:left w:w="80" w:type="dxa"/>
              <w:right w:w="80" w:type="dxa"/>
            </w:tcMar>
          </w:tcPr>
          <w:p>
            <w:pPr>
              <w:spacing w:after="40" w:line="240" w:lineRule="exact"/>
            </w:pPr>
            <w:r>
              <w:rPr>
                <w:rFonts w:ascii="Times New Roman" w:hAnsi="Times New Roman" w:eastAsia="Noto Sans CJK SC"/>
                <w:color w:val="000000"/>
                <w:sz w:val="19"/>
                <w:lang w:val="en-US" w:eastAsia="zh-CN"/>
              </w:rPr>
              <w:t>Gasoline sales</w:t>
            </w:r>
          </w:p>
        </w:tc>
        <w:tc>
          <w:tcPr>
            <w:tcW w:type="dxa" w:w="2304"/>
            <w:vAlign w:val="center"/>
            <w:tcMar>
              <w:top w:w="80" w:type="dxa"/>
              <w:bottom w:w="80" w:type="dxa"/>
              <w:left w:w="80" w:type="dxa"/>
              <w:right w:w="80" w:type="dxa"/>
            </w:tcMar>
          </w:tcPr>
          <w:p>
            <w:pPr>
              <w:spacing w:after="40" w:line="240" w:lineRule="exact"/>
            </w:pPr>
            <w:r>
              <w:rPr>
                <w:rFonts w:ascii="Times New Roman" w:hAnsi="Times New Roman" w:eastAsia="Noto Sans CJK SC"/>
                <w:color w:val="000000"/>
                <w:sz w:val="19"/>
                <w:lang w:val="en-US" w:eastAsia="zh-CN"/>
              </w:rPr>
              <w:t>debit/​data/​macro_​history.csv</w:t>
            </w:r>
          </w:p>
        </w:tc>
        <w:tc>
          <w:tcPr>
            <w:tcW w:type="dxa" w:w="3168"/>
            <w:vAlign w:val="center"/>
            <w:tcMar>
              <w:top w:w="80" w:type="dxa"/>
              <w:bottom w:w="80" w:type="dxa"/>
              <w:left w:w="80" w:type="dxa"/>
              <w:right w:w="80" w:type="dxa"/>
            </w:tcMar>
          </w:tcPr>
          <w:p>
            <w:pPr>
              <w:spacing w:after="40" w:line="240" w:lineRule="exact"/>
            </w:pPr>
            <w:r>
              <w:rPr>
                <w:rFonts w:ascii="Times New Roman" w:hAnsi="Times New Roman" w:eastAsia="Noto Sans CJK SC"/>
                <w:color w:val="000000"/>
                <w:sz w:val="19"/>
                <w:lang w:val="en-US" w:eastAsia="zh-CN"/>
              </w:rPr>
              <w:t>Development regression screening.</w:t>
            </w:r>
          </w:p>
        </w:tc>
      </w:tr>
      <w:tr>
        <w:trPr>
          <w:cantSplit/>
        </w:trPr>
        <w:tc>
          <w:tcPr>
            <w:tcW w:type="dxa" w:w="2664"/>
            <w:vAlign w:val="center"/>
            <w:tcMar>
              <w:top w:w="80" w:type="dxa"/>
              <w:bottom w:w="80" w:type="dxa"/>
              <w:left w:w="80" w:type="dxa"/>
              <w:right w:w="80" w:type="dxa"/>
            </w:tcMar>
          </w:tcPr>
          <w:p>
            <w:pPr>
              <w:spacing w:after="40" w:line="240" w:lineRule="exact"/>
            </w:pPr>
            <w:r>
              <w:rPr>
                <w:rFonts w:ascii="Times New Roman" w:hAnsi="Times New Roman" w:eastAsia="Noto Sans CJK SC"/>
                <w:color w:val="000000"/>
                <w:sz w:val="19"/>
                <w:lang w:val="en-US" w:eastAsia="zh-CN"/>
              </w:rPr>
              <w:t>M_​FRT454_​B.IUSA</w:t>
              <w:br/>
              <w:t>nonstore_​sales</w:t>
            </w:r>
          </w:p>
        </w:tc>
        <w:tc>
          <w:tcPr>
            <w:tcW w:type="dxa" w:w="1800"/>
            <w:vAlign w:val="center"/>
            <w:tcMar>
              <w:top w:w="80" w:type="dxa"/>
              <w:bottom w:w="80" w:type="dxa"/>
              <w:left w:w="80" w:type="dxa"/>
              <w:right w:w="80" w:type="dxa"/>
            </w:tcMar>
          </w:tcPr>
          <w:p>
            <w:pPr>
              <w:spacing w:after="40" w:line="240" w:lineRule="exact"/>
            </w:pPr>
            <w:r>
              <w:rPr>
                <w:rFonts w:ascii="Times New Roman" w:hAnsi="Times New Roman" w:eastAsia="Noto Sans CJK SC"/>
                <w:color w:val="000000"/>
                <w:sz w:val="19"/>
                <w:lang w:val="en-US" w:eastAsia="zh-CN"/>
              </w:rPr>
              <w:t>Nonstore retail sales</w:t>
            </w:r>
          </w:p>
        </w:tc>
        <w:tc>
          <w:tcPr>
            <w:tcW w:type="dxa" w:w="2304"/>
            <w:vAlign w:val="center"/>
            <w:tcMar>
              <w:top w:w="80" w:type="dxa"/>
              <w:bottom w:w="80" w:type="dxa"/>
              <w:left w:w="80" w:type="dxa"/>
              <w:right w:w="80" w:type="dxa"/>
            </w:tcMar>
          </w:tcPr>
          <w:p>
            <w:pPr>
              <w:spacing w:after="40" w:line="240" w:lineRule="exact"/>
            </w:pPr>
            <w:r>
              <w:rPr>
                <w:rFonts w:ascii="Times New Roman" w:hAnsi="Times New Roman" w:eastAsia="Noto Sans CJK SC"/>
                <w:color w:val="000000"/>
                <w:sz w:val="19"/>
                <w:lang w:val="en-US" w:eastAsia="zh-CN"/>
              </w:rPr>
              <w:t>debit/​data/​macro_​history.csv</w:t>
            </w:r>
          </w:p>
        </w:tc>
        <w:tc>
          <w:tcPr>
            <w:tcW w:type="dxa" w:w="3168"/>
            <w:vAlign w:val="center"/>
            <w:tcMar>
              <w:top w:w="80" w:type="dxa"/>
              <w:bottom w:w="80" w:type="dxa"/>
              <w:left w:w="80" w:type="dxa"/>
              <w:right w:w="80" w:type="dxa"/>
            </w:tcMar>
          </w:tcPr>
          <w:p>
            <w:pPr>
              <w:spacing w:after="40" w:line="240" w:lineRule="exact"/>
            </w:pPr>
            <w:r>
              <w:rPr>
                <w:rFonts w:ascii="Times New Roman" w:hAnsi="Times New Roman" w:eastAsia="Noto Sans CJK SC"/>
                <w:color w:val="000000"/>
                <w:sz w:val="19"/>
                <w:lang w:val="en-US" w:eastAsia="zh-CN"/>
              </w:rPr>
              <w:t>Development regression screening.</w:t>
            </w:r>
          </w:p>
        </w:tc>
      </w:tr>
      <w:tr>
        <w:trPr>
          <w:cantSplit/>
        </w:trPr>
        <w:tc>
          <w:tcPr>
            <w:tcW w:type="dxa" w:w="2664"/>
            <w:vAlign w:val="center"/>
            <w:tcMar>
              <w:top w:w="80" w:type="dxa"/>
              <w:bottom w:w="80" w:type="dxa"/>
              <w:left w:w="80" w:type="dxa"/>
              <w:right w:w="80" w:type="dxa"/>
            </w:tcMar>
          </w:tcPr>
          <w:p>
            <w:pPr>
              <w:spacing w:after="40" w:line="240" w:lineRule="exact"/>
            </w:pPr>
            <w:r>
              <w:rPr>
                <w:rFonts w:ascii="Times New Roman" w:hAnsi="Times New Roman" w:eastAsia="Noto Sans CJK SC"/>
                <w:color w:val="000000"/>
                <w:sz w:val="19"/>
                <w:lang w:val="en-US" w:eastAsia="zh-CN"/>
              </w:rPr>
              <w:t>M_​FETP_​B.IUSA</w:t>
              <w:br/>
              <w:t>private_​employment</w:t>
            </w:r>
          </w:p>
        </w:tc>
        <w:tc>
          <w:tcPr>
            <w:tcW w:type="dxa" w:w="1800"/>
            <w:vAlign w:val="center"/>
            <w:tcMar>
              <w:top w:w="80" w:type="dxa"/>
              <w:bottom w:w="80" w:type="dxa"/>
              <w:left w:w="80" w:type="dxa"/>
              <w:right w:w="80" w:type="dxa"/>
            </w:tcMar>
          </w:tcPr>
          <w:p>
            <w:pPr>
              <w:spacing w:after="40" w:line="240" w:lineRule="exact"/>
            </w:pPr>
            <w:r>
              <w:rPr>
                <w:rFonts w:ascii="Times New Roman" w:hAnsi="Times New Roman" w:eastAsia="Noto Sans CJK SC"/>
                <w:color w:val="000000"/>
                <w:sz w:val="19"/>
                <w:lang w:val="en-US" w:eastAsia="zh-CN"/>
              </w:rPr>
              <w:t>Private employment</w:t>
            </w:r>
          </w:p>
        </w:tc>
        <w:tc>
          <w:tcPr>
            <w:tcW w:type="dxa" w:w="2304"/>
            <w:vAlign w:val="center"/>
            <w:tcMar>
              <w:top w:w="80" w:type="dxa"/>
              <w:bottom w:w="80" w:type="dxa"/>
              <w:left w:w="80" w:type="dxa"/>
              <w:right w:w="80" w:type="dxa"/>
            </w:tcMar>
          </w:tcPr>
          <w:p>
            <w:pPr>
              <w:spacing w:after="40" w:line="240" w:lineRule="exact"/>
            </w:pPr>
            <w:r>
              <w:rPr>
                <w:rFonts w:ascii="Times New Roman" w:hAnsi="Times New Roman" w:eastAsia="Noto Sans CJK SC"/>
                <w:color w:val="000000"/>
                <w:sz w:val="19"/>
                <w:lang w:val="en-US" w:eastAsia="zh-CN"/>
              </w:rPr>
              <w:t>debit/​data/​macro_​history.csv</w:t>
            </w:r>
          </w:p>
        </w:tc>
        <w:tc>
          <w:tcPr>
            <w:tcW w:type="dxa" w:w="3168"/>
            <w:vAlign w:val="center"/>
            <w:tcMar>
              <w:top w:w="80" w:type="dxa"/>
              <w:bottom w:w="80" w:type="dxa"/>
              <w:left w:w="80" w:type="dxa"/>
              <w:right w:w="80" w:type="dxa"/>
            </w:tcMar>
          </w:tcPr>
          <w:p>
            <w:pPr>
              <w:spacing w:after="40" w:line="240" w:lineRule="exact"/>
            </w:pPr>
            <w:r>
              <w:rPr>
                <w:rFonts w:ascii="Times New Roman" w:hAnsi="Times New Roman" w:eastAsia="Noto Sans CJK SC"/>
                <w:color w:val="000000"/>
                <w:sz w:val="19"/>
                <w:lang w:val="en-US" w:eastAsia="zh-CN"/>
              </w:rPr>
              <w:t>Development regression screening.</w:t>
            </w:r>
          </w:p>
        </w:tc>
      </w:tr>
    </w:tbl>
    <w:p>
      <w:pPr>
        <w:keepNext w:val="0"/>
        <w:pageBreakBefore w:val="0"/>
        <w:spacing w:after="140" w:line="230" w:lineRule="exact"/>
      </w:pPr>
      <w:r>
        <w:rPr>
          <w:rFonts w:ascii="Times New Roman" w:hAnsi="Times New Roman" w:eastAsia="Noto Sans CJK SC"/>
          <w:color w:val="000000"/>
          <w:sz w:val="17"/>
          <w:lang w:val="en-US" w:eastAsia="zh-CN"/>
        </w:rPr>
        <w:t>Data sources: debit/​data/​macro_​history.csv; debit/​debit_​card_​model.py, MACRO_​COLUMNS, make_​design and regression_​designs. Source-field names retain the exact CSV headers. Non-unemployment changes are percentage changes; unemployment changes are in percentage points.</w:t>
      </w:r>
    </w:p>
    <w:p>
      <w:pPr>
        <w:pStyle w:val="Heading3"/>
        <w:keepNext/>
        <w:pageBreakBefore w:val="0"/>
        <w:spacing w:after="140"/>
      </w:pPr>
      <w:r>
        <w:rPr>
          <w:rFonts w:ascii="Times New Roman" w:hAnsi="Times New Roman" w:eastAsia="Noto Sans CJK SC"/>
          <w:color w:val="000000"/>
          <w:sz w:val="22"/>
          <w:lang w:val="en-US" w:eastAsia="zh-CN"/>
        </w:rPr>
        <w:t>4.3.4 Data Lineage and Preparation</w:t>
      </w:r>
    </w:p>
    <w:p>
      <w:pPr>
        <w:keepNext w:val="0"/>
        <w:pageBreakBefore w:val="0"/>
        <w:spacing w:after="140"/>
      </w:pPr>
      <w:r>
        <w:rPr>
          <w:rFonts w:ascii="Times New Roman" w:hAnsi="Times New Roman" w:eastAsia="Noto Sans CJK SC"/>
          <w:color w:val="000000"/>
          <w:sz w:val="22"/>
          <w:lang w:val="en-US" w:eastAsia="zh-CN"/>
        </w:rPr>
        <w:t>Preparation imports the source files, maps field names, orders and aligns dates, constructs the specified transformations and selects the relevant estimation or calibration period. Original inputs remain separate from exported features and results. No random sampling is applied.</w:t>
      </w:r>
    </w:p>
    <w:p>
      <w:pPr>
        <w:pStyle w:val="Caption"/>
        <w:keepNext/>
        <w:pageBreakBefore w:val="0"/>
        <w:spacing w:after="140"/>
      </w:pPr>
      <w:r>
        <w:rPr>
          <w:rFonts w:ascii="Times New Roman" w:hAnsi="Times New Roman" w:eastAsia="Noto Sans CJK SC"/>
          <w:color w:val="000000"/>
          <w:sz w:val="21"/>
          <w:lang w:val="en-US" w:eastAsia="zh-CN"/>
        </w:rPr>
        <w:t>Table 4.15 Debit Card Data Lineage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3168"/>
        <w:gridCol w:w="3672"/>
      </w:tblGrid>
      <w:tr>
        <w:trPr>
          <w:cantSplit/>
          <w:tblHeader/>
        </w:trPr>
        <w:tc>
          <w:tcPr>
            <w:tcW w:type="dxa" w:w="3096"/>
            <w:vAlign w:val="center"/>
            <w:tcMar>
              <w:top w:w="90" w:type="dxa"/>
              <w:bottom w:w="90" w:type="dxa"/>
              <w:left w:w="90" w:type="dxa"/>
              <w:right w:w="90" w:type="dxa"/>
            </w:tcMar>
            <w:shd w:fill="E7E6E6"/>
          </w:tcPr>
          <w:p>
            <w:pPr>
              <w:spacing w:after="40" w:line="240" w:lineRule="exact"/>
            </w:pPr>
            <w:r>
              <w:rPr>
                <w:rFonts w:ascii="Times New Roman" w:hAnsi="Times New Roman" w:eastAsia="Noto Sans CJK SC"/>
                <w:b/>
                <w:color w:val="000000"/>
                <w:sz w:val="19"/>
                <w:lang w:val="en-US" w:eastAsia="zh-CN"/>
              </w:rPr>
              <w:t>Input Source</w:t>
            </w:r>
          </w:p>
        </w:tc>
        <w:tc>
          <w:tcPr>
            <w:tcW w:type="dxa" w:w="3168"/>
            <w:vAlign w:val="center"/>
            <w:tcMar>
              <w:top w:w="90" w:type="dxa"/>
              <w:bottom w:w="90" w:type="dxa"/>
              <w:left w:w="90" w:type="dxa"/>
              <w:right w:w="90" w:type="dxa"/>
            </w:tcMar>
            <w:shd w:fill="E7E6E6"/>
          </w:tcPr>
          <w:p>
            <w:pPr>
              <w:spacing w:after="40" w:line="240" w:lineRule="exact"/>
            </w:pPr>
            <w:r>
              <w:rPr>
                <w:rFonts w:ascii="Times New Roman" w:hAnsi="Times New Roman" w:eastAsia="Noto Sans CJK SC"/>
                <w:b/>
                <w:color w:val="000000"/>
                <w:sz w:val="19"/>
                <w:lang w:val="en-US" w:eastAsia="zh-CN"/>
              </w:rPr>
              <w:t>Output File</w:t>
            </w:r>
          </w:p>
        </w:tc>
        <w:tc>
          <w:tcPr>
            <w:tcW w:type="dxa" w:w="3672"/>
            <w:vAlign w:val="center"/>
            <w:tcMar>
              <w:top w:w="90" w:type="dxa"/>
              <w:bottom w:w="90" w:type="dxa"/>
              <w:left w:w="90" w:type="dxa"/>
              <w:right w:w="90" w:type="dxa"/>
            </w:tcMar>
            <w:shd w:fill="E7E6E6"/>
          </w:tcPr>
          <w:p>
            <w:pPr>
              <w:spacing w:after="40" w:line="240" w:lineRule="exact"/>
            </w:pPr>
            <w:r>
              <w:rPr>
                <w:rFonts w:ascii="Times New Roman" w:hAnsi="Times New Roman" w:eastAsia="Noto Sans CJK SC"/>
                <w:b/>
                <w:color w:val="000000"/>
                <w:sz w:val="19"/>
                <w:lang w:val="en-US" w:eastAsia="zh-CN"/>
              </w:rPr>
              <w:t>Purpose</w:t>
            </w:r>
          </w:p>
        </w:tc>
      </w:tr>
      <w:tr>
        <w:trPr>
          <w:cantSplit/>
        </w:trPr>
        <w:tc>
          <w:tcPr>
            <w:tcW w:type="dxa" w:w="3096"/>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debit/​data/​fee_​history.csv</w:t>
            </w:r>
          </w:p>
        </w:tc>
        <w:tc>
          <w:tcPr>
            <w:tcW w:type="dxa" w:w="3168"/>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debit/​monthly_​revenue.csv; debit/​quarterly_​revenue.csv</w:t>
            </w:r>
          </w:p>
        </w:tc>
        <w:tc>
          <w:tcPr>
            <w:tcW w:type="dxa" w:w="3672"/>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Preserve mapped fee history and derived model features.</w:t>
            </w:r>
          </w:p>
        </w:tc>
      </w:tr>
      <w:tr>
        <w:trPr>
          <w:cantSplit/>
        </w:trPr>
        <w:tc>
          <w:tcPr>
            <w:tcW w:type="dxa" w:w="3096"/>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debit/​data/​macro_​history.csv</w:t>
            </w:r>
          </w:p>
        </w:tc>
        <w:tc>
          <w:tcPr>
            <w:tcW w:type="dxa" w:w="3168"/>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debit/​regression_​summary.csv</w:t>
            </w:r>
          </w:p>
        </w:tc>
        <w:tc>
          <w:tcPr>
            <w:tcW w:type="dxa" w:w="3672"/>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Align and transform historical economic candidates.</w:t>
            </w:r>
          </w:p>
        </w:tc>
      </w:tr>
      <w:tr>
        <w:trPr>
          <w:cantSplit/>
        </w:trPr>
        <w:tc>
          <w:tcPr>
            <w:tcW w:type="dxa" w:w="3096"/>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debit/​quarterly_​revenue.csv</w:t>
            </w:r>
          </w:p>
        </w:tc>
        <w:tc>
          <w:tcPr>
            <w:tcW w:type="dxa" w:w="3168"/>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debit/​qualitative_​scenarios.csv</w:t>
            </w:r>
          </w:p>
        </w:tc>
        <w:tc>
          <w:tcPr>
            <w:tcW w:type="dxa" w:w="3672"/>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Calculate historical baseline and stress calibration.</w:t>
            </w:r>
          </w:p>
        </w:tc>
      </w:tr>
    </w:tbl>
    <w:p>
      <w:pPr>
        <w:keepNext/>
        <w:keepLines/>
        <w:pageBreakBefore w:val="0"/>
        <w:spacing w:after="140"/>
      </w:pPr>
      <w:r>
        <w:rPr>
          <w:rFonts w:ascii="Times New Roman" w:hAnsi="Times New Roman" w:eastAsia="Noto Sans CJK SC"/>
          <w:color w:val="000000"/>
          <w:sz w:val="22"/>
          <w:lang w:val="en-US" w:eastAsia="zh-CN"/>
        </w:rPr>
        <w:t>This table traces the Debit calculation from adjusted monthly observations to complete-quarter revenue and the baseline and stress-floor measures. It separates the recent run-rate calculation from the longer-history downside calibration.</w:t>
      </w:r>
    </w:p>
    <w:p>
      <w:pPr>
        <w:pStyle w:val="Caption"/>
        <w:keepNext/>
        <w:pageBreakBefore w:val="0"/>
        <w:spacing w:after="140"/>
      </w:pPr>
      <w:r>
        <w:rPr>
          <w:rFonts w:ascii="Times New Roman" w:hAnsi="Times New Roman" w:eastAsia="Noto Sans CJK SC"/>
          <w:color w:val="000000"/>
          <w:sz w:val="21"/>
          <w:lang w:val="en-US" w:eastAsia="zh-CN"/>
        </w:rPr>
        <w:t>Table 4.16 Debit Card Transformations and Final Formulas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2880"/>
        <w:gridCol w:w="4824"/>
      </w:tblGrid>
      <w:tr>
        <w:trPr>
          <w:cantSplit/>
          <w:tblHeader/>
        </w:trPr>
        <w:tc>
          <w:tcPr>
            <w:tcW w:type="dxa" w:w="2232"/>
            <w:vAlign w:val="center"/>
            <w:tcMar>
              <w:top w:w="90" w:type="dxa"/>
              <w:bottom w:w="90" w:type="dxa"/>
              <w:left w:w="90" w:type="dxa"/>
              <w:right w:w="90" w:type="dxa"/>
            </w:tcMar>
            <w:shd w:fill="E7E6E6"/>
          </w:tcPr>
          <w:p>
            <w:pPr>
              <w:spacing w:after="40" w:line="240" w:lineRule="exact"/>
            </w:pPr>
            <w:r>
              <w:rPr>
                <w:rFonts w:ascii="Times New Roman" w:hAnsi="Times New Roman" w:eastAsia="Noto Sans CJK SC"/>
                <w:b/>
                <w:color w:val="000000"/>
                <w:sz w:val="19"/>
                <w:lang w:val="en-US" w:eastAsia="zh-CN"/>
              </w:rPr>
              <w:t>Model Element</w:t>
            </w:r>
          </w:p>
        </w:tc>
        <w:tc>
          <w:tcPr>
            <w:tcW w:type="dxa" w:w="2880"/>
            <w:vAlign w:val="center"/>
            <w:tcMar>
              <w:top w:w="90" w:type="dxa"/>
              <w:bottom w:w="90" w:type="dxa"/>
              <w:left w:w="90" w:type="dxa"/>
              <w:right w:w="90" w:type="dxa"/>
            </w:tcMar>
            <w:shd w:fill="E7E6E6"/>
          </w:tcPr>
          <w:p>
            <w:pPr>
              <w:spacing w:after="40" w:line="240" w:lineRule="exact"/>
            </w:pPr>
            <w:r>
              <w:rPr>
                <w:rFonts w:ascii="Times New Roman" w:hAnsi="Times New Roman" w:eastAsia="Noto Sans CJK SC"/>
                <w:b/>
                <w:color w:val="000000"/>
                <w:sz w:val="19"/>
                <w:lang w:val="en-US" w:eastAsia="zh-CN"/>
              </w:rPr>
              <w:t>Transformation Steps</w:t>
            </w:r>
          </w:p>
        </w:tc>
        <w:tc>
          <w:tcPr>
            <w:tcW w:type="dxa" w:w="4824"/>
            <w:vAlign w:val="center"/>
            <w:tcMar>
              <w:top w:w="90" w:type="dxa"/>
              <w:bottom w:w="90" w:type="dxa"/>
              <w:left w:w="90" w:type="dxa"/>
              <w:right w:w="90" w:type="dxa"/>
            </w:tcMar>
            <w:shd w:fill="E7E6E6"/>
          </w:tcPr>
          <w:p>
            <w:pPr>
              <w:spacing w:after="40" w:line="240" w:lineRule="exact"/>
            </w:pPr>
            <w:r>
              <w:rPr>
                <w:rFonts w:ascii="Times New Roman" w:hAnsi="Times New Roman" w:eastAsia="Noto Sans CJK SC"/>
                <w:b/>
                <w:color w:val="000000"/>
                <w:sz w:val="19"/>
                <w:lang w:val="en-US" w:eastAsia="zh-CN"/>
              </w:rPr>
              <w:t>Final Formula</w:t>
            </w:r>
          </w:p>
        </w:tc>
      </w:tr>
      <w:tr>
        <w:trPr>
          <w:cantSplit/>
        </w:trPr>
        <w:tc>
          <w:tcPr>
            <w:tcW w:type="dxa" w:w="2232"/>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debit_​card_​fee_​adjusted</w:t>
            </w:r>
          </w:p>
        </w:tc>
        <w:tc>
          <w:tcPr>
            <w:tcW w:type="dxa" w:w="288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Retain raw fees except the two documented 2012 replacements, calculated from adjacent raw months.</w:t>
            </w:r>
          </w:p>
        </w:tc>
        <w:tc>
          <w:tcPr>
            <w:tcW w:type="dxa" w:w="4824"/>
            <w:vAlign w:val="center"/>
            <w:tcMar>
              <w:top w:w="90" w:type="dxa"/>
              <w:bottom w:w="90" w:type="dxa"/>
              <w:left w:w="90" w:type="dxa"/>
              <w:right w:w="90" w:type="dxa"/>
            </w:tcMar>
          </w:tcPr>
          <w:p>
            <w:pPr>
              <w:spacing w:after="40" w:line="269" w:lineRule="auto"/>
            </w:pPr>
            <w:r>
              <w:rPr>
                <w:rFonts w:ascii="Times New Roman" w:hAnsi="Times New Roman" w:eastAsia="Noto Sans CJK SC"/>
                <w:color w:val="000000"/>
                <w:sz w:val="18"/>
                <w:lang w:val="en-US" w:eastAsia="zh-CN"/>
                <w:lang w:val="en-US" w:eastAsia="zh-CN"/>
              </w:rPr>
              <w:t>= [debit_​card_​fee_​raw(t − 1)</w:t>
              <w:br/>
              <w:t xml:space="preserve">  + debit_​card_​fee_​raw(t + 1)] ÷ 2</w:t>
              <w:br/>
              <w:t>for the two replacement months;</w:t>
              <w:br/>
              <w:t>= debit_​card_​fee_​raw(t) otherwise</w:t>
            </w:r>
          </w:p>
        </w:tc>
      </w:tr>
      <w:tr>
        <w:trPr>
          <w:cantSplit/>
        </w:trPr>
        <w:tc>
          <w:tcPr>
            <w:tcW w:type="dxa" w:w="2232"/>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Quarterly adjusted fee revenue</w:t>
            </w:r>
          </w:p>
        </w:tc>
        <w:tc>
          <w:tcPr>
            <w:tcW w:type="dxa" w:w="288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Sum three monthly adjusted observations. Exclude incomplete quarters.</w:t>
            </w:r>
          </w:p>
        </w:tc>
        <w:tc>
          <w:tcPr>
            <w:tcW w:type="dxa" w:w="4824"/>
            <w:vAlign w:val="center"/>
            <w:tcMar>
              <w:top w:w="90" w:type="dxa"/>
              <w:bottom w:w="90" w:type="dxa"/>
              <w:left w:w="90" w:type="dxa"/>
              <w:right w:w="90" w:type="dxa"/>
            </w:tcMar>
          </w:tcPr>
          <w:p>
            <w:pPr>
              <w:spacing w:after="40" w:line="269" w:lineRule="auto"/>
            </w:pPr>
            <w:r>
              <w:rPr>
                <w:rFonts w:ascii="Times New Roman" w:hAnsi="Times New Roman" w:eastAsia="Noto Sans CJK SC"/>
                <w:color w:val="000000"/>
                <w:sz w:val="18"/>
                <w:lang w:val="en-US" w:eastAsia="zh-CN"/>
                <w:lang w:val="en-US" w:eastAsia="zh-CN"/>
              </w:rPr>
              <w:t>= sum of debit_​card_​fee_​adjusted(t)</w:t>
              <w:br/>
              <w:t xml:space="preserve">  for the three months in quarter q</w:t>
            </w:r>
          </w:p>
        </w:tc>
      </w:tr>
      <w:tr>
        <w:trPr>
          <w:cantSplit/>
        </w:trPr>
        <w:tc>
          <w:tcPr>
            <w:tcW w:type="dxa" w:w="2232"/>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baseline_​quarterly</w:t>
            </w:r>
          </w:p>
        </w:tc>
        <w:tc>
          <w:tcPr>
            <w:tcW w:type="dxa" w:w="288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Identify the most recent eight complete actual quarters and calculate their arithmetic mean.</w:t>
            </w:r>
          </w:p>
        </w:tc>
        <w:tc>
          <w:tcPr>
            <w:tcW w:type="dxa" w:w="4824"/>
            <w:vAlign w:val="center"/>
            <w:tcMar>
              <w:top w:w="90" w:type="dxa"/>
              <w:bottom w:w="90" w:type="dxa"/>
              <w:left w:w="90" w:type="dxa"/>
              <w:right w:w="90" w:type="dxa"/>
            </w:tcMar>
          </w:tcPr>
          <w:p>
            <w:pPr>
              <w:spacing w:after="40" w:line="269" w:lineRule="auto"/>
            </w:pPr>
            <w:r>
              <w:rPr>
                <w:rFonts w:ascii="Times New Roman" w:hAnsi="Times New Roman" w:eastAsia="Noto Sans CJK SC"/>
                <w:color w:val="000000"/>
                <w:sz w:val="18"/>
                <w:lang w:val="en-US" w:eastAsia="zh-CN"/>
                <w:lang w:val="en-US" w:eastAsia="zh-CN"/>
              </w:rPr>
              <w:t>= mean(quarterly adjusted fee revenue</w:t>
              <w:br/>
              <w:t xml:space="preserve">  over the latest eight complete quarters)</w:t>
            </w:r>
          </w:p>
        </w:tc>
      </w:tr>
      <w:tr>
        <w:trPr>
          <w:cantSplit/>
        </w:trPr>
        <w:tc>
          <w:tcPr>
            <w:tcW w:type="dxa" w:w="2232"/>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stress_​floor_​quarterly</w:t>
            </w:r>
          </w:p>
        </w:tc>
        <w:tc>
          <w:tcPr>
            <w:tcW w:type="dxa" w:w="288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Use complete quarters from 2015 onward. Calculate the mean and sample standard deviation, then subtract twice the standard deviation.</w:t>
            </w:r>
          </w:p>
        </w:tc>
        <w:tc>
          <w:tcPr>
            <w:tcW w:type="dxa" w:w="4824"/>
            <w:vAlign w:val="center"/>
            <w:tcMar>
              <w:top w:w="90" w:type="dxa"/>
              <w:bottom w:w="90" w:type="dxa"/>
              <w:left w:w="90" w:type="dxa"/>
              <w:right w:w="90" w:type="dxa"/>
            </w:tcMar>
          </w:tcPr>
          <w:p>
            <w:pPr>
              <w:spacing w:after="40" w:line="269" w:lineRule="auto"/>
            </w:pPr>
            <w:r>
              <w:rPr>
                <w:rFonts w:ascii="Times New Roman" w:hAnsi="Times New Roman" w:eastAsia="Noto Sans CJK SC"/>
                <w:color w:val="000000"/>
                <w:sz w:val="18"/>
                <w:lang w:val="en-US" w:eastAsia="zh-CN"/>
                <w:lang w:val="en-US" w:eastAsia="zh-CN"/>
              </w:rPr>
              <w:t>= stress_​mean − 2 × stress_​sd_​sample</w:t>
              <w:br/>
              <w:t>sample standard deviation uses n − 1</w:t>
            </w:r>
          </w:p>
        </w:tc>
      </w:tr>
    </w:tbl>
    <w:p>
      <w:pPr>
        <w:keepNext w:val="0"/>
        <w:pageBreakBefore w:val="0"/>
        <w:spacing w:after="140" w:line="230" w:lineRule="exact"/>
      </w:pPr>
      <w:r>
        <w:rPr>
          <w:rFonts w:ascii="Times New Roman" w:hAnsi="Times New Roman" w:eastAsia="Noto Sans CJK SC"/>
          <w:color w:val="000000"/>
          <w:sz w:val="17"/>
          <w:lang w:val="en-US" w:eastAsia="zh-CN"/>
          <w:lang w:val="en-US" w:eastAsia="zh-CN"/>
        </w:rPr>
        <w:t>Data sources: debit/​debit_​card_​model.py; debit/​monthly_​revenue.csv; debit/​quarterly_​revenue.csv.</w:t>
      </w:r>
    </w:p>
    <w:p>
      <w:pPr>
        <w:pStyle w:val="Heading3"/>
        <w:keepNext/>
        <w:pageBreakBefore w:val="0"/>
        <w:spacing w:after="140"/>
      </w:pPr>
      <w:r>
        <w:rPr>
          <w:rFonts w:ascii="Times New Roman" w:hAnsi="Times New Roman" w:eastAsia="Noto Sans CJK SC"/>
          <w:color w:val="000000"/>
          <w:sz w:val="22"/>
          <w:lang w:val="en-US" w:eastAsia="zh-CN"/>
        </w:rPr>
        <w:t>4.3.5 Data Quality Assessment</w:t>
      </w:r>
    </w:p>
    <w:p>
      <w:pPr>
        <w:keepNext w:val="0"/>
        <w:pageBreakBefore w:val="0"/>
        <w:spacing w:after="140"/>
      </w:pPr>
      <w:r>
        <w:rPr>
          <w:rFonts w:ascii="Times New Roman" w:hAnsi="Times New Roman" w:eastAsia="Noto Sans CJK SC"/>
          <w:color w:val="000000"/>
          <w:sz w:val="22"/>
          <w:lang w:val="en-US" w:eastAsia="zh-CN"/>
        </w:rPr>
        <w:t>Data-quality assessment reviews completeness, date consistency, duplicates, alignment and transformation accuracy. Required source fields are reconciled to the mapped series and exported features. Initial observations unavailable solely because of growth calculations or lags are distinguished from missing source observations.</w:t>
      </w:r>
    </w:p>
    <w:p>
      <w:pPr>
        <w:pStyle w:val="Caption"/>
        <w:keepNext/>
        <w:pageBreakBefore w:val="0"/>
        <w:spacing w:after="140"/>
      </w:pPr>
      <w:r>
        <w:rPr>
          <w:rFonts w:ascii="Times New Roman" w:hAnsi="Times New Roman" w:eastAsia="Noto Sans CJK SC"/>
          <w:color w:val="000000"/>
          <w:sz w:val="21"/>
          <w:lang w:val="en-US" w:eastAsia="zh-CN"/>
        </w:rPr>
        <w:t>Table 4.17 Debit Card Data Quality Review</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3744"/>
        <w:gridCol w:w="4320"/>
      </w:tblGrid>
      <w:tr>
        <w:trPr>
          <w:cantSplit/>
          <w:tblHeader/>
        </w:trPr>
        <w:tc>
          <w:tcPr>
            <w:tcW w:type="dxa" w:w="1872"/>
            <w:vAlign w:val="center"/>
            <w:tcMar>
              <w:top w:w="90" w:type="dxa"/>
              <w:bottom w:w="90" w:type="dxa"/>
              <w:left w:w="90" w:type="dxa"/>
              <w:right w:w="90" w:type="dxa"/>
            </w:tcMar>
            <w:shd w:fill="E7E6E6"/>
          </w:tcPr>
          <w:p>
            <w:pPr>
              <w:spacing w:after="40" w:line="240" w:lineRule="exact"/>
            </w:pPr>
            <w:r>
              <w:rPr>
                <w:rFonts w:ascii="Times New Roman" w:hAnsi="Times New Roman" w:eastAsia="Noto Sans CJK SC"/>
                <w:b/>
                <w:color w:val="000000"/>
                <w:sz w:val="19"/>
                <w:lang w:val="en-US" w:eastAsia="zh-CN"/>
              </w:rPr>
              <w:t>Review Area</w:t>
            </w:r>
          </w:p>
        </w:tc>
        <w:tc>
          <w:tcPr>
            <w:tcW w:type="dxa" w:w="3744"/>
            <w:vAlign w:val="center"/>
            <w:tcMar>
              <w:top w:w="90" w:type="dxa"/>
              <w:bottom w:w="90" w:type="dxa"/>
              <w:left w:w="90" w:type="dxa"/>
              <w:right w:w="90" w:type="dxa"/>
            </w:tcMar>
            <w:shd w:fill="E7E6E6"/>
          </w:tcPr>
          <w:p>
            <w:pPr>
              <w:spacing w:after="40" w:line="240" w:lineRule="exact"/>
            </w:pPr>
            <w:r>
              <w:rPr>
                <w:rFonts w:ascii="Times New Roman" w:hAnsi="Times New Roman" w:eastAsia="Noto Sans CJK SC"/>
                <w:b/>
                <w:color w:val="000000"/>
                <w:sz w:val="19"/>
                <w:lang w:val="en-US" w:eastAsia="zh-CN"/>
              </w:rPr>
              <w:t>Assessment Performed</w:t>
            </w:r>
          </w:p>
        </w:tc>
        <w:tc>
          <w:tcPr>
            <w:tcW w:type="dxa" w:w="4320"/>
            <w:vAlign w:val="center"/>
            <w:tcMar>
              <w:top w:w="90" w:type="dxa"/>
              <w:bottom w:w="90" w:type="dxa"/>
              <w:left w:w="90" w:type="dxa"/>
              <w:right w:w="90" w:type="dxa"/>
            </w:tcMar>
            <w:shd w:fill="E7E6E6"/>
          </w:tcPr>
          <w:p>
            <w:pPr>
              <w:spacing w:after="40" w:line="240" w:lineRule="exact"/>
            </w:pPr>
            <w:r>
              <w:rPr>
                <w:rFonts w:ascii="Times New Roman" w:hAnsi="Times New Roman" w:eastAsia="Noto Sans CJK SC"/>
                <w:b/>
                <w:color w:val="000000"/>
                <w:sz w:val="19"/>
                <w:lang w:val="en-US" w:eastAsia="zh-CN"/>
              </w:rPr>
              <w:t>Result</w:t>
            </w:r>
          </w:p>
        </w:tc>
      </w:tr>
      <w:tr>
        <w:trPr>
          <w:cantSplit/>
        </w:trPr>
        <w:tc>
          <w:tcPr>
            <w:tcW w:type="dxa" w:w="1872"/>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Date consistency</w:t>
            </w:r>
          </w:p>
        </w:tc>
        <w:tc>
          <w:tcPr>
            <w:tcW w:type="dxa" w:w="3744"/>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Check monthly dates and duplicate keys.</w:t>
            </w:r>
          </w:p>
        </w:tc>
        <w:tc>
          <w:tcPr>
            <w:tcW w:type="dxa" w:w="432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Unique monthly source dates.</w:t>
            </w:r>
          </w:p>
        </w:tc>
      </w:tr>
      <w:tr>
        <w:trPr>
          <w:cantSplit/>
        </w:trPr>
        <w:tc>
          <w:tcPr>
            <w:tcW w:type="dxa" w:w="1872"/>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Transformation accuracy</w:t>
            </w:r>
          </w:p>
        </w:tc>
        <w:tc>
          <w:tcPr>
            <w:tcW w:type="dxa" w:w="3744"/>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Trace features to original fields and code.</w:t>
            </w:r>
          </w:p>
        </w:tc>
        <w:tc>
          <w:tcPr>
            <w:tcW w:type="dxa" w:w="432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Aggregation, growth and lag rules are reproducible.</w:t>
            </w:r>
          </w:p>
        </w:tc>
      </w:tr>
      <w:tr>
        <w:trPr>
          <w:cantSplit/>
        </w:trPr>
        <w:tc>
          <w:tcPr>
            <w:tcW w:type="dxa" w:w="1872"/>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Sample alignment</w:t>
            </w:r>
          </w:p>
        </w:tc>
        <w:tc>
          <w:tcPr>
            <w:tcW w:type="dxa" w:w="3744"/>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Apply defined windows and complete-case alignment.</w:t>
            </w:r>
          </w:p>
        </w:tc>
        <w:tc>
          <w:tcPr>
            <w:tcW w:type="dxa" w:w="432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Estimation and calibration samples follow the component specification.</w:t>
            </w:r>
          </w:p>
        </w:tc>
      </w:tr>
    </w:tbl>
    <w:p>
      <w:pPr>
        <w:pStyle w:val="Heading3"/>
        <w:keepNext/>
        <w:pageBreakBefore w:val="0"/>
        <w:spacing w:after="140"/>
      </w:pPr>
      <w:r>
        <w:rPr>
          <w:rFonts w:ascii="Times New Roman" w:hAnsi="Times New Roman" w:eastAsia="Noto Sans CJK SC"/>
          <w:color w:val="000000"/>
          <w:sz w:val="22"/>
          <w:lang w:val="en-US" w:eastAsia="zh-CN"/>
        </w:rPr>
        <w:t>4.3.6 Missing Data Review and Inclusion Exclusion Decisions</w:t>
      </w:r>
    </w:p>
    <w:p>
      <w:pPr>
        <w:keepNext w:val="0"/>
        <w:pageBreakBefore w:val="0"/>
        <w:spacing w:after="140"/>
      </w:pPr>
      <w:r>
        <w:rPr>
          <w:rFonts w:ascii="Times New Roman" w:hAnsi="Times New Roman" w:eastAsia="Noto Sans CJK SC"/>
          <w:color w:val="000000"/>
          <w:sz w:val="22"/>
          <w:lang w:val="en-US" w:eastAsia="zh-CN"/>
        </w:rPr>
        <w:t>Missing-data assessment covers the fee history, required historical inputs, selected forecast drivers where applicable, and aligned development sample.</w:t>
      </w:r>
    </w:p>
    <w:p>
      <w:pPr>
        <w:pStyle w:val="Caption"/>
        <w:keepNext/>
        <w:pageBreakBefore w:val="0"/>
        <w:spacing w:after="140"/>
      </w:pPr>
      <w:r>
        <w:rPr>
          <w:rFonts w:ascii="Times New Roman" w:hAnsi="Times New Roman" w:eastAsia="Noto Sans CJK SC"/>
          <w:color w:val="000000"/>
          <w:sz w:val="21"/>
          <w:lang w:val="en-US" w:eastAsia="zh-CN"/>
        </w:rPr>
        <w:t>Table 4.18 Debit Card Missing Data Assessment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84"/>
        <w:gridCol w:w="1800"/>
        <w:gridCol w:w="4752"/>
      </w:tblGrid>
      <w:tr>
        <w:trPr>
          <w:cantSplit/>
          <w:tblHeader/>
        </w:trPr>
        <w:tc>
          <w:tcPr>
            <w:tcW w:type="dxa" w:w="3384"/>
            <w:vAlign w:val="center"/>
            <w:tcMar>
              <w:top w:w="90" w:type="dxa"/>
              <w:bottom w:w="90" w:type="dxa"/>
              <w:left w:w="90" w:type="dxa"/>
              <w:right w:w="90" w:type="dxa"/>
            </w:tcMar>
            <w:shd w:fill="E7E6E6"/>
          </w:tcPr>
          <w:p>
            <w:pPr>
              <w:spacing w:after="40" w:line="240" w:lineRule="exact"/>
            </w:pPr>
            <w:r>
              <w:rPr>
                <w:rFonts w:ascii="Times New Roman" w:hAnsi="Times New Roman" w:eastAsia="Noto Sans CJK SC"/>
                <w:b/>
                <w:color w:val="000000"/>
                <w:sz w:val="19"/>
                <w:lang w:val="en-US" w:eastAsia="zh-CN"/>
              </w:rPr>
              <w:t>Assessment Area</w:t>
            </w:r>
          </w:p>
        </w:tc>
        <w:tc>
          <w:tcPr>
            <w:tcW w:type="dxa" w:w="1800"/>
            <w:vAlign w:val="center"/>
            <w:tcMar>
              <w:top w:w="90" w:type="dxa"/>
              <w:bottom w:w="90" w:type="dxa"/>
              <w:left w:w="90" w:type="dxa"/>
              <w:right w:w="90" w:type="dxa"/>
            </w:tcMar>
            <w:shd w:fill="E7E6E6"/>
          </w:tcPr>
          <w:p>
            <w:pPr>
              <w:spacing w:after="40" w:line="240" w:lineRule="exact"/>
            </w:pPr>
            <w:r>
              <w:rPr>
                <w:rFonts w:ascii="Times New Roman" w:hAnsi="Times New Roman" w:eastAsia="Noto Sans CJK SC"/>
                <w:b/>
                <w:color w:val="000000"/>
                <w:sz w:val="19"/>
                <w:lang w:val="en-US" w:eastAsia="zh-CN"/>
              </w:rPr>
              <w:t>Missing Observations</w:t>
            </w:r>
          </w:p>
        </w:tc>
        <w:tc>
          <w:tcPr>
            <w:tcW w:type="dxa" w:w="4752"/>
            <w:vAlign w:val="center"/>
            <w:tcMar>
              <w:top w:w="90" w:type="dxa"/>
              <w:bottom w:w="90" w:type="dxa"/>
              <w:left w:w="90" w:type="dxa"/>
              <w:right w:w="90" w:type="dxa"/>
            </w:tcMar>
            <w:shd w:fill="E7E6E6"/>
          </w:tcPr>
          <w:p>
            <w:pPr>
              <w:spacing w:after="40" w:line="240" w:lineRule="exact"/>
            </w:pPr>
            <w:r>
              <w:rPr>
                <w:rFonts w:ascii="Times New Roman" w:hAnsi="Times New Roman" w:eastAsia="Noto Sans CJK SC"/>
                <w:b/>
                <w:color w:val="000000"/>
                <w:sz w:val="19"/>
                <w:lang w:val="en-US" w:eastAsia="zh-CN"/>
              </w:rPr>
              <w:t>Result</w:t>
            </w:r>
          </w:p>
        </w:tc>
      </w:tr>
      <w:tr>
        <w:trPr>
          <w:cantSplit/>
        </w:trPr>
        <w:tc>
          <w:tcPr>
            <w:tcW w:type="dxa" w:w="3384"/>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Fee revenue history</w:t>
            </w:r>
          </w:p>
        </w:tc>
        <w:tc>
          <w:tcPr>
            <w:tcW w:type="dxa" w:w="180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0</w:t>
            </w:r>
          </w:p>
        </w:tc>
        <w:tc>
          <w:tcPr>
            <w:tcW w:type="dxa" w:w="4752"/>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No missing values identified in the assessed fields.</w:t>
            </w:r>
          </w:p>
        </w:tc>
      </w:tr>
      <w:tr>
        <w:trPr>
          <w:cantSplit/>
        </w:trPr>
        <w:tc>
          <w:tcPr>
            <w:tcW w:type="dxa" w:w="3384"/>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Required historical model inputs</w:t>
            </w:r>
          </w:p>
        </w:tc>
        <w:tc>
          <w:tcPr>
            <w:tcW w:type="dxa" w:w="180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0</w:t>
            </w:r>
          </w:p>
        </w:tc>
        <w:tc>
          <w:tcPr>
            <w:tcW w:type="dxa" w:w="4752"/>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No missing values identified in the assessed fields.</w:t>
            </w:r>
          </w:p>
        </w:tc>
      </w:tr>
      <w:tr>
        <w:trPr>
          <w:cantSplit/>
        </w:trPr>
        <w:tc>
          <w:tcPr>
            <w:tcW w:type="dxa" w:w="3384"/>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Aligned development dataset</w:t>
            </w:r>
          </w:p>
        </w:tc>
        <w:tc>
          <w:tcPr>
            <w:tcW w:type="dxa" w:w="180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0</w:t>
            </w:r>
          </w:p>
        </w:tc>
        <w:tc>
          <w:tcPr>
            <w:tcW w:type="dxa" w:w="4752"/>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No missing values identified in the assessed fields.</w:t>
            </w:r>
          </w:p>
        </w:tc>
      </w:tr>
    </w:tbl>
    <w:p>
      <w:pPr>
        <w:keepNext w:val="0"/>
        <w:pageBreakBefore w:val="0"/>
        <w:spacing w:after="140" w:line="230" w:lineRule="exact"/>
      </w:pPr>
      <w:r>
        <w:rPr>
          <w:rFonts w:ascii="Times New Roman" w:hAnsi="Times New Roman" w:eastAsia="Noto Sans CJK SC"/>
          <w:color w:val="000000"/>
          <w:sz w:val="17"/>
          <w:lang w:val="en-US" w:eastAsia="zh-CN"/>
          <w:lang w:val="en-US" w:eastAsia="zh-CN"/>
        </w:rPr>
        <w:t>Data sources: debit/​data/​fee_​history.csv; debit/​data/​macro_​history.csv; debit/​monthly_​revenue.csv; debit/​quarterly_​revenue.csv. Assessment scope is limited to the required model fields.</w:t>
      </w:r>
    </w:p>
    <w:p>
      <w:pPr>
        <w:pStyle w:val="Heading3"/>
        <w:keepNext/>
        <w:pageBreakBefore w:val="0"/>
        <w:spacing w:after="140"/>
      </w:pPr>
      <w:r>
        <w:rPr>
          <w:rFonts w:ascii="Times New Roman" w:hAnsi="Times New Roman" w:eastAsia="Noto Sans CJK SC"/>
          <w:color w:val="000000"/>
          <w:sz w:val="22"/>
          <w:lang w:val="en-US" w:eastAsia="zh-CN"/>
        </w:rPr>
        <w:t>4.3.7 Outlier Assessment and Adjustments</w:t>
      </w:r>
    </w:p>
    <w:p>
      <w:pPr>
        <w:keepNext w:val="0"/>
        <w:pageBreakBefore w:val="0"/>
        <w:spacing w:after="140"/>
      </w:pPr>
      <w:r>
        <w:rPr>
          <w:rFonts w:ascii="Times New Roman" w:hAnsi="Times New Roman" w:eastAsia="Noto Sans CJK SC"/>
          <w:color w:val="000000"/>
          <w:sz w:val="22"/>
          <w:lang w:val="en-US" w:eastAsia="zh-CN"/>
        </w:rPr>
        <w:t>The March and December 2012 observations are replaced with the average of the immediately preceding and following raw monthly values. Both raw and adjusted series are retained. The 2014 anomalies and 2015 level shift remain in the working history. The 2011 period is excluded before constructing development lags.</w:t>
      </w:r>
    </w:p>
    <w:p>
      <w:pPr>
        <w:pStyle w:val="Caption"/>
        <w:keepNext/>
        <w:pageBreakBefore w:val="0"/>
        <w:spacing w:after="140"/>
      </w:pPr>
      <w:r>
        <w:rPr>
          <w:rFonts w:ascii="Times New Roman" w:hAnsi="Times New Roman" w:eastAsia="Noto Sans CJK SC"/>
          <w:color w:val="000000"/>
          <w:sz w:val="21"/>
          <w:lang w:val="en-US" w:eastAsia="zh-CN"/>
        </w:rPr>
        <w:t>Figure 4.1 Debit Raw and Adjusted Observations</w:t>
      </w:r>
    </w:p>
    <w:p>
      <w:pPr>
        <w:keepNext/>
        <w:jc w:val="center"/>
      </w:pPr>
      <w:r>
        <w:drawing>
          <wp:inline xmlns:a="http://schemas.openxmlformats.org/drawingml/2006/main" xmlns:pic="http://schemas.openxmlformats.org/drawingml/2006/picture">
            <wp:extent cx="6080760" cy="2364740"/>
            <wp:docPr id="8" name="Picture 8" descr="Figure 4.2 Debit raw and adjusted observations"/>
            <wp:cNvGraphicFramePr>
              <a:graphicFrameLocks noChangeAspect="1"/>
            </wp:cNvGraphicFramePr>
            <a:graphic>
              <a:graphicData uri="http://schemas.openxmlformats.org/drawingml/2006/picture">
                <pic:pic>
                  <pic:nvPicPr>
                    <pic:cNvPr id="0" name="debit_adjustments.png"/>
                    <pic:cNvPicPr/>
                  </pic:nvPicPr>
                  <pic:blipFill>
                    <a:blip r:embed="rId18"/>
                    <a:stretch>
                      <a:fillRect/>
                    </a:stretch>
                  </pic:blipFill>
                  <pic:spPr>
                    <a:xfrm>
                      <a:off x="0" y="0"/>
                      <a:ext cx="6080760" cy="2364740"/>
                    </a:xfrm>
                    <a:prstGeom prst="rect"/>
                  </pic:spPr>
                </pic:pic>
              </a:graphicData>
            </a:graphic>
          </wp:inline>
        </w:drawing>
      </w:r>
    </w:p>
    <w:p>
      <w:pPr>
        <w:keepNext w:val="0"/>
        <w:pageBreakBefore w:val="0"/>
        <w:spacing w:after="140" w:line="230" w:lineRule="exact"/>
      </w:pPr>
      <w:r>
        <w:rPr>
          <w:rFonts w:ascii="Times New Roman" w:hAnsi="Times New Roman" w:eastAsia="Noto Sans CJK SC"/>
          <w:color w:val="000000"/>
          <w:sz w:val="17"/>
          <w:lang w:val="en-US" w:eastAsia="zh-CN"/>
          <w:lang w:val="en-US" w:eastAsia="zh-CN"/>
        </w:rPr>
        <w:t>Data sources: debit/​monthly_​revenue.csv; debit/​debit_​card_​model.py.</w:t>
      </w:r>
    </w:p>
    <w:p>
      <w:pPr>
        <w:keepNext/>
        <w:keepLines/>
        <w:pageBreakBefore w:val="0"/>
        <w:spacing w:after="140"/>
      </w:pPr>
      <w:r>
        <w:rPr>
          <w:rFonts w:ascii="Times New Roman" w:hAnsi="Times New Roman" w:eastAsia="Noto Sans CJK SC"/>
          <w:color w:val="000000"/>
          <w:sz w:val="22"/>
          <w:lang w:val="en-US" w:eastAsia="zh-CN"/>
        </w:rPr>
        <w:t>The adjustment table places each affected raw Debit observation beside its replacement value. These entries provide a direct reconciliation of the documented adjacent-month averaging treatment.</w:t>
      </w:r>
    </w:p>
    <w:p>
      <w:pPr>
        <w:pStyle w:val="Caption"/>
        <w:keepNext/>
        <w:pageBreakBefore w:val="0"/>
        <w:spacing w:after="140"/>
      </w:pPr>
      <w:r>
        <w:rPr>
          <w:rFonts w:ascii="Times New Roman" w:hAnsi="Times New Roman" w:eastAsia="Noto Sans CJK SC"/>
          <w:color w:val="000000"/>
          <w:sz w:val="21"/>
          <w:lang w:val="en-US" w:eastAsia="zh-CN"/>
        </w:rPr>
        <w:t>Table 4.19 Debit Adjusted Observations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1728"/>
        <w:gridCol w:w="1872"/>
        <w:gridCol w:w="4608"/>
      </w:tblGrid>
      <w:tr>
        <w:trPr>
          <w:cantSplit/>
          <w:tblHeader/>
        </w:trPr>
        <w:tc>
          <w:tcPr>
            <w:tcW w:type="dxa" w:w="1728"/>
            <w:vAlign w:val="center"/>
            <w:tcMar>
              <w:top w:w="90" w:type="dxa"/>
              <w:bottom w:w="90" w:type="dxa"/>
              <w:left w:w="90" w:type="dxa"/>
              <w:right w:w="90" w:type="dxa"/>
            </w:tcMar>
            <w:shd w:fill="E7E6E6"/>
          </w:tcPr>
          <w:p>
            <w:pPr>
              <w:spacing w:after="40" w:line="240" w:lineRule="exact"/>
            </w:pPr>
            <w:r>
              <w:rPr>
                <w:rFonts w:ascii="Times New Roman" w:hAnsi="Times New Roman" w:eastAsia="Noto Sans CJK SC"/>
                <w:b/>
                <w:color w:val="000000"/>
                <w:sz w:val="19"/>
                <w:lang w:val="en-US" w:eastAsia="zh-CN"/>
              </w:rPr>
              <w:t>Month</w:t>
            </w:r>
          </w:p>
        </w:tc>
        <w:tc>
          <w:tcPr>
            <w:tcW w:type="dxa" w:w="1728"/>
            <w:vAlign w:val="center"/>
            <w:tcMar>
              <w:top w:w="90" w:type="dxa"/>
              <w:bottom w:w="90" w:type="dxa"/>
              <w:left w:w="90" w:type="dxa"/>
              <w:right w:w="90" w:type="dxa"/>
            </w:tcMar>
            <w:shd w:fill="E7E6E6"/>
          </w:tcPr>
          <w:p>
            <w:pPr>
              <w:spacing w:after="40" w:line="240" w:lineRule="exact"/>
            </w:pPr>
            <w:r>
              <w:rPr>
                <w:rFonts w:ascii="Times New Roman" w:hAnsi="Times New Roman" w:eastAsia="Noto Sans CJK SC"/>
                <w:b/>
                <w:color w:val="000000"/>
                <w:sz w:val="19"/>
                <w:lang w:val="en-US" w:eastAsia="zh-CN"/>
              </w:rPr>
              <w:t>Raw fee ($000)</w:t>
            </w:r>
          </w:p>
        </w:tc>
        <w:tc>
          <w:tcPr>
            <w:tcW w:type="dxa" w:w="1872"/>
            <w:vAlign w:val="center"/>
            <w:tcMar>
              <w:top w:w="90" w:type="dxa"/>
              <w:bottom w:w="90" w:type="dxa"/>
              <w:left w:w="90" w:type="dxa"/>
              <w:right w:w="90" w:type="dxa"/>
            </w:tcMar>
            <w:shd w:fill="E7E6E6"/>
          </w:tcPr>
          <w:p>
            <w:pPr>
              <w:spacing w:after="40" w:line="240" w:lineRule="exact"/>
            </w:pPr>
            <w:r>
              <w:rPr>
                <w:rFonts w:ascii="Times New Roman" w:hAnsi="Times New Roman" w:eastAsia="Noto Sans CJK SC"/>
                <w:b/>
                <w:color w:val="000000"/>
                <w:sz w:val="19"/>
                <w:lang w:val="en-US" w:eastAsia="zh-CN"/>
              </w:rPr>
              <w:t>Adjusted fee ($000)</w:t>
            </w:r>
          </w:p>
        </w:tc>
        <w:tc>
          <w:tcPr>
            <w:tcW w:type="dxa" w:w="4608"/>
            <w:vAlign w:val="center"/>
            <w:tcMar>
              <w:top w:w="90" w:type="dxa"/>
              <w:bottom w:w="90" w:type="dxa"/>
              <w:left w:w="90" w:type="dxa"/>
              <w:right w:w="90" w:type="dxa"/>
            </w:tcMar>
            <w:shd w:fill="E7E6E6"/>
          </w:tcPr>
          <w:p>
            <w:pPr>
              <w:spacing w:after="40" w:line="240" w:lineRule="exact"/>
            </w:pPr>
            <w:r>
              <w:rPr>
                <w:rFonts w:ascii="Times New Roman" w:hAnsi="Times New Roman" w:eastAsia="Noto Sans CJK SC"/>
                <w:b/>
                <w:color w:val="000000"/>
                <w:sz w:val="19"/>
                <w:lang w:val="en-US" w:eastAsia="zh-CN"/>
              </w:rPr>
              <w:t>Treatment</w:t>
            </w:r>
          </w:p>
        </w:tc>
      </w:tr>
      <w:tr>
        <w:trPr>
          <w:cantSplit/>
        </w:trPr>
        <w:tc>
          <w:tcPr>
            <w:tcW w:type="dxa" w:w="1728"/>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2012-03-01</w:t>
            </w:r>
          </w:p>
        </w:tc>
        <w:tc>
          <w:tcPr>
            <w:tcW w:type="dxa" w:w="1728"/>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1,650.00</w:t>
            </w:r>
          </w:p>
        </w:tc>
        <w:tc>
          <w:tcPr>
            <w:tcW w:type="dxa" w:w="1872"/>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853.50</w:t>
            </w:r>
          </w:p>
        </w:tc>
        <w:tc>
          <w:tcPr>
            <w:tcW w:type="dxa" w:w="4608"/>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Mean of adjacent raw months</w:t>
            </w:r>
          </w:p>
        </w:tc>
      </w:tr>
      <w:tr>
        <w:trPr>
          <w:cantSplit/>
        </w:trPr>
        <w:tc>
          <w:tcPr>
            <w:tcW w:type="dxa" w:w="1728"/>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2012-12-01</w:t>
            </w:r>
          </w:p>
        </w:tc>
        <w:tc>
          <w:tcPr>
            <w:tcW w:type="dxa" w:w="1728"/>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2,916.00</w:t>
            </w:r>
          </w:p>
        </w:tc>
        <w:tc>
          <w:tcPr>
            <w:tcW w:type="dxa" w:w="1872"/>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780.50</w:t>
            </w:r>
          </w:p>
        </w:tc>
        <w:tc>
          <w:tcPr>
            <w:tcW w:type="dxa" w:w="4608"/>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Mean of adjacent raw months</w:t>
            </w:r>
          </w:p>
        </w:tc>
      </w:tr>
    </w:tbl>
    <w:p>
      <w:pPr>
        <w:keepNext w:val="0"/>
        <w:pageBreakBefore w:val="0"/>
        <w:spacing w:after="140" w:line="230" w:lineRule="exact"/>
      </w:pPr>
      <w:r>
        <w:rPr>
          <w:rFonts w:ascii="Times New Roman" w:hAnsi="Times New Roman" w:eastAsia="Noto Sans CJK SC"/>
          <w:color w:val="000000"/>
          <w:sz w:val="17"/>
          <w:lang w:val="en-US" w:eastAsia="zh-CN"/>
          <w:lang w:val="en-US" w:eastAsia="zh-CN"/>
        </w:rPr>
        <w:t>Data sources: debit/​monthly_​revenue.csv; debit/​debit_​card_​model.py, prepare_​revenue function.</w:t>
      </w:r>
    </w:p>
    <w:p>
      <w:pPr>
        <w:pStyle w:val="Heading3"/>
        <w:keepNext/>
        <w:pageBreakBefore w:val="0"/>
        <w:spacing w:after="140"/>
      </w:pPr>
      <w:r>
        <w:rPr>
          <w:rFonts w:ascii="Times New Roman" w:hAnsi="Times New Roman" w:eastAsia="Noto Sans CJK SC"/>
          <w:color w:val="000000"/>
          <w:sz w:val="22"/>
          <w:lang w:val="en-US" w:eastAsia="zh-CN"/>
        </w:rPr>
        <w:t>4.3.8 Data Relevance and Assumptions</w:t>
      </w:r>
    </w:p>
    <w:p>
      <w:pPr>
        <w:keepNext w:val="0"/>
        <w:pageBreakBefore w:val="0"/>
        <w:spacing w:after="140"/>
      </w:pPr>
      <w:r>
        <w:rPr>
          <w:rFonts w:ascii="Times New Roman" w:hAnsi="Times New Roman" w:eastAsia="Noto Sans CJK SC"/>
          <w:color w:val="000000"/>
          <w:sz w:val="22"/>
          <w:lang w:val="en-US" w:eastAsia="zh-CN"/>
        </w:rPr>
        <w:t>The target directly measures the fee revenue being forecast. Historical coverage provides observations across different operating environments. Data preparation assumes consistent fee definitions, component mappings and reporting units over time. Source-system lineage, accounting reconciliation and data-vintage records support ongoing data governance.</w:t>
      </w:r>
    </w:p>
    <w:p>
      <w:pPr>
        <w:keepNext w:val="0"/>
        <w:pageBreakBefore w:val="0"/>
        <w:spacing w:after="140"/>
      </w:pPr>
      <w:r>
        <w:rPr>
          <w:rFonts w:ascii="Times New Roman" w:hAnsi="Times New Roman" w:eastAsia="Noto Sans CJK SC"/>
          <w:color w:val="000000"/>
          <w:sz w:val="22"/>
          <w:lang w:val="en-US" w:eastAsia="zh-CN"/>
        </w:rPr>
        <w:t>Pricing actions, product changes and shifts in customer behavior are reviewed alongside aggregate fee history. Periodic review considers the continuing relevance of the input definitions, selected transformations and calibration periods.</w:t>
      </w:r>
    </w:p>
    <w:p>
      <w:pPr>
        <w:pStyle w:val="Heading3"/>
        <w:keepNext/>
        <w:pageBreakBefore w:val="0"/>
        <w:spacing w:after="140"/>
      </w:pPr>
      <w:r>
        <w:rPr>
          <w:rFonts w:ascii="Times New Roman" w:hAnsi="Times New Roman" w:eastAsia="Noto Sans CJK SC"/>
          <w:color w:val="000000"/>
          <w:sz w:val="22"/>
          <w:lang w:val="en-US" w:eastAsia="zh-CN"/>
        </w:rPr>
        <w:t>4.3.9 Development Data Conclusions</w:t>
      </w:r>
    </w:p>
    <w:p>
      <w:pPr>
        <w:keepNext w:val="0"/>
        <w:pageBreakBefore w:val="0"/>
        <w:spacing w:after="140"/>
      </w:pPr>
      <w:r>
        <w:rPr>
          <w:rFonts w:ascii="Times New Roman" w:hAnsi="Times New Roman" w:eastAsia="Noto Sans CJK SC"/>
          <w:color w:val="000000"/>
          <w:sz w:val="22"/>
          <w:lang w:val="en-US" w:eastAsia="zh-CN"/>
        </w:rPr>
        <w:t>The Debit Card development data provide a consistent foundation for the documented model methodology. Source files, derived features and calculation rules preserve traceability and support estimation, testing and forecasting. Ongoing review of data quality and business developments maintains the relevance of this foundation.</w:t>
      </w:r>
    </w:p>
    <w:p>
      <w:pPr>
        <w:pStyle w:val="Heading1"/>
        <w:keepNext/>
        <w:pageBreakBefore/>
      </w:pPr>
      <w:commentRangeStart w:id="4"/>
      <w:r>
        <w:t>5. Linkages with Other Models</w:t>
      </w:r>
      <w:commentRangeEnd w:id="4"/>
      <w:r>
        <w:rPr>
          <w:rStyle w:val="CommentReference"/>
        </w:rPr>
        <w:commentReference w:id="4"/>
      </w:r>
    </w:p>
    <w:p>
      <w:pPr>
        <w:pStyle w:val="Heading1"/>
        <w:keepNext/>
        <w:pageBreakBefore/>
        <w:spacing w:after="140"/>
      </w:pPr>
      <w:r>
        <w:rPr>
          <w:rFonts w:ascii="Times New Roman" w:hAnsi="Times New Roman" w:eastAsia="Noto Sans CJK SC"/>
          <w:color w:val="000000"/>
          <w:sz w:val="32"/>
          <w:lang w:val="en-US" w:eastAsia="zh-CN"/>
        </w:rPr>
        <w:t>6. Model Testing</w:t>
      </w:r>
    </w:p>
    <w:p>
      <w:pPr>
        <w:pStyle w:val="Heading2"/>
        <w:keepNext/>
        <w:pageBreakBefore w:val="0"/>
        <w:spacing w:after="140"/>
      </w:pPr>
      <w:r>
        <w:rPr>
          <w:rFonts w:ascii="Times New Roman" w:hAnsi="Times New Roman" w:eastAsia="Noto Sans CJK SC"/>
          <w:color w:val="000000"/>
          <w:sz w:val="26"/>
          <w:lang w:val="en-US" w:eastAsia="zh-CN"/>
        </w:rPr>
        <w:t>6.1 Commercial Card and Small Business Model Testing</w:t>
      </w:r>
    </w:p>
    <w:p>
      <w:pPr>
        <w:pStyle w:val="Heading3"/>
        <w:keepNext/>
        <w:pageBreakBefore w:val="0"/>
        <w:spacing w:after="140"/>
      </w:pPr>
      <w:r>
        <w:rPr>
          <w:rFonts w:ascii="Times New Roman" w:hAnsi="Times New Roman" w:eastAsia="Noto Sans CJK SC"/>
          <w:color w:val="000000"/>
          <w:sz w:val="22"/>
          <w:lang w:val="en-US" w:eastAsia="zh-CN"/>
        </w:rPr>
        <w:t>6.1.1 Testing Philosophy</w:t>
      </w:r>
    </w:p>
    <w:p>
      <w:pPr>
        <w:keepNext w:val="0"/>
        <w:pageBreakBefore w:val="0"/>
        <w:spacing w:after="140"/>
      </w:pPr>
      <w:r>
        <w:rPr>
          <w:rFonts w:ascii="Times New Roman" w:hAnsi="Times New Roman" w:eastAsia="Noto Sans CJK SC"/>
          <w:color w:val="000000"/>
          <w:sz w:val="22"/>
          <w:lang w:val="en-US" w:eastAsia="zh-CN"/>
        </w:rPr>
        <w:t>Model testing was designed to evaluate statistical validity, model stability, forecasting performance, economic reasonableness, and regulatory suitability. Testing was not limited to traditional goodness-of-fit measures. Instead, the framework emphasized whether the model remained interpretable, stable, and useful under changing business and economic conditions. All testing results were reviewed collectively because no individual metric is sufficient to determine model suitability.</w:t>
      </w:r>
    </w:p>
    <w:p>
      <w:pPr>
        <w:pStyle w:val="Heading3"/>
        <w:keepNext/>
        <w:pageBreakBefore w:val="0"/>
        <w:spacing w:after="140"/>
      </w:pPr>
      <w:r>
        <w:rPr>
          <w:rFonts w:ascii="Times New Roman" w:hAnsi="Times New Roman" w:eastAsia="Noto Sans CJK SC"/>
          <w:color w:val="000000"/>
          <w:sz w:val="22"/>
          <w:lang w:val="en-US" w:eastAsia="zh-CN"/>
        </w:rPr>
        <w:t>6.1.2 In Sample Performance Assessment</w:t>
      </w:r>
    </w:p>
    <w:p>
      <w:pPr>
        <w:keepNext w:val="0"/>
        <w:pageBreakBefore w:val="0"/>
        <w:spacing w:after="140"/>
      </w:pPr>
      <w:r>
        <w:rPr>
          <w:rFonts w:ascii="Times New Roman" w:hAnsi="Times New Roman" w:eastAsia="Noto Sans CJK SC"/>
          <w:color w:val="000000"/>
          <w:sz w:val="22"/>
          <w:lang w:val="en-US" w:eastAsia="zh-CN"/>
        </w:rPr>
        <w:t xml:space="preserve">The selected equation achieved an adjusted R-squared of 0.7357 </w:t>
      </w:r>
      <w:r>
        <w:rPr>
          <w:rFonts w:ascii="Times New Roman" w:hAnsi="Times New Roman" w:eastAsia="Noto Sans CJK SC"/>
          <w:color w:val="000000"/>
          <w:sz w:val="17"/>
          <w:lang w:val="en-US" w:eastAsia="zh-CN"/>
        </w:rPr>
        <w:t>[commercial/​short_​run_​diagnostics.csv/​row 2 col 3]</w:t>
      </w:r>
      <w:r>
        <w:rPr>
          <w:rFonts w:ascii="Times New Roman" w:hAnsi="Times New Roman" w:eastAsia="Noto Sans CJK SC"/>
          <w:color w:val="000000"/>
          <w:sz w:val="22"/>
          <w:lang w:val="en-US" w:eastAsia="zh-CN"/>
        </w:rPr>
        <w:t>. In-sample assessment reviews both the transformed target and reconstructed fee-revenue levels. The fitted-versus-actual comparison shows how the estimated equation represents observed monthly behavior, while the fit statistics summarize explanatory power on the estimation scale.</w:t>
      </w:r>
    </w:p>
    <w:p>
      <w:pPr>
        <w:pStyle w:val="Caption"/>
        <w:keepNext/>
        <w:pageBreakBefore w:val="0"/>
        <w:spacing w:after="140"/>
      </w:pPr>
      <w:r>
        <w:rPr>
          <w:rFonts w:ascii="Times New Roman" w:hAnsi="Times New Roman" w:eastAsia="Noto Sans CJK SC"/>
          <w:color w:val="000000"/>
          <w:sz w:val="21"/>
          <w:lang w:val="en-US" w:eastAsia="zh-CN"/>
        </w:rPr>
        <w:t>Table 6.1 Commercial Card and Small Business In Sample Performance Metrics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6480"/>
      </w:tblGrid>
      <w:tr>
        <w:trPr>
          <w:cantSplit/>
          <w:tblHeader/>
        </w:trPr>
        <w:tc>
          <w:tcPr>
            <w:tcW w:type="dxa" w:w="3456"/>
            <w:vAlign w:val="center"/>
            <w:tcMar>
              <w:top w:w="90" w:type="dxa"/>
              <w:bottom w:w="90" w:type="dxa"/>
              <w:left w:w="90" w:type="dxa"/>
              <w:right w:w="90" w:type="dxa"/>
            </w:tcMar>
            <w:shd w:fill="E7E6E6"/>
          </w:tcPr>
          <w:p>
            <w:pPr>
              <w:spacing w:after="40" w:line="240" w:lineRule="exact"/>
            </w:pPr>
            <w:r>
              <w:rPr>
                <w:rFonts w:ascii="Times New Roman" w:hAnsi="Times New Roman" w:eastAsia="Noto Sans CJK SC"/>
                <w:b/>
                <w:color w:val="000000"/>
                <w:sz w:val="19"/>
                <w:lang w:val="en-US" w:eastAsia="zh-CN"/>
              </w:rPr>
              <w:t>Metric</w:t>
            </w:r>
          </w:p>
        </w:tc>
        <w:tc>
          <w:tcPr>
            <w:tcW w:type="dxa" w:w="6480"/>
            <w:vAlign w:val="center"/>
            <w:tcMar>
              <w:top w:w="90" w:type="dxa"/>
              <w:bottom w:w="90" w:type="dxa"/>
              <w:left w:w="90" w:type="dxa"/>
              <w:right w:w="90" w:type="dxa"/>
            </w:tcMar>
            <w:shd w:fill="E7E6E6"/>
          </w:tcPr>
          <w:p>
            <w:pPr>
              <w:spacing w:after="40" w:line="240" w:lineRule="exact"/>
            </w:pPr>
            <w:r>
              <w:rPr>
                <w:rFonts w:ascii="Times New Roman" w:hAnsi="Times New Roman" w:eastAsia="Noto Sans CJK SC"/>
                <w:b/>
                <w:color w:val="000000"/>
                <w:sz w:val="19"/>
                <w:lang w:val="en-US" w:eastAsia="zh-CN"/>
              </w:rPr>
              <w:t>Value</w:t>
            </w:r>
          </w:p>
        </w:tc>
      </w:tr>
      <w:tr>
        <w:trPr>
          <w:cantSplit/>
        </w:trPr>
        <w:tc>
          <w:tcPr>
            <w:tcW w:type="dxa" w:w="3456"/>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Number of observations</w:t>
            </w:r>
          </w:p>
        </w:tc>
        <w:tc>
          <w:tcPr>
            <w:tcW w:type="dxa" w:w="648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 xml:space="preserve">135 </w:t>
            </w:r>
            <w:r>
              <w:rPr>
                <w:rFonts w:ascii="Times New Roman" w:hAnsi="Times New Roman" w:eastAsia="Noto Sans CJK SC"/>
                <w:color w:val="000000"/>
                <w:sz w:val="17"/>
                <w:lang w:val="en-US" w:eastAsia="zh-CN"/>
              </w:rPr>
              <w:t>[commercial/​short_​run_​diagnostics.csv/​row 2 col 1]</w:t>
            </w:r>
          </w:p>
        </w:tc>
      </w:tr>
      <w:tr>
        <w:trPr>
          <w:cantSplit/>
        </w:trPr>
        <w:tc>
          <w:tcPr>
            <w:tcW w:type="dxa" w:w="3456"/>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R-squared</w:t>
            </w:r>
          </w:p>
        </w:tc>
        <w:tc>
          <w:tcPr>
            <w:tcW w:type="dxa" w:w="648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 xml:space="preserve">0.7435 </w:t>
            </w:r>
            <w:r>
              <w:rPr>
                <w:rFonts w:ascii="Times New Roman" w:hAnsi="Times New Roman" w:eastAsia="Noto Sans CJK SC"/>
                <w:color w:val="000000"/>
                <w:sz w:val="17"/>
                <w:lang w:val="en-US" w:eastAsia="zh-CN"/>
              </w:rPr>
              <w:t>[commercial/​short_​run_​diagnostics.csv/​row 2 col 2]</w:t>
            </w:r>
          </w:p>
        </w:tc>
      </w:tr>
      <w:tr>
        <w:trPr>
          <w:cantSplit/>
        </w:trPr>
        <w:tc>
          <w:tcPr>
            <w:tcW w:type="dxa" w:w="3456"/>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Adjusted R-squared</w:t>
            </w:r>
          </w:p>
        </w:tc>
        <w:tc>
          <w:tcPr>
            <w:tcW w:type="dxa" w:w="648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 xml:space="preserve">0.7357 </w:t>
            </w:r>
            <w:r>
              <w:rPr>
                <w:rFonts w:ascii="Times New Roman" w:hAnsi="Times New Roman" w:eastAsia="Noto Sans CJK SC"/>
                <w:color w:val="000000"/>
                <w:sz w:val="17"/>
                <w:lang w:val="en-US" w:eastAsia="zh-CN"/>
              </w:rPr>
              <w:t>[commercial/​short_​run_​diagnostics.csv/​row 2 col 3]</w:t>
            </w:r>
          </w:p>
        </w:tc>
      </w:tr>
      <w:tr>
        <w:trPr>
          <w:cantSplit/>
        </w:trPr>
        <w:tc>
          <w:tcPr>
            <w:tcW w:type="dxa" w:w="3456"/>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Fee-level RMSE ($000)</w:t>
            </w:r>
          </w:p>
        </w:tc>
        <w:tc>
          <w:tcPr>
            <w:tcW w:type="dxa" w:w="648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 xml:space="preserve">105.88 </w:t>
            </w:r>
            <w:r>
              <w:rPr>
                <w:rFonts w:ascii="Times New Roman" w:hAnsi="Times New Roman" w:eastAsia="Noto Sans CJK SC"/>
                <w:color w:val="000000"/>
                <w:sz w:val="17"/>
                <w:lang w:val="en-US" w:eastAsia="zh-CN"/>
              </w:rPr>
              <w:t>[commercial/​forecast_​accuracy.csv/​row 2 col 3]</w:t>
            </w:r>
          </w:p>
        </w:tc>
      </w:tr>
      <w:tr>
        <w:trPr>
          <w:cantSplit/>
        </w:trPr>
        <w:tc>
          <w:tcPr>
            <w:tcW w:type="dxa" w:w="3456"/>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Fee-level MAPE (%)</w:t>
            </w:r>
          </w:p>
        </w:tc>
        <w:tc>
          <w:tcPr>
            <w:tcW w:type="dxa" w:w="648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 xml:space="preserve">5.39 </w:t>
            </w:r>
            <w:r>
              <w:rPr>
                <w:rFonts w:ascii="Times New Roman" w:hAnsi="Times New Roman" w:eastAsia="Noto Sans CJK SC"/>
                <w:color w:val="000000"/>
                <w:sz w:val="17"/>
                <w:lang w:val="en-US" w:eastAsia="zh-CN"/>
              </w:rPr>
              <w:t>[commercial/​forecast_​accuracy.csv/​row 2 col 5]</w:t>
            </w:r>
          </w:p>
        </w:tc>
      </w:tr>
      <w:tr>
        <w:trPr>
          <w:cantSplit/>
        </w:trPr>
        <w:tc>
          <w:tcPr>
            <w:tcW w:type="dxa" w:w="3456"/>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AIC</w:t>
            </w:r>
          </w:p>
        </w:tc>
        <w:tc>
          <w:tcPr>
            <w:tcW w:type="dxa" w:w="648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 xml:space="preserve">929.50 </w:t>
            </w:r>
            <w:r>
              <w:rPr>
                <w:rFonts w:ascii="Times New Roman" w:hAnsi="Times New Roman" w:eastAsia="Noto Sans CJK SC"/>
                <w:color w:val="000000"/>
                <w:sz w:val="17"/>
                <w:lang w:val="en-US" w:eastAsia="zh-CN"/>
              </w:rPr>
              <w:t>[commercial/​short_​run_​diagnostics.csv/​row 2 col 4]</w:t>
            </w:r>
          </w:p>
        </w:tc>
      </w:tr>
    </w:tbl>
    <w:p>
      <w:pPr>
        <w:keepNext w:val="0"/>
        <w:pageBreakBefore w:val="0"/>
        <w:spacing w:after="140" w:line="230" w:lineRule="exact"/>
      </w:pPr>
      <w:r>
        <w:rPr>
          <w:rFonts w:ascii="Times New Roman" w:hAnsi="Times New Roman" w:eastAsia="Noto Sans CJK SC"/>
          <w:color w:val="000000"/>
          <w:sz w:val="17"/>
          <w:lang w:val="en-US" w:eastAsia="zh-CN"/>
          <w:lang w:val="en-US" w:eastAsia="zh-CN"/>
        </w:rPr>
        <w:t>Data sources: commercial/​short_​run_​diagnostics.csv; commercial/​forecast_​accuracy.csv.</w:t>
      </w:r>
    </w:p>
    <w:p>
      <w:pPr>
        <w:keepNext/>
        <w:keepLines/>
        <w:pageBreakBefore w:val="0"/>
        <w:spacing w:after="140"/>
      </w:pPr>
      <w:r>
        <w:rPr>
          <w:rFonts w:ascii="Times New Roman" w:hAnsi="Times New Roman" w:eastAsia="Noto Sans CJK SC"/>
          <w:color w:val="000000"/>
          <w:sz w:val="22"/>
          <w:lang w:val="en-US" w:eastAsia="zh-CN"/>
        </w:rPr>
        <w:t>The fitted fee levels follow the broad historical rise and many of the month-to-month movements in Commercial and Small Business revenue. The separation between the lines highlights individual months with larger estimation errors.</w:t>
      </w:r>
    </w:p>
    <w:p>
      <w:pPr>
        <w:pStyle w:val="Caption"/>
        <w:keepNext/>
        <w:pageBreakBefore w:val="0"/>
        <w:spacing w:after="140"/>
      </w:pPr>
      <w:r>
        <w:rPr>
          <w:rFonts w:ascii="Times New Roman" w:hAnsi="Times New Roman" w:eastAsia="Noto Sans CJK SC"/>
          <w:color w:val="000000"/>
          <w:sz w:val="21"/>
          <w:lang w:val="en-US" w:eastAsia="zh-CN"/>
        </w:rPr>
        <w:t>Figure 6.1 Commercial Card and Small Business Actual and Fitted Values</w:t>
      </w:r>
    </w:p>
    <w:p>
      <w:pPr>
        <w:keepNext/>
        <w:widowControl/>
        <w:jc w:val="center"/>
      </w:pPr>
      <w:r>
        <w:drawing>
          <wp:inline xmlns:a="http://schemas.openxmlformats.org/drawingml/2006/main" xmlns:pic="http://schemas.openxmlformats.org/drawingml/2006/picture">
            <wp:extent cx="6080760" cy="2370078"/>
            <wp:docPr id="10" name="Picture 10" descr="Figure 6.1 Commercial actual and fitted fee levels"/>
            <wp:cNvGraphicFramePr>
              <a:graphicFrameLocks noChangeAspect="1"/>
            </wp:cNvGraphicFramePr>
            <a:graphic>
              <a:graphicData uri="http://schemas.openxmlformats.org/drawingml/2006/picture">
                <pic:pic>
                  <pic:nvPicPr>
                    <pic:cNvPr id="0" name="commercial_static_in_sample.png"/>
                    <pic:cNvPicPr/>
                  </pic:nvPicPr>
                  <pic:blipFill>
                    <a:blip r:embed="rId20"/>
                    <a:stretch>
                      <a:fillRect/>
                    </a:stretch>
                  </pic:blipFill>
                  <pic:spPr>
                    <a:xfrm>
                      <a:off x="0" y="0"/>
                      <a:ext cx="6080760" cy="2370078"/>
                    </a:xfrm>
                    <a:prstGeom prst="rect"/>
                  </pic:spPr>
                </pic:pic>
              </a:graphicData>
            </a:graphic>
          </wp:inline>
        </w:drawing>
      </w:r>
    </w:p>
    <w:p>
      <w:pPr>
        <w:keepNext w:val="0"/>
        <w:pageBreakBefore w:val="0"/>
        <w:spacing w:after="140" w:line="230" w:lineRule="exact"/>
      </w:pPr>
      <w:r>
        <w:rPr>
          <w:rFonts w:ascii="Times New Roman" w:hAnsi="Times New Roman" w:eastAsia="Noto Sans CJK SC"/>
          <w:color w:val="000000"/>
          <w:sz w:val="17"/>
          <w:lang w:val="en-US" w:eastAsia="zh-CN"/>
          <w:lang w:val="en-US" w:eastAsia="zh-CN"/>
        </w:rPr>
        <w:t>Data sources: commercial/​static_​in_​sample.csv. Fee amounts are in $000.</w:t>
      </w:r>
    </w:p>
    <w:p>
      <w:pPr>
        <w:pStyle w:val="Heading3"/>
        <w:keepNext/>
        <w:pageBreakBefore w:val="0"/>
        <w:spacing w:after="140"/>
      </w:pPr>
      <w:r>
        <w:rPr>
          <w:rFonts w:ascii="Times New Roman" w:hAnsi="Times New Roman" w:eastAsia="Noto Sans CJK SC"/>
          <w:color w:val="000000"/>
          <w:sz w:val="22"/>
          <w:lang w:val="en-US" w:eastAsia="zh-CN"/>
        </w:rPr>
        <w:t>6.1.3 Coefficient Significance Testing</w:t>
      </w:r>
    </w:p>
    <w:p>
      <w:pPr>
        <w:keepNext w:val="0"/>
        <w:pageBreakBefore w:val="0"/>
        <w:spacing w:after="140"/>
      </w:pPr>
      <w:r>
        <w:rPr>
          <w:rFonts w:ascii="Times New Roman" w:hAnsi="Times New Roman" w:eastAsia="Noto Sans CJK SC"/>
          <w:color w:val="000000"/>
          <w:sz w:val="22"/>
          <w:lang w:val="en-US" w:eastAsia="zh-CN"/>
        </w:rPr>
        <w:t>Final coefficients were evaluated for statistical significance and economic plausibility. The retained terms have statistically significant Student-t p-values at the conventional five-percent level. Coefficient signs are interpreted in the context of the target transformation, selected lag and other variables in the equation.</w:t>
      </w:r>
    </w:p>
    <w:p>
      <w:pPr>
        <w:keepNext w:val="0"/>
        <w:pageBreakBefore w:val="0"/>
        <w:spacing w:after="140"/>
      </w:pPr>
      <w:r>
        <w:rPr>
          <w:rFonts w:ascii="Times New Roman" w:hAnsi="Times New Roman" w:eastAsia="Noto Sans CJK SC"/>
          <w:color w:val="000000"/>
          <w:sz w:val="22"/>
          <w:lang w:val="en-US" w:eastAsia="zh-CN"/>
        </w:rPr>
        <w:t>The negative adjusted-EC coefficient captures the subsequent growth response to a prior deviation from the long-run reference. The positive own-growth terms represent persistence, while the positive Corporate Profits term links business profitability to fee growth.</w:t>
      </w:r>
    </w:p>
    <w:p>
      <w:pPr>
        <w:pStyle w:val="Caption"/>
        <w:keepNext/>
        <w:pageBreakBefore w:val="0"/>
        <w:spacing w:after="140"/>
      </w:pPr>
      <w:r>
        <w:rPr>
          <w:rFonts w:ascii="Times New Roman" w:hAnsi="Times New Roman" w:eastAsia="Noto Sans CJK SC"/>
          <w:color w:val="000000"/>
          <w:sz w:val="21"/>
          <w:lang w:val="en-US" w:eastAsia="zh-CN"/>
        </w:rPr>
        <w:t>Table 6.2 Commercial Card and Small Business Coefficient Estimates and Inference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18"/>
        <w:gridCol w:w="1251"/>
        <w:gridCol w:w="1251"/>
        <w:gridCol w:w="2208"/>
        <w:gridCol w:w="2208"/>
      </w:tblGrid>
      <w:tr>
        <w:trPr>
          <w:cantSplit/>
          <w:tblHeader/>
        </w:trPr>
        <w:tc>
          <w:tcPr>
            <w:tcW w:type="dxa" w:w="3018"/>
            <w:vAlign w:val="center"/>
            <w:tcMar>
              <w:top w:w="90" w:type="dxa"/>
              <w:bottom w:w="90" w:type="dxa"/>
              <w:left w:w="90" w:type="dxa"/>
              <w:right w:w="90" w:type="dxa"/>
            </w:tcMar>
            <w:shd w:fill="E7E6E6"/>
          </w:tcPr>
          <w:p>
            <w:pPr>
              <w:spacing w:after="40" w:line="240" w:lineRule="exact"/>
            </w:pPr>
            <w:r>
              <w:rPr>
                <w:rFonts w:ascii="Times New Roman" w:hAnsi="Times New Roman" w:eastAsia="Noto Sans CJK SC"/>
                <w:b/>
                <w:color w:val="000000"/>
                <w:sz w:val="19"/>
                <w:lang w:val="en-US" w:eastAsia="zh-CN"/>
              </w:rPr>
              <w:t>Term</w:t>
            </w:r>
          </w:p>
        </w:tc>
        <w:tc>
          <w:tcPr>
            <w:tcW w:type="dxa" w:w="1251"/>
            <w:vAlign w:val="center"/>
            <w:tcMar>
              <w:top w:w="90" w:type="dxa"/>
              <w:bottom w:w="90" w:type="dxa"/>
              <w:left w:w="90" w:type="dxa"/>
              <w:right w:w="90" w:type="dxa"/>
            </w:tcMar>
            <w:shd w:fill="E7E6E6"/>
          </w:tcPr>
          <w:p>
            <w:pPr>
              <w:spacing w:after="40" w:line="240" w:lineRule="exact"/>
            </w:pPr>
            <w:r>
              <w:rPr>
                <w:rFonts w:ascii="Times New Roman" w:hAnsi="Times New Roman" w:eastAsia="Noto Sans CJK SC"/>
                <w:b/>
                <w:color w:val="000000"/>
                <w:sz w:val="19"/>
                <w:lang w:val="en-US" w:eastAsia="zh-CN"/>
              </w:rPr>
              <w:t>Estimate</w:t>
            </w:r>
          </w:p>
        </w:tc>
        <w:tc>
          <w:tcPr>
            <w:tcW w:type="dxa" w:w="1251"/>
            <w:vAlign w:val="center"/>
            <w:tcMar>
              <w:top w:w="90" w:type="dxa"/>
              <w:bottom w:w="90" w:type="dxa"/>
              <w:left w:w="90" w:type="dxa"/>
              <w:right w:w="90" w:type="dxa"/>
            </w:tcMar>
            <w:shd w:fill="E7E6E6"/>
          </w:tcPr>
          <w:p>
            <w:pPr>
              <w:spacing w:after="40" w:line="240" w:lineRule="exact"/>
            </w:pPr>
            <w:r>
              <w:rPr>
                <w:rFonts w:ascii="Times New Roman" w:hAnsi="Times New Roman" w:eastAsia="Noto Sans CJK SC"/>
                <w:b/>
                <w:color w:val="000000"/>
                <w:sz w:val="19"/>
                <w:lang w:val="en-US" w:eastAsia="zh-CN"/>
              </w:rPr>
              <w:t>Std error</w:t>
            </w:r>
          </w:p>
        </w:tc>
        <w:tc>
          <w:tcPr>
            <w:tcW w:type="dxa" w:w="2208"/>
            <w:vAlign w:val="center"/>
            <w:tcMar>
              <w:top w:w="90" w:type="dxa"/>
              <w:bottom w:w="90" w:type="dxa"/>
              <w:left w:w="90" w:type="dxa"/>
              <w:right w:w="90" w:type="dxa"/>
            </w:tcMar>
            <w:shd w:fill="E7E6E6"/>
          </w:tcPr>
          <w:p>
            <w:pPr>
              <w:spacing w:after="40" w:line="240" w:lineRule="exact"/>
            </w:pPr>
            <w:r>
              <w:rPr>
                <w:rFonts w:ascii="Times New Roman" w:hAnsi="Times New Roman" w:eastAsia="Noto Sans CJK SC"/>
                <w:b/>
                <w:color w:val="000000"/>
                <w:sz w:val="19"/>
                <w:lang w:val="en-US" w:eastAsia="zh-CN"/>
              </w:rPr>
              <w:t>t statistic</w:t>
            </w:r>
          </w:p>
        </w:tc>
        <w:tc>
          <w:tcPr>
            <w:tcW w:type="dxa" w:w="2208"/>
            <w:vAlign w:val="center"/>
            <w:tcMar>
              <w:top w:w="90" w:type="dxa"/>
              <w:bottom w:w="90" w:type="dxa"/>
              <w:left w:w="90" w:type="dxa"/>
              <w:right w:w="90" w:type="dxa"/>
            </w:tcMar>
            <w:shd w:fill="E7E6E6"/>
          </w:tcPr>
          <w:p>
            <w:pPr>
              <w:spacing w:after="40" w:line="240" w:lineRule="exact"/>
            </w:pPr>
            <w:r>
              <w:rPr>
                <w:rFonts w:ascii="Times New Roman" w:hAnsi="Times New Roman" w:eastAsia="Noto Sans CJK SC"/>
                <w:b/>
                <w:color w:val="000000"/>
                <w:sz w:val="19"/>
                <w:lang w:val="en-US" w:eastAsia="zh-CN"/>
              </w:rPr>
              <w:t>p value</w:t>
            </w:r>
          </w:p>
        </w:tc>
      </w:tr>
      <w:tr>
        <w:trPr>
          <w:cantSplit/>
        </w:trPr>
        <w:tc>
          <w:tcPr>
            <w:tcW w:type="dxa" w:w="3018"/>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Intercept</w:t>
            </w:r>
          </w:p>
        </w:tc>
        <w:tc>
          <w:tcPr>
            <w:tcW w:type="dxa" w:w="1251"/>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1.78314</w:t>
            </w:r>
          </w:p>
        </w:tc>
        <w:tc>
          <w:tcPr>
            <w:tcW w:type="dxa" w:w="1251"/>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0.85356</w:t>
            </w:r>
          </w:p>
        </w:tc>
        <w:tc>
          <w:tcPr>
            <w:tcW w:type="dxa" w:w="2208"/>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 xml:space="preserve">2.089 </w:t>
            </w:r>
            <w:r>
              <w:rPr>
                <w:rFonts w:ascii="Times New Roman" w:hAnsi="Times New Roman" w:eastAsia="Noto Sans CJK SC"/>
                <w:color w:val="000000"/>
                <w:sz w:val="17"/>
                <w:lang w:val="en-US" w:eastAsia="zh-CN"/>
              </w:rPr>
              <w:t>[commercial/​short_​run_​coefficients.csv/​row 2 col 5]</w:t>
            </w:r>
          </w:p>
        </w:tc>
        <w:tc>
          <w:tcPr>
            <w:tcW w:type="dxa" w:w="2208"/>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 xml:space="preserve">0.039 </w:t>
            </w:r>
            <w:r>
              <w:rPr>
                <w:rFonts w:ascii="Times New Roman" w:hAnsi="Times New Roman" w:eastAsia="Noto Sans CJK SC"/>
                <w:color w:val="000000"/>
                <w:sz w:val="17"/>
                <w:lang w:val="en-US" w:eastAsia="zh-CN"/>
              </w:rPr>
              <w:t>[commercial/​short_​run_​coefficients.csv/​row 2 col 6]</w:t>
            </w:r>
          </w:p>
        </w:tc>
      </w:tr>
      <w:tr>
        <w:trPr>
          <w:cantSplit/>
        </w:trPr>
        <w:tc>
          <w:tcPr>
            <w:tcW w:type="dxa" w:w="3018"/>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Adjusted EC, lag 12</w:t>
            </w:r>
          </w:p>
        </w:tc>
        <w:tc>
          <w:tcPr>
            <w:tcW w:type="dxa" w:w="1251"/>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-0.65352</w:t>
            </w:r>
          </w:p>
        </w:tc>
        <w:tc>
          <w:tcPr>
            <w:tcW w:type="dxa" w:w="1251"/>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0.08291</w:t>
            </w:r>
          </w:p>
        </w:tc>
        <w:tc>
          <w:tcPr>
            <w:tcW w:type="dxa" w:w="2208"/>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 xml:space="preserve">-7.883 </w:t>
            </w:r>
            <w:r>
              <w:rPr>
                <w:rFonts w:ascii="Times New Roman" w:hAnsi="Times New Roman" w:eastAsia="Noto Sans CJK SC"/>
                <w:color w:val="000000"/>
                <w:sz w:val="17"/>
                <w:lang w:val="en-US" w:eastAsia="zh-CN"/>
              </w:rPr>
              <w:t>[commercial/​short_​run_​coefficients.csv/​row 3 col 5]</w:t>
            </w:r>
          </w:p>
        </w:tc>
        <w:tc>
          <w:tcPr>
            <w:tcW w:type="dxa" w:w="2208"/>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 xml:space="preserve">&lt;0.001 </w:t>
            </w:r>
            <w:r>
              <w:rPr>
                <w:rFonts w:ascii="Times New Roman" w:hAnsi="Times New Roman" w:eastAsia="Noto Sans CJK SC"/>
                <w:color w:val="000000"/>
                <w:sz w:val="17"/>
                <w:lang w:val="en-US" w:eastAsia="zh-CN"/>
              </w:rPr>
              <w:t>[commercial/​short_​run_​coefficients.csv/​row 3 col 6]</w:t>
            </w:r>
          </w:p>
        </w:tc>
      </w:tr>
      <w:tr>
        <w:trPr>
          <w:cantSplit/>
        </w:trPr>
        <w:tc>
          <w:tcPr>
            <w:tcW w:type="dxa" w:w="3018"/>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Fee YoY growth, lag 1</w:t>
            </w:r>
          </w:p>
        </w:tc>
        <w:tc>
          <w:tcPr>
            <w:tcW w:type="dxa" w:w="1251"/>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0.29638</w:t>
            </w:r>
          </w:p>
        </w:tc>
        <w:tc>
          <w:tcPr>
            <w:tcW w:type="dxa" w:w="1251"/>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0.06672</w:t>
            </w:r>
          </w:p>
        </w:tc>
        <w:tc>
          <w:tcPr>
            <w:tcW w:type="dxa" w:w="2208"/>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 xml:space="preserve">4.442 </w:t>
            </w:r>
            <w:r>
              <w:rPr>
                <w:rFonts w:ascii="Times New Roman" w:hAnsi="Times New Roman" w:eastAsia="Noto Sans CJK SC"/>
                <w:color w:val="000000"/>
                <w:sz w:val="17"/>
                <w:lang w:val="en-US" w:eastAsia="zh-CN"/>
              </w:rPr>
              <w:t>[commercial/​short_​run_​coefficients.csv/​row 4 col 5]</w:t>
            </w:r>
          </w:p>
        </w:tc>
        <w:tc>
          <w:tcPr>
            <w:tcW w:type="dxa" w:w="2208"/>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 xml:space="preserve">&lt;0.001 </w:t>
            </w:r>
            <w:r>
              <w:rPr>
                <w:rFonts w:ascii="Times New Roman" w:hAnsi="Times New Roman" w:eastAsia="Noto Sans CJK SC"/>
                <w:color w:val="000000"/>
                <w:sz w:val="17"/>
                <w:lang w:val="en-US" w:eastAsia="zh-CN"/>
              </w:rPr>
              <w:t>[commercial/​short_​run_​coefficients.csv/​row 4 col 6]</w:t>
            </w:r>
          </w:p>
        </w:tc>
      </w:tr>
      <w:tr>
        <w:trPr>
          <w:cantSplit/>
        </w:trPr>
        <w:tc>
          <w:tcPr>
            <w:tcW w:type="dxa" w:w="3018"/>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Fee YoY growth, lag 6</w:t>
            </w:r>
          </w:p>
        </w:tc>
        <w:tc>
          <w:tcPr>
            <w:tcW w:type="dxa" w:w="1251"/>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0.25019</w:t>
            </w:r>
          </w:p>
        </w:tc>
        <w:tc>
          <w:tcPr>
            <w:tcW w:type="dxa" w:w="1251"/>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0.05008</w:t>
            </w:r>
          </w:p>
        </w:tc>
        <w:tc>
          <w:tcPr>
            <w:tcW w:type="dxa" w:w="2208"/>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 xml:space="preserve">4.996 </w:t>
            </w:r>
            <w:r>
              <w:rPr>
                <w:rFonts w:ascii="Times New Roman" w:hAnsi="Times New Roman" w:eastAsia="Noto Sans CJK SC"/>
                <w:color w:val="000000"/>
                <w:sz w:val="17"/>
                <w:lang w:val="en-US" w:eastAsia="zh-CN"/>
              </w:rPr>
              <w:t>[commercial/​short_​run_​coefficients.csv/​row 5 col 5]</w:t>
            </w:r>
          </w:p>
        </w:tc>
        <w:tc>
          <w:tcPr>
            <w:tcW w:type="dxa" w:w="2208"/>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 xml:space="preserve">&lt;0.001 </w:t>
            </w:r>
            <w:r>
              <w:rPr>
                <w:rFonts w:ascii="Times New Roman" w:hAnsi="Times New Roman" w:eastAsia="Noto Sans CJK SC"/>
                <w:color w:val="000000"/>
                <w:sz w:val="17"/>
                <w:lang w:val="en-US" w:eastAsia="zh-CN"/>
              </w:rPr>
              <w:t>[commercial/​short_​run_​coefficients.csv/​row 5 col 6]</w:t>
            </w:r>
          </w:p>
        </w:tc>
      </w:tr>
      <w:tr>
        <w:trPr>
          <w:cantSplit/>
        </w:trPr>
        <w:tc>
          <w:tcPr>
            <w:tcW w:type="dxa" w:w="3018"/>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Profits YoY growth, lag 2</w:t>
            </w:r>
          </w:p>
        </w:tc>
        <w:tc>
          <w:tcPr>
            <w:tcW w:type="dxa" w:w="1251"/>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0.42202</w:t>
            </w:r>
          </w:p>
        </w:tc>
        <w:tc>
          <w:tcPr>
            <w:tcW w:type="dxa" w:w="1251"/>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0.09115</w:t>
            </w:r>
          </w:p>
        </w:tc>
        <w:tc>
          <w:tcPr>
            <w:tcW w:type="dxa" w:w="2208"/>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 xml:space="preserve">4.630 </w:t>
            </w:r>
            <w:r>
              <w:rPr>
                <w:rFonts w:ascii="Times New Roman" w:hAnsi="Times New Roman" w:eastAsia="Noto Sans CJK SC"/>
                <w:color w:val="000000"/>
                <w:sz w:val="17"/>
                <w:lang w:val="en-US" w:eastAsia="zh-CN"/>
              </w:rPr>
              <w:t>[commercial/​short_​run_​coefficients.csv/​row 6 col 5]</w:t>
            </w:r>
          </w:p>
        </w:tc>
        <w:tc>
          <w:tcPr>
            <w:tcW w:type="dxa" w:w="2208"/>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 xml:space="preserve">&lt;0.001 </w:t>
            </w:r>
            <w:r>
              <w:rPr>
                <w:rFonts w:ascii="Times New Roman" w:hAnsi="Times New Roman" w:eastAsia="Noto Sans CJK SC"/>
                <w:color w:val="000000"/>
                <w:sz w:val="17"/>
                <w:lang w:val="en-US" w:eastAsia="zh-CN"/>
              </w:rPr>
              <w:t>[commercial/​short_​run_​coefficients.csv/​row 6 col 6]</w:t>
            </w:r>
          </w:p>
        </w:tc>
      </w:tr>
    </w:tbl>
    <w:p>
      <w:pPr>
        <w:keepNext w:val="0"/>
        <w:pageBreakBefore w:val="0"/>
        <w:spacing w:after="140" w:line="230" w:lineRule="exact"/>
      </w:pPr>
      <w:r>
        <w:rPr>
          <w:rFonts w:ascii="Times New Roman" w:hAnsi="Times New Roman" w:eastAsia="Noto Sans CJK SC"/>
          <w:color w:val="000000"/>
          <w:sz w:val="17"/>
          <w:lang w:val="en-US" w:eastAsia="zh-CN"/>
          <w:lang w:val="en-US" w:eastAsia="zh-CN"/>
        </w:rPr>
        <w:t>Data sources: commercial/​short_​run_​coefficients.csv.</w:t>
      </w:r>
    </w:p>
    <w:p>
      <w:pPr>
        <w:pStyle w:val="Heading3"/>
        <w:keepNext/>
        <w:pageBreakBefore w:val="0"/>
        <w:spacing w:after="140"/>
      </w:pPr>
      <w:r>
        <w:rPr>
          <w:rFonts w:ascii="Times New Roman" w:hAnsi="Times New Roman" w:eastAsia="Noto Sans CJK SC"/>
          <w:color w:val="000000"/>
          <w:sz w:val="22"/>
          <w:lang w:val="en-US" w:eastAsia="zh-CN"/>
        </w:rPr>
        <w:t>6.1.4 Multicollinearity Assessment</w:t>
      </w:r>
    </w:p>
    <w:p>
      <w:pPr>
        <w:keepNext w:val="0"/>
        <w:pageBreakBefore w:val="0"/>
        <w:spacing w:after="140"/>
      </w:pPr>
      <w:r>
        <w:rPr>
          <w:rFonts w:ascii="Times New Roman" w:hAnsi="Times New Roman" w:eastAsia="Noto Sans CJK SC"/>
          <w:color w:val="000000"/>
          <w:sz w:val="22"/>
          <w:lang w:val="en-US" w:eastAsia="zh-CN"/>
        </w:rPr>
        <w:t xml:space="preserve">Variance Inflation Factors were evaluated to determine whether explanatory variables contained excessive shared information. The maximum nonconstant VIF is 2.2501 </w:t>
      </w:r>
      <w:r>
        <w:rPr>
          <w:rFonts w:ascii="Times New Roman" w:hAnsi="Times New Roman" w:eastAsia="Noto Sans CJK SC"/>
          <w:color w:val="000000"/>
          <w:sz w:val="17"/>
          <w:lang w:val="en-US" w:eastAsia="zh-CN"/>
        </w:rPr>
        <w:t>[commercial/​short_​run_​diagnostics.csv/​row 2 col 11]</w:t>
      </w:r>
      <w:r>
        <w:rPr>
          <w:rFonts w:ascii="Times New Roman" w:hAnsi="Times New Roman" w:eastAsia="Noto Sans CJK SC"/>
          <w:color w:val="000000"/>
          <w:sz w:val="22"/>
          <w:lang w:val="en-US" w:eastAsia="zh-CN"/>
        </w:rPr>
        <w:t>, below the implemented threshold of 10. The results indicate that multicollinearity is limited within the selected specification.</w:t>
      </w:r>
    </w:p>
    <w:p>
      <w:pPr>
        <w:pStyle w:val="Caption"/>
        <w:keepNext/>
        <w:pageBreakBefore w:val="0"/>
        <w:spacing w:after="140"/>
      </w:pPr>
      <w:r>
        <w:rPr>
          <w:rFonts w:ascii="Times New Roman" w:hAnsi="Times New Roman" w:eastAsia="Noto Sans CJK SC"/>
          <w:color w:val="000000"/>
          <w:sz w:val="21"/>
          <w:lang w:val="en-US" w:eastAsia="zh-CN"/>
        </w:rPr>
        <w:t>Table 6.3 Commercial Card and Small Business Variance Inflation Factors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4896"/>
      </w:tblGrid>
      <w:tr>
        <w:trPr>
          <w:cantSplit/>
          <w:tblHeader/>
        </w:trPr>
        <w:tc>
          <w:tcPr>
            <w:tcW w:type="dxa" w:w="5040"/>
            <w:vAlign w:val="center"/>
            <w:tcMar>
              <w:top w:w="90" w:type="dxa"/>
              <w:bottom w:w="90" w:type="dxa"/>
              <w:left w:w="90" w:type="dxa"/>
              <w:right w:w="90" w:type="dxa"/>
            </w:tcMar>
            <w:shd w:fill="E7E6E6"/>
          </w:tcPr>
          <w:p>
            <w:pPr>
              <w:spacing w:after="40" w:line="240" w:lineRule="exact"/>
            </w:pPr>
            <w:r>
              <w:rPr>
                <w:rFonts w:ascii="Times New Roman" w:hAnsi="Times New Roman" w:eastAsia="Noto Sans CJK SC"/>
                <w:b/>
                <w:color w:val="000000"/>
                <w:sz w:val="19"/>
                <w:lang w:val="en-US" w:eastAsia="zh-CN"/>
              </w:rPr>
              <w:t>Variable</w:t>
            </w:r>
          </w:p>
        </w:tc>
        <w:tc>
          <w:tcPr>
            <w:tcW w:type="dxa" w:w="4896"/>
            <w:vAlign w:val="center"/>
            <w:tcMar>
              <w:top w:w="90" w:type="dxa"/>
              <w:bottom w:w="90" w:type="dxa"/>
              <w:left w:w="90" w:type="dxa"/>
              <w:right w:w="90" w:type="dxa"/>
            </w:tcMar>
            <w:shd w:fill="E7E6E6"/>
          </w:tcPr>
          <w:p>
            <w:pPr>
              <w:spacing w:after="40" w:line="240" w:lineRule="exact"/>
            </w:pPr>
            <w:r>
              <w:rPr>
                <w:rFonts w:ascii="Times New Roman" w:hAnsi="Times New Roman" w:eastAsia="Noto Sans CJK SC"/>
                <w:b/>
                <w:color w:val="000000"/>
                <w:sz w:val="19"/>
                <w:lang w:val="en-US" w:eastAsia="zh-CN"/>
              </w:rPr>
              <w:t>VIF</w:t>
            </w:r>
          </w:p>
        </w:tc>
      </w:tr>
      <w:tr>
        <w:trPr>
          <w:cantSplit/>
        </w:trPr>
        <w:tc>
          <w:tcPr>
            <w:tcW w:type="dxa" w:w="504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ec_​scaled_​adjusted_​pct_​lag_​12m</w:t>
            </w:r>
          </w:p>
        </w:tc>
        <w:tc>
          <w:tcPr>
            <w:tcW w:type="dxa" w:w="4896"/>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 xml:space="preserve">1.2343 </w:t>
            </w:r>
            <w:r>
              <w:rPr>
                <w:rFonts w:ascii="Times New Roman" w:hAnsi="Times New Roman" w:eastAsia="Noto Sans CJK SC"/>
                <w:color w:val="000000"/>
                <w:sz w:val="17"/>
                <w:lang w:val="en-US" w:eastAsia="zh-CN"/>
              </w:rPr>
              <w:t>[commercial/​short_​run_​coefficients.csv/​row 3 col 7]</w:t>
            </w:r>
          </w:p>
        </w:tc>
      </w:tr>
      <w:tr>
        <w:trPr>
          <w:cantSplit/>
        </w:trPr>
        <w:tc>
          <w:tcPr>
            <w:tcW w:type="dxa" w:w="504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commercial_​small_​business_​fee_​pct_​change_​12m_​lag_​1m</w:t>
            </w:r>
          </w:p>
        </w:tc>
        <w:tc>
          <w:tcPr>
            <w:tcW w:type="dxa" w:w="4896"/>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 xml:space="preserve">2.2501 </w:t>
            </w:r>
            <w:r>
              <w:rPr>
                <w:rFonts w:ascii="Times New Roman" w:hAnsi="Times New Roman" w:eastAsia="Noto Sans CJK SC"/>
                <w:color w:val="000000"/>
                <w:sz w:val="17"/>
                <w:lang w:val="en-US" w:eastAsia="zh-CN"/>
              </w:rPr>
              <w:t>[commercial/​short_​run_​coefficients.csv/​row 4 col 7]</w:t>
            </w:r>
          </w:p>
        </w:tc>
      </w:tr>
      <w:tr>
        <w:trPr>
          <w:cantSplit/>
        </w:trPr>
        <w:tc>
          <w:tcPr>
            <w:tcW w:type="dxa" w:w="504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commercial_​small_​business_​fee_​pct_​change_​12m_​lag_​6m</w:t>
            </w:r>
          </w:p>
        </w:tc>
        <w:tc>
          <w:tcPr>
            <w:tcW w:type="dxa" w:w="4896"/>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 xml:space="preserve">1.2914 </w:t>
            </w:r>
            <w:r>
              <w:rPr>
                <w:rFonts w:ascii="Times New Roman" w:hAnsi="Times New Roman" w:eastAsia="Noto Sans CJK SC"/>
                <w:color w:val="000000"/>
                <w:sz w:val="17"/>
                <w:lang w:val="en-US" w:eastAsia="zh-CN"/>
              </w:rPr>
              <w:t>[commercial/​short_​run_​coefficients.csv/​row 5 col 7]</w:t>
            </w:r>
          </w:p>
        </w:tc>
      </w:tr>
      <w:tr>
        <w:trPr>
          <w:cantSplit/>
        </w:trPr>
        <w:tc>
          <w:tcPr>
            <w:tcW w:type="dxa" w:w="504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corporate_​profits_​pct_​change_​12m_​lag_​2m</w:t>
            </w:r>
          </w:p>
        </w:tc>
        <w:tc>
          <w:tcPr>
            <w:tcW w:type="dxa" w:w="4896"/>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 xml:space="preserve">2.1560 </w:t>
            </w:r>
            <w:r>
              <w:rPr>
                <w:rFonts w:ascii="Times New Roman" w:hAnsi="Times New Roman" w:eastAsia="Noto Sans CJK SC"/>
                <w:color w:val="000000"/>
                <w:sz w:val="17"/>
                <w:lang w:val="en-US" w:eastAsia="zh-CN"/>
              </w:rPr>
              <w:t>[commercial/​short_​run_​coefficients.csv/​row 6 col 7]</w:t>
            </w:r>
          </w:p>
        </w:tc>
      </w:tr>
    </w:tbl>
    <w:p>
      <w:pPr>
        <w:keepNext w:val="0"/>
        <w:pageBreakBefore w:val="0"/>
        <w:spacing w:after="140" w:line="230" w:lineRule="exact"/>
      </w:pPr>
      <w:r>
        <w:rPr>
          <w:rFonts w:ascii="Times New Roman" w:hAnsi="Times New Roman" w:eastAsia="Noto Sans CJK SC"/>
          <w:color w:val="000000"/>
          <w:sz w:val="17"/>
          <w:lang w:val="en-US" w:eastAsia="zh-CN"/>
          <w:lang w:val="en-US" w:eastAsia="zh-CN"/>
        </w:rPr>
        <w:t>Data sources: commercial/​short_​run_​coefficients.csv.</w:t>
      </w:r>
    </w:p>
    <w:p>
      <w:pPr>
        <w:pStyle w:val="Heading3"/>
        <w:keepNext/>
        <w:pageBreakBefore w:val="0"/>
        <w:spacing w:after="140"/>
      </w:pPr>
      <w:r>
        <w:rPr>
          <w:rFonts w:ascii="Times New Roman" w:hAnsi="Times New Roman" w:eastAsia="Noto Sans CJK SC"/>
          <w:color w:val="000000"/>
          <w:sz w:val="22"/>
          <w:lang w:val="en-US" w:eastAsia="zh-CN"/>
        </w:rPr>
        <w:t>6.1.5 Residual Diagnostics and Statistical Assumptions</w:t>
      </w:r>
    </w:p>
    <w:p>
      <w:pPr>
        <w:keepNext w:val="0"/>
        <w:pageBreakBefore w:val="0"/>
        <w:spacing w:after="140"/>
      </w:pPr>
      <w:r>
        <w:rPr>
          <w:rFonts w:ascii="Times New Roman" w:hAnsi="Times New Roman" w:eastAsia="Noto Sans CJK SC"/>
          <w:color w:val="000000"/>
          <w:sz w:val="22"/>
          <w:lang w:val="en-US" w:eastAsia="zh-CN"/>
        </w:rPr>
        <w:t xml:space="preserve">Residual diagnostics evaluate distributional shape, serial correlation and overall equation adequacy. The Durbin-Watson statistic is 2.0321 </w:t>
      </w:r>
      <w:r>
        <w:rPr>
          <w:rFonts w:ascii="Times New Roman" w:hAnsi="Times New Roman" w:eastAsia="Noto Sans CJK SC"/>
          <w:color w:val="000000"/>
          <w:sz w:val="17"/>
          <w:lang w:val="en-US" w:eastAsia="zh-CN"/>
        </w:rPr>
        <w:t>[commercial/​short_​run_​diagnostics.csv/​row 2 col 5]</w:t>
      </w:r>
      <w:r>
        <w:rPr>
          <w:rFonts w:ascii="Times New Roman" w:hAnsi="Times New Roman" w:eastAsia="Noto Sans CJK SC"/>
          <w:color w:val="000000"/>
          <w:sz w:val="22"/>
          <w:lang w:val="en-US" w:eastAsia="zh-CN"/>
        </w:rPr>
        <w:t xml:space="preserve">. The Jarque-Bera p-value is 0.7573 </w:t>
      </w:r>
      <w:r>
        <w:rPr>
          <w:rFonts w:ascii="Times New Roman" w:hAnsi="Times New Roman" w:eastAsia="Noto Sans CJK SC"/>
          <w:color w:val="000000"/>
          <w:sz w:val="17"/>
          <w:lang w:val="en-US" w:eastAsia="zh-CN"/>
        </w:rPr>
        <w:t>[commercial/​short_​run_​diagnostics.csv/​row 2 col 7]</w:t>
      </w:r>
      <w:r>
        <w:rPr>
          <w:rFonts w:ascii="Times New Roman" w:hAnsi="Times New Roman" w:eastAsia="Noto Sans CJK SC"/>
          <w:color w:val="000000"/>
          <w:sz w:val="22"/>
          <w:lang w:val="en-US" w:eastAsia="zh-CN"/>
        </w:rPr>
        <w:t>, above the five-percent reference level. The residual time series, fitted-value comparison and normal-reference plot complement these numerical results.</w:t>
      </w:r>
    </w:p>
    <w:p>
      <w:pPr>
        <w:keepNext w:val="0"/>
        <w:pageBreakBefore w:val="0"/>
        <w:spacing w:after="140"/>
      </w:pPr>
      <w:r>
        <w:rPr>
          <w:rFonts w:ascii="Times New Roman" w:hAnsi="Times New Roman" w:eastAsia="Noto Sans CJK SC"/>
          <w:color w:val="000000"/>
          <w:sz w:val="22"/>
          <w:lang w:val="en-US" w:eastAsia="zh-CN"/>
        </w:rPr>
        <w:t xml:space="preserve">The lag-12 Ljung-Box test has a p-value of 0.3180 </w:t>
      </w:r>
      <w:r>
        <w:rPr>
          <w:rFonts w:ascii="Times New Roman" w:hAnsi="Times New Roman" w:eastAsia="Noto Sans CJK SC"/>
          <w:color w:val="000000"/>
          <w:sz w:val="17"/>
          <w:lang w:val="en-US" w:eastAsia="zh-CN"/>
        </w:rPr>
        <w:t>[commercial/​short_​run_​diagnostics.csv/​row 2 col 9]</w:t>
      </w:r>
      <w:r>
        <w:rPr>
          <w:rFonts w:ascii="Times New Roman" w:hAnsi="Times New Roman" w:eastAsia="Noto Sans CJK SC"/>
          <w:color w:val="000000"/>
          <w:sz w:val="22"/>
          <w:lang w:val="en-US" w:eastAsia="zh-CN"/>
        </w:rPr>
        <w:t>, providing additional support for the residual serial-correlation assessment. Transformed macroeconomic candidates were also assessed using the ADF and KPSS screens described in Section 3.</w:t>
      </w:r>
    </w:p>
    <w:p>
      <w:pPr>
        <w:pStyle w:val="Caption"/>
        <w:keepNext/>
        <w:pageBreakBefore w:val="0"/>
        <w:spacing w:after="140"/>
      </w:pPr>
      <w:r>
        <w:rPr>
          <w:rFonts w:ascii="Times New Roman" w:hAnsi="Times New Roman" w:eastAsia="Noto Sans CJK SC"/>
          <w:color w:val="000000"/>
          <w:sz w:val="21"/>
          <w:lang w:val="en-US" w:eastAsia="zh-CN"/>
        </w:rPr>
        <w:t>Table 6.4 Commercial Card and Small Business Residual Diagnostic Statistics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6480"/>
      </w:tblGrid>
      <w:tr>
        <w:trPr>
          <w:cantSplit/>
          <w:tblHeader/>
        </w:trPr>
        <w:tc>
          <w:tcPr>
            <w:tcW w:type="dxa" w:w="3456"/>
            <w:vAlign w:val="center"/>
            <w:tcMar>
              <w:top w:w="90" w:type="dxa"/>
              <w:bottom w:w="90" w:type="dxa"/>
              <w:left w:w="90" w:type="dxa"/>
              <w:right w:w="90" w:type="dxa"/>
            </w:tcMar>
            <w:shd w:fill="E7E6E6"/>
          </w:tcPr>
          <w:p>
            <w:pPr>
              <w:spacing w:after="40" w:line="240" w:lineRule="exact"/>
            </w:pPr>
            <w:r>
              <w:rPr>
                <w:rFonts w:ascii="Times New Roman" w:hAnsi="Times New Roman" w:eastAsia="Noto Sans CJK SC"/>
                <w:b/>
                <w:color w:val="000000"/>
                <w:sz w:val="19"/>
                <w:lang w:val="en-US" w:eastAsia="zh-CN"/>
              </w:rPr>
              <w:t>Diagnostic Statistic</w:t>
            </w:r>
          </w:p>
        </w:tc>
        <w:tc>
          <w:tcPr>
            <w:tcW w:type="dxa" w:w="6480"/>
            <w:vAlign w:val="center"/>
            <w:tcMar>
              <w:top w:w="90" w:type="dxa"/>
              <w:bottom w:w="90" w:type="dxa"/>
              <w:left w:w="90" w:type="dxa"/>
              <w:right w:w="90" w:type="dxa"/>
            </w:tcMar>
            <w:shd w:fill="E7E6E6"/>
          </w:tcPr>
          <w:p>
            <w:pPr>
              <w:spacing w:after="40" w:line="240" w:lineRule="exact"/>
            </w:pPr>
            <w:r>
              <w:rPr>
                <w:rFonts w:ascii="Times New Roman" w:hAnsi="Times New Roman" w:eastAsia="Noto Sans CJK SC"/>
                <w:b/>
                <w:color w:val="000000"/>
                <w:sz w:val="19"/>
                <w:lang w:val="en-US" w:eastAsia="zh-CN"/>
              </w:rPr>
              <w:t>Value</w:t>
            </w:r>
          </w:p>
        </w:tc>
      </w:tr>
      <w:tr>
        <w:trPr>
          <w:cantSplit/>
        </w:trPr>
        <w:tc>
          <w:tcPr>
            <w:tcW w:type="dxa" w:w="3456"/>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Durbin-Watson</w:t>
            </w:r>
          </w:p>
        </w:tc>
        <w:tc>
          <w:tcPr>
            <w:tcW w:type="dxa" w:w="648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 xml:space="preserve">2.0321 </w:t>
            </w:r>
            <w:r>
              <w:rPr>
                <w:rFonts w:ascii="Times New Roman" w:hAnsi="Times New Roman" w:eastAsia="Noto Sans CJK SC"/>
                <w:color w:val="000000"/>
                <w:sz w:val="17"/>
                <w:lang w:val="en-US" w:eastAsia="zh-CN"/>
              </w:rPr>
              <w:t>[commercial/​short_​run_​diagnostics.csv/​row 2 col 5]</w:t>
            </w:r>
          </w:p>
        </w:tc>
      </w:tr>
      <w:tr>
        <w:trPr>
          <w:cantSplit/>
        </w:trPr>
        <w:tc>
          <w:tcPr>
            <w:tcW w:type="dxa" w:w="3456"/>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Jarque-Bera statistic</w:t>
            </w:r>
          </w:p>
        </w:tc>
        <w:tc>
          <w:tcPr>
            <w:tcW w:type="dxa" w:w="648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 xml:space="preserve">0.5559 </w:t>
            </w:r>
            <w:r>
              <w:rPr>
                <w:rFonts w:ascii="Times New Roman" w:hAnsi="Times New Roman" w:eastAsia="Noto Sans CJK SC"/>
                <w:color w:val="000000"/>
                <w:sz w:val="17"/>
                <w:lang w:val="en-US" w:eastAsia="zh-CN"/>
              </w:rPr>
              <w:t>[commercial/​short_​run_​diagnostics.csv/​row 2 col 6]</w:t>
            </w:r>
          </w:p>
        </w:tc>
      </w:tr>
      <w:tr>
        <w:trPr>
          <w:cantSplit/>
        </w:trPr>
        <w:tc>
          <w:tcPr>
            <w:tcW w:type="dxa" w:w="3456"/>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Jarque-Bera p-value</w:t>
            </w:r>
          </w:p>
        </w:tc>
        <w:tc>
          <w:tcPr>
            <w:tcW w:type="dxa" w:w="648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 xml:space="preserve">0.7573 </w:t>
            </w:r>
            <w:r>
              <w:rPr>
                <w:rFonts w:ascii="Times New Roman" w:hAnsi="Times New Roman" w:eastAsia="Noto Sans CJK SC"/>
                <w:color w:val="000000"/>
                <w:sz w:val="17"/>
                <w:lang w:val="en-US" w:eastAsia="zh-CN"/>
              </w:rPr>
              <w:t>[commercial/​short_​run_​diagnostics.csv/​row 2 col 7]</w:t>
            </w:r>
          </w:p>
        </w:tc>
      </w:tr>
      <w:tr>
        <w:trPr>
          <w:cantSplit/>
        </w:trPr>
        <w:tc>
          <w:tcPr>
            <w:tcW w:type="dxa" w:w="3456"/>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Ljung-Box lag 12 statistic</w:t>
            </w:r>
          </w:p>
        </w:tc>
        <w:tc>
          <w:tcPr>
            <w:tcW w:type="dxa" w:w="648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 xml:space="preserve">13.7341 </w:t>
            </w:r>
            <w:r>
              <w:rPr>
                <w:rFonts w:ascii="Times New Roman" w:hAnsi="Times New Roman" w:eastAsia="Noto Sans CJK SC"/>
                <w:color w:val="000000"/>
                <w:sz w:val="17"/>
                <w:lang w:val="en-US" w:eastAsia="zh-CN"/>
              </w:rPr>
              <w:t>[commercial/​short_​run_​diagnostics.csv/​row 2 col 8]</w:t>
            </w:r>
          </w:p>
        </w:tc>
      </w:tr>
      <w:tr>
        <w:trPr>
          <w:cantSplit/>
        </w:trPr>
        <w:tc>
          <w:tcPr>
            <w:tcW w:type="dxa" w:w="3456"/>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Ljung-Box lag 12 p-value</w:t>
            </w:r>
          </w:p>
        </w:tc>
        <w:tc>
          <w:tcPr>
            <w:tcW w:type="dxa" w:w="648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 xml:space="preserve">0.3180 </w:t>
            </w:r>
            <w:r>
              <w:rPr>
                <w:rFonts w:ascii="Times New Roman" w:hAnsi="Times New Roman" w:eastAsia="Noto Sans CJK SC"/>
                <w:color w:val="000000"/>
                <w:sz w:val="17"/>
                <w:lang w:val="en-US" w:eastAsia="zh-CN"/>
              </w:rPr>
              <w:t>[commercial/​short_​run_​diagnostics.csv/​row 2 col 9]</w:t>
            </w:r>
          </w:p>
        </w:tc>
      </w:tr>
    </w:tbl>
    <w:p>
      <w:pPr>
        <w:keepNext w:val="0"/>
        <w:pageBreakBefore w:val="0"/>
        <w:spacing w:after="140" w:line="230" w:lineRule="exact"/>
      </w:pPr>
      <w:r>
        <w:rPr>
          <w:rFonts w:ascii="Times New Roman" w:hAnsi="Times New Roman" w:eastAsia="Noto Sans CJK SC"/>
          <w:color w:val="000000"/>
          <w:sz w:val="17"/>
          <w:lang w:val="en-US" w:eastAsia="zh-CN"/>
          <w:lang w:val="en-US" w:eastAsia="zh-CN"/>
        </w:rPr>
        <w:t>Data sources: commercial/​short_​run_​diagnostics.csv.</w:t>
      </w:r>
    </w:p>
    <w:p>
      <w:pPr>
        <w:keepNext/>
        <w:keepLines/>
        <w:pageBreakBefore w:val="0"/>
        <w:spacing w:after="140"/>
      </w:pPr>
      <w:r>
        <w:rPr>
          <w:rFonts w:ascii="Times New Roman" w:hAnsi="Times New Roman" w:eastAsia="Noto Sans CJK SC"/>
          <w:color w:val="000000"/>
          <w:sz w:val="22"/>
          <w:lang w:val="en-US" w:eastAsia="zh-CN"/>
        </w:rPr>
        <w:t>The upper panel shows residual fluctuations around zero over time. In the lower panel, residuals lie on both sides of zero without a pronounced curved pattern or clear funnel-shaped dispersion, providing visual support for the selected functional form.</w:t>
      </w:r>
    </w:p>
    <w:p>
      <w:pPr>
        <w:pStyle w:val="Caption"/>
        <w:keepNext/>
        <w:pageBreakBefore w:val="0"/>
        <w:spacing w:after="140"/>
      </w:pPr>
      <w:r>
        <w:rPr>
          <w:rFonts w:ascii="Times New Roman" w:hAnsi="Times New Roman" w:eastAsia="Noto Sans CJK SC"/>
          <w:color w:val="000000"/>
          <w:sz w:val="21"/>
          <w:lang w:val="en-US" w:eastAsia="zh-CN"/>
        </w:rPr>
        <w:t>Figure 6.2 Commercial Card and Small Business Residual Diagnostics</w:t>
      </w:r>
    </w:p>
    <w:p>
      <w:pPr>
        <w:keepNext/>
        <w:pageBreakBefore w:val="0"/>
        <w:spacing w:after="140"/>
      </w:pPr>
      <w:r>
        <w:drawing>
          <wp:inline xmlns:a="http://schemas.openxmlformats.org/drawingml/2006/main" xmlns:pic="http://schemas.openxmlformats.org/drawingml/2006/picture">
            <wp:extent cx="6172200" cy="4449726"/>
            <wp:docPr id="11" name="Picture 11"/>
            <wp:cNvGraphicFramePr>
              <a:graphicFrameLocks noChangeAspect="1"/>
            </wp:cNvGraphicFramePr>
            <a:graphic>
              <a:graphicData uri="http://schemas.openxmlformats.org/drawingml/2006/picture">
                <pic:pic>
                  <pic:nvPicPr>
                    <pic:cNvPr id="0" name="commercial_residuals.png"/>
                    <pic:cNvPicPr/>
                  </pic:nvPicPr>
                  <pic:blipFill>
                    <a:blip r:embed="rId36"/>
                    <a:stretch>
                      <a:fillRect/>
                    </a:stretch>
                  </pic:blipFill>
                  <pic:spPr>
                    <a:xfrm>
                      <a:off x="0" y="0"/>
                      <a:ext cx="6172200" cy="4449726"/>
                    </a:xfrm>
                    <a:prstGeom prst="rect"/>
                  </pic:spPr>
                </pic:pic>
              </a:graphicData>
            </a:graphic>
          </wp:inline>
        </w:drawing>
      </w:r>
    </w:p>
    <w:p>
      <w:pPr>
        <w:keepNext w:val="0"/>
        <w:pageBreakBefore w:val="0"/>
        <w:spacing w:after="140" w:line="230" w:lineRule="exact"/>
      </w:pPr>
      <w:r>
        <w:rPr>
          <w:rFonts w:ascii="Times New Roman" w:hAnsi="Times New Roman" w:eastAsia="Noto Sans CJK SC"/>
          <w:color w:val="000000"/>
          <w:sz w:val="17"/>
          <w:lang w:val="en-US" w:eastAsia="zh-CN"/>
          <w:lang w:val="en-US" w:eastAsia="zh-CN"/>
        </w:rPr>
        <w:t>Data sources: commercial/​short_​run_​estimation_​sample.csv.</w:t>
      </w:r>
    </w:p>
    <w:p>
      <w:pPr>
        <w:keepNext/>
        <w:keepLines/>
        <w:pageBreakBefore w:val="0"/>
        <w:spacing w:after="140"/>
      </w:pPr>
      <w:r>
        <w:rPr>
          <w:rFonts w:ascii="Times New Roman" w:hAnsi="Times New Roman" w:eastAsia="Noto Sans CJK SC"/>
          <w:color w:val="000000"/>
          <w:sz w:val="22"/>
          <w:lang w:val="en-US" w:eastAsia="zh-CN"/>
        </w:rPr>
        <w:t>The standardized Commercial residual quantiles broadly follow the normal-reference line, with smaller departures near the tails. This visual pattern is consistent with the accompanying Jarque-Bera assessment.</w:t>
      </w:r>
    </w:p>
    <w:p>
      <w:pPr>
        <w:pStyle w:val="Caption"/>
        <w:keepNext/>
        <w:pageBreakBefore w:val="0"/>
        <w:spacing w:after="140"/>
      </w:pPr>
      <w:r>
        <w:rPr>
          <w:rFonts w:ascii="Times New Roman" w:hAnsi="Times New Roman" w:eastAsia="Noto Sans CJK SC"/>
          <w:color w:val="000000"/>
          <w:sz w:val="21"/>
          <w:lang w:val="en-US" w:eastAsia="zh-CN"/>
        </w:rPr>
        <w:t>Figure 6.3 Commercial Card and Small Business Normal Reference Plot</w:t>
      </w:r>
    </w:p>
    <w:p>
      <w:pPr>
        <w:keepNext/>
        <w:pageBreakBefore w:val="0"/>
        <w:spacing w:after="140"/>
      </w:pPr>
      <w:r>
        <w:drawing>
          <wp:inline xmlns:a="http://schemas.openxmlformats.org/drawingml/2006/main" xmlns:pic="http://schemas.openxmlformats.org/drawingml/2006/picture">
            <wp:extent cx="6172200" cy="3640015"/>
            <wp:docPr id="12" name="Picture 12"/>
            <wp:cNvGraphicFramePr>
              <a:graphicFrameLocks noChangeAspect="1"/>
            </wp:cNvGraphicFramePr>
            <a:graphic>
              <a:graphicData uri="http://schemas.openxmlformats.org/drawingml/2006/picture">
                <pic:pic>
                  <pic:nvPicPr>
                    <pic:cNvPr id="0" name="commercial_qq.png"/>
                    <pic:cNvPicPr/>
                  </pic:nvPicPr>
                  <pic:blipFill>
                    <a:blip r:embed="rId37"/>
                    <a:stretch>
                      <a:fillRect/>
                    </a:stretch>
                  </pic:blipFill>
                  <pic:spPr>
                    <a:xfrm>
                      <a:off x="0" y="0"/>
                      <a:ext cx="6172200" cy="3640015"/>
                    </a:xfrm>
                    <a:prstGeom prst="rect"/>
                  </pic:spPr>
                </pic:pic>
              </a:graphicData>
            </a:graphic>
          </wp:inline>
        </w:drawing>
      </w:r>
    </w:p>
    <w:p>
      <w:pPr>
        <w:keepNext w:val="0"/>
        <w:pageBreakBefore w:val="0"/>
        <w:spacing w:after="140" w:line="230" w:lineRule="exact"/>
      </w:pPr>
      <w:r>
        <w:rPr>
          <w:rFonts w:ascii="Times New Roman" w:hAnsi="Times New Roman" w:eastAsia="Noto Sans CJK SC"/>
          <w:color w:val="000000"/>
          <w:sz w:val="17"/>
          <w:lang w:val="en-US" w:eastAsia="zh-CN"/>
          <w:lang w:val="en-US" w:eastAsia="zh-CN"/>
        </w:rPr>
        <w:t>Data sources: commercial/​short_​run_​estimation_​sample.csv. Exported target residuals standardized using the sample mean and standard deviation; midpoint normal plotting positions.</w:t>
      </w:r>
    </w:p>
    <w:p>
      <w:pPr>
        <w:pStyle w:val="Heading3"/>
        <w:keepNext/>
        <w:pageBreakBefore w:val="0"/>
        <w:spacing w:after="140"/>
      </w:pPr>
      <w:r>
        <w:rPr>
          <w:rFonts w:ascii="Times New Roman" w:hAnsi="Times New Roman" w:eastAsia="Noto Sans CJK SC"/>
          <w:color w:val="000000"/>
          <w:sz w:val="22"/>
          <w:lang w:val="en-US" w:eastAsia="zh-CN"/>
        </w:rPr>
        <w:t>6.1.6 Stability Testing</w:t>
      </w:r>
    </w:p>
    <w:p>
      <w:pPr>
        <w:keepNext w:val="0"/>
        <w:pageBreakBefore w:val="0"/>
        <w:spacing w:after="140"/>
      </w:pPr>
      <w:r>
        <w:rPr>
          <w:rFonts w:ascii="Times New Roman" w:hAnsi="Times New Roman" w:eastAsia="Noto Sans CJK SC"/>
          <w:color w:val="000000"/>
          <w:sz w:val="22"/>
          <w:lang w:val="en-US" w:eastAsia="zh-CN"/>
        </w:rPr>
        <w:t>Stability assessment considers forecast-error behavior under fixed development coefficients and the response of recursive projections to changing macroeconomic inputs. Static and Full Recursive OOT exercises use the same fitted equation. Full Recursive OOT updates fee levels, own-growth lags and adjusted EC states throughout the evaluation period, while scenario and sensitivity tests evaluate model behavior under alternative future paths. These exercises preserve a common coefficient basis for comparison.</w:t>
      </w:r>
    </w:p>
    <w:p>
      <w:pPr>
        <w:pStyle w:val="Heading3"/>
        <w:keepNext/>
        <w:pageBreakBefore w:val="0"/>
        <w:spacing w:after="140"/>
      </w:pPr>
      <w:r>
        <w:rPr>
          <w:rFonts w:ascii="Times New Roman" w:hAnsi="Times New Roman" w:eastAsia="Noto Sans CJK SC"/>
          <w:color w:val="000000"/>
          <w:sz w:val="22"/>
          <w:lang w:val="en-US" w:eastAsia="zh-CN"/>
        </w:rPr>
        <w:t>6.1.7 Out of Time Testing Framework and Results</w:t>
      </w:r>
    </w:p>
    <w:p>
      <w:pPr>
        <w:keepNext w:val="0"/>
        <w:pageBreakBefore w:val="0"/>
        <w:spacing w:after="140"/>
      </w:pPr>
      <w:r>
        <w:rPr>
          <w:rFonts w:ascii="Times New Roman" w:hAnsi="Times New Roman" w:eastAsia="Noto Sans CJK SC"/>
          <w:color w:val="000000"/>
          <w:sz w:val="22"/>
          <w:lang w:val="en-US" w:eastAsia="zh-CN"/>
        </w:rPr>
        <w:t>Out-of-time testing uses October 2023 through December 2025 to assess forecast performance beyond the coefficient-development period. Results are compared with realized fee revenue on the original $000 scale. Static and recursive exercises are reported separately so that the role of forecast-state updating is explicit.</w:t>
      </w:r>
    </w:p>
    <w:p>
      <w:pPr>
        <w:keepNext w:val="0"/>
        <w:pageBreakBefore w:val="0"/>
        <w:spacing w:after="140"/>
      </w:pPr>
      <w:r>
        <w:rPr>
          <w:rFonts w:ascii="Times New Roman" w:hAnsi="Times New Roman" w:eastAsia="Noto Sans CJK SC"/>
          <w:color w:val="000000"/>
          <w:sz w:val="22"/>
          <w:lang w:val="en-US" w:eastAsia="zh-CN"/>
        </w:rPr>
        <w:t>Short-run macroeconomic candidates were pre-screened for partial-correlation significance and sign consistency across the development and OOT periods. Subsequent variable selection and coefficient estimation used development-period observations.</w:t>
      </w:r>
    </w:p>
    <w:p>
      <w:pPr>
        <w:keepNext w:val="0"/>
        <w:pageBreakBefore w:val="0"/>
        <w:spacing w:after="140"/>
      </w:pPr>
      <w:r>
        <w:rPr>
          <w:rFonts w:ascii="Times New Roman" w:hAnsi="Times New Roman" w:eastAsia="Noto Sans CJK SC"/>
          <w:color w:val="000000"/>
          <w:sz w:val="22"/>
          <w:lang w:val="en-US" w:eastAsia="zh-CN"/>
        </w:rPr>
        <w:t>Full Recursive OOT initializes fee levels, annual fee growth and adjusted EC using actual history through September 2023. From October 2023 onward, predicted growth is applied to the fee level from 12 months earlier, using the forecast value whenever that anchor falls within OOT. Predicted fees are then used to recalculate scaled EC and adjusted EC; subsequent own-growth lags and the 12-month adjusted-EC lag use these recursively generated states. Realized OOT fee values are used to evaluate forecast accuracy, not to reset these endogenous states. The exercise retains fixed development coefficients, historical macroeconomic paths and the calibrated OOT EC trend adjustment. Month-level results and lag inputs are exported in fully_​recursive_​oot.csv.</w:t>
      </w:r>
    </w:p>
    <w:p>
      <w:pPr>
        <w:keepNext/>
        <w:keepLines/>
        <w:pageBreakBefore w:val="0"/>
        <w:spacing w:after="140"/>
      </w:pPr>
      <w:r>
        <w:rPr>
          <w:rFonts w:ascii="Times New Roman" w:hAnsi="Times New Roman" w:eastAsia="Noto Sans CJK SC"/>
          <w:color w:val="000000"/>
          <w:sz w:val="22"/>
          <w:lang w:val="en-US" w:eastAsia="zh-CN"/>
        </w:rPr>
        <w:t>This table compares fee-level forecast errors under static and Full Recursive OOT evaluation. The comparison quantifies the difference between using observed lagged states and allowing predicted fee and error-correction states to evolve throughout the test.</w:t>
      </w:r>
    </w:p>
    <w:p>
      <w:pPr>
        <w:pStyle w:val="Caption"/>
        <w:keepNext/>
        <w:pageBreakBefore w:val="0"/>
        <w:spacing w:after="140"/>
      </w:pPr>
      <w:r>
        <w:rPr>
          <w:rFonts w:ascii="Times New Roman" w:hAnsi="Times New Roman" w:eastAsia="Noto Sans CJK SC"/>
          <w:color w:val="000000"/>
          <w:sz w:val="21"/>
          <w:lang w:val="en-US" w:eastAsia="zh-CN"/>
        </w:rPr>
        <w:t>Table 6.5 Commercial Card and Small Business OOT Forecast Accuracy</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00"/>
        <w:gridCol w:w="3168"/>
        <w:gridCol w:w="3168"/>
      </w:tblGrid>
      <w:tr>
        <w:trPr>
          <w:cantSplit/>
          <w:tblHeader/>
        </w:trPr>
        <w:tc>
          <w:tcPr>
            <w:tcW w:type="dxa" w:w="3600"/>
            <w:vAlign w:val="center"/>
            <w:tcMar>
              <w:top w:w="90" w:type="dxa"/>
              <w:bottom w:w="90" w:type="dxa"/>
              <w:left w:w="90" w:type="dxa"/>
              <w:right w:w="90" w:type="dxa"/>
            </w:tcMar>
            <w:shd w:fill="E7E6E6"/>
          </w:tcPr>
          <w:p>
            <w:pPr>
              <w:spacing w:after="40" w:line="240" w:lineRule="exact"/>
            </w:pPr>
            <w:r>
              <w:rPr>
                <w:rFonts w:ascii="Times New Roman" w:hAnsi="Times New Roman" w:eastAsia="Noto Sans CJK SC"/>
                <w:b/>
                <w:color w:val="000000"/>
                <w:sz w:val="19"/>
                <w:lang w:val="en-US" w:eastAsia="zh-CN"/>
              </w:rPr>
              <w:t>Method</w:t>
            </w:r>
          </w:p>
        </w:tc>
        <w:tc>
          <w:tcPr>
            <w:tcW w:type="dxa" w:w="3168"/>
            <w:vAlign w:val="center"/>
            <w:tcMar>
              <w:top w:w="90" w:type="dxa"/>
              <w:bottom w:w="90" w:type="dxa"/>
              <w:left w:w="90" w:type="dxa"/>
              <w:right w:w="90" w:type="dxa"/>
            </w:tcMar>
            <w:shd w:fill="E7E6E6"/>
          </w:tcPr>
          <w:p>
            <w:pPr>
              <w:spacing w:after="40" w:line="240" w:lineRule="exact"/>
            </w:pPr>
            <w:r>
              <w:rPr>
                <w:rFonts w:ascii="Times New Roman" w:hAnsi="Times New Roman" w:eastAsia="Noto Sans CJK SC"/>
                <w:b/>
                <w:color w:val="000000"/>
                <w:sz w:val="19"/>
                <w:lang w:val="en-US" w:eastAsia="zh-CN"/>
              </w:rPr>
              <w:t>MAPE (%)</w:t>
            </w:r>
          </w:p>
        </w:tc>
        <w:tc>
          <w:tcPr>
            <w:tcW w:type="dxa" w:w="3168"/>
            <w:vAlign w:val="center"/>
            <w:tcMar>
              <w:top w:w="90" w:type="dxa"/>
              <w:bottom w:w="90" w:type="dxa"/>
              <w:left w:w="90" w:type="dxa"/>
              <w:right w:w="90" w:type="dxa"/>
            </w:tcMar>
            <w:shd w:fill="E7E6E6"/>
          </w:tcPr>
          <w:p>
            <w:pPr>
              <w:spacing w:after="40" w:line="240" w:lineRule="exact"/>
            </w:pPr>
            <w:r>
              <w:rPr>
                <w:rFonts w:ascii="Times New Roman" w:hAnsi="Times New Roman" w:eastAsia="Noto Sans CJK SC"/>
                <w:b/>
                <w:color w:val="000000"/>
                <w:sz w:val="19"/>
                <w:lang w:val="en-US" w:eastAsia="zh-CN"/>
              </w:rPr>
              <w:t>RMSE ($000)</w:t>
            </w:r>
          </w:p>
        </w:tc>
      </w:tr>
      <w:tr>
        <w:trPr>
          <w:cantSplit/>
        </w:trPr>
        <w:tc>
          <w:tcPr>
            <w:tcW w:type="dxa" w:w="360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Static OOT</w:t>
            </w:r>
          </w:p>
        </w:tc>
        <w:tc>
          <w:tcPr>
            <w:tcW w:type="dxa" w:w="3168"/>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 xml:space="preserve">8.76 </w:t>
            </w:r>
            <w:r>
              <w:rPr>
                <w:rFonts w:ascii="Times New Roman" w:hAnsi="Times New Roman" w:eastAsia="Noto Sans CJK SC"/>
                <w:color w:val="000000"/>
                <w:sz w:val="17"/>
                <w:lang w:val="en-US" w:eastAsia="zh-CN"/>
              </w:rPr>
              <w:t>[commercial/​forecast_​accuracy.csv/​row 3 col 5]</w:t>
            </w:r>
          </w:p>
        </w:tc>
        <w:tc>
          <w:tcPr>
            <w:tcW w:type="dxa" w:w="3168"/>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 xml:space="preserve">231.43 </w:t>
            </w:r>
            <w:r>
              <w:rPr>
                <w:rFonts w:ascii="Times New Roman" w:hAnsi="Times New Roman" w:eastAsia="Noto Sans CJK SC"/>
                <w:color w:val="000000"/>
                <w:sz w:val="17"/>
                <w:lang w:val="en-US" w:eastAsia="zh-CN"/>
              </w:rPr>
              <w:t>[commercial/​forecast_​accuracy.csv/​row 3 col 3]</w:t>
            </w:r>
          </w:p>
        </w:tc>
      </w:tr>
      <w:tr>
        <w:trPr>
          <w:cantSplit/>
        </w:trPr>
        <w:tc>
          <w:tcPr>
            <w:tcW w:type="dxa" w:w="360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Full Recursive OOT</w:t>
            </w:r>
          </w:p>
        </w:tc>
        <w:tc>
          <w:tcPr>
            <w:tcW w:type="dxa" w:w="3168"/>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 xml:space="preserve">16.95 </w:t>
            </w:r>
            <w:r>
              <w:rPr>
                <w:rFonts w:ascii="Times New Roman" w:hAnsi="Times New Roman" w:eastAsia="Noto Sans CJK SC"/>
                <w:color w:val="000000"/>
                <w:sz w:val="17"/>
                <w:lang w:val="en-US" w:eastAsia="zh-CN"/>
              </w:rPr>
              <w:t>[commercial/​forecast_​accuracy.csv/​row 4 col 5]</w:t>
            </w:r>
          </w:p>
        </w:tc>
        <w:tc>
          <w:tcPr>
            <w:tcW w:type="dxa" w:w="3168"/>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 xml:space="preserve">399.13 </w:t>
            </w:r>
            <w:r>
              <w:rPr>
                <w:rFonts w:ascii="Times New Roman" w:hAnsi="Times New Roman" w:eastAsia="Noto Sans CJK SC"/>
                <w:color w:val="000000"/>
                <w:sz w:val="17"/>
                <w:lang w:val="en-US" w:eastAsia="zh-CN"/>
              </w:rPr>
              <w:t>[commercial/​forecast_​accuracy.csv/​row 4 col 3]</w:t>
            </w:r>
          </w:p>
        </w:tc>
      </w:tr>
    </w:tbl>
    <w:p>
      <w:pPr>
        <w:keepNext w:val="0"/>
        <w:pageBreakBefore w:val="0"/>
        <w:spacing w:after="140" w:line="230" w:lineRule="exact"/>
      </w:pPr>
      <w:r>
        <w:rPr>
          <w:rFonts w:ascii="Times New Roman" w:hAnsi="Times New Roman" w:eastAsia="Noto Sans CJK SC"/>
          <w:color w:val="000000"/>
          <w:sz w:val="17"/>
          <w:lang w:val="en-US" w:eastAsia="zh-CN"/>
          <w:lang w:val="en-US" w:eastAsia="zh-CN"/>
        </w:rPr>
        <w:t>Data sources: commercial/​forecast_​accuracy.csv.</w:t>
      </w:r>
    </w:p>
    <w:p>
      <w:pPr>
        <w:keepNext/>
        <w:keepLines/>
        <w:pageBreakBefore w:val="0"/>
        <w:spacing w:after="140"/>
      </w:pPr>
      <w:r>
        <w:rPr>
          <w:rFonts w:ascii="Times New Roman" w:hAnsi="Times New Roman" w:eastAsia="Noto Sans CJK SC"/>
          <w:color w:val="000000"/>
          <w:sz w:val="22"/>
          <w:lang w:val="en-US" w:eastAsia="zh-CN"/>
        </w:rPr>
        <w:t>The figure places actual Commercial fees beside the static and Full Recursive OOT paths. The separation between the forecast lines shows how their different state-updating procedures affect the projected revenue path over time.</w:t>
      </w:r>
    </w:p>
    <w:p>
      <w:pPr>
        <w:pStyle w:val="Caption"/>
        <w:keepNext/>
        <w:pageBreakBefore w:val="0"/>
        <w:spacing w:after="140"/>
      </w:pPr>
      <w:r>
        <w:rPr>
          <w:rFonts w:ascii="Times New Roman" w:hAnsi="Times New Roman" w:eastAsia="Noto Sans CJK SC"/>
          <w:color w:val="000000"/>
          <w:sz w:val="21"/>
          <w:lang w:val="en-US" w:eastAsia="zh-CN"/>
        </w:rPr>
        <w:t>Figure 6.4 Commercial Card and Small Business OOT Forecast Results</w:t>
      </w:r>
    </w:p>
    <w:p>
      <w:pPr>
        <w:keepNext/>
        <w:widowControl/>
        <w:jc w:val="center"/>
      </w:pPr>
      <w:r>
        <w:drawing>
          <wp:inline xmlns:a="http://schemas.openxmlformats.org/drawingml/2006/main" xmlns:pic="http://schemas.openxmlformats.org/drawingml/2006/picture">
            <wp:extent cx="6080760" cy="2686847"/>
            <wp:docPr id="16" name="Picture 16" descr="Figure 6.5 Commercial OOT backtest"/>
            <wp:cNvGraphicFramePr>
              <a:graphicFrameLocks noChangeAspect="1"/>
            </wp:cNvGraphicFramePr>
            <a:graphic>
              <a:graphicData uri="http://schemas.openxmlformats.org/drawingml/2006/picture">
                <pic:pic>
                  <pic:nvPicPr>
                    <pic:cNvPr id="0" name="commercial_dynamic_oot.png"/>
                    <pic:cNvPicPr/>
                  </pic:nvPicPr>
                  <pic:blipFill>
                    <a:blip r:embed="rId26"/>
                    <a:stretch>
                      <a:fillRect/>
                    </a:stretch>
                  </pic:blipFill>
                  <pic:spPr>
                    <a:xfrm>
                      <a:off x="0" y="0"/>
                      <a:ext cx="6080760" cy="2686847"/>
                    </a:xfrm>
                    <a:prstGeom prst="rect"/>
                  </pic:spPr>
                </pic:pic>
              </a:graphicData>
            </a:graphic>
          </wp:inline>
        </w:drawing>
      </w:r>
    </w:p>
    <w:p>
      <w:pPr>
        <w:keepNext w:val="0"/>
        <w:pageBreakBefore w:val="0"/>
        <w:spacing w:after="140" w:line="230" w:lineRule="exact"/>
      </w:pPr>
      <w:r>
        <w:rPr>
          <w:rFonts w:ascii="Times New Roman" w:hAnsi="Times New Roman" w:eastAsia="Noto Sans CJK SC"/>
          <w:color w:val="000000"/>
          <w:sz w:val="17"/>
          <w:lang w:val="en-US" w:eastAsia="zh-CN"/>
        </w:rPr>
        <w:t>Data sources: commercial/​static_​oot.csv; commercial/​fully_​recursive_​oot.csv. Full Recursive OOT updates fee levels, own-growth lags and adjusted EC states. Fee amounts are in $000.</w:t>
      </w:r>
    </w:p>
    <w:p>
      <w:pPr>
        <w:pStyle w:val="Caption"/>
        <w:keepNext/>
        <w:keepLines/>
        <w:pageBreakBefore/>
        <w:spacing w:after="140"/>
      </w:pPr>
      <w:r>
        <w:rPr>
          <w:rFonts w:ascii="Times New Roman" w:hAnsi="Times New Roman" w:eastAsia="Noto Sans CJK SC"/>
          <w:color w:val="000000"/>
          <w:sz w:val="21"/>
          <w:lang w:val="en-US" w:eastAsia="zh-CN"/>
        </w:rPr>
        <w:t>Figure 6.4A Commercial Card and Small Business OOT Forecasts With and Without Overlay</w:t>
      </w:r>
    </w:p>
    <w:p>
      <w:pPr>
        <w:keepNext/>
        <w:spacing w:after="140"/>
        <w:jc w:val="center"/>
      </w:pPr>
      <w:r>
        <w:drawing>
          <wp:inline xmlns:a="http://schemas.openxmlformats.org/drawingml/2006/main" xmlns:pic="http://schemas.openxmlformats.org/drawingml/2006/picture">
            <wp:extent cx="6217920" cy="3657600"/>
            <wp:docPr id="29" name="Picture 29" descr="Actual Commercial Card and Small Business fee revenue compared with Full Recursive OOT forecasts with and without overlay, October 2023 to December 2025. Monthly amounts in thousands of dollars."/>
            <wp:cNvGraphicFramePr>
              <a:graphicFrameLocks noChangeAspect="1"/>
            </wp:cNvGraphicFramePr>
            <a:graphic>
              <a:graphicData uri="http://schemas.openxmlformats.org/drawingml/2006/picture">
                <pic:pic>
                  <pic:nvPicPr>
                    <pic:cNvPr id="0" name="Commercial_OOT_With_Without_Overlay_doc.png"/>
                    <pic:cNvPicPr/>
                  </pic:nvPicPr>
                  <pic:blipFill>
                    <a:blip r:embed="rId44"/>
                    <a:stretch>
                      <a:fillRect/>
                    </a:stretch>
                  </pic:blipFill>
                  <pic:spPr>
                    <a:xfrm>
                      <a:off x="0" y="0"/>
                      <a:ext cx="6217920" cy="3657600"/>
                    </a:xfrm>
                    <a:prstGeom prst="rect"/>
                  </pic:spPr>
                </pic:pic>
              </a:graphicData>
            </a:graphic>
          </wp:inline>
        </w:drawing>
      </w:r>
    </w:p>
    <w:p>
      <w:pPr>
        <w:keepNext/>
        <w:keepLines/>
        <w:pageBreakBefore w:val="0"/>
        <w:spacing w:after="140"/>
      </w:pPr>
      <w:r>
        <w:rPr>
          <w:rFonts w:ascii="Times New Roman" w:hAnsi="Times New Roman" w:eastAsia="Noto Sans CJK SC"/>
          <w:color w:val="000000"/>
          <w:sz w:val="22"/>
          <w:lang w:val="en-US" w:eastAsia="zh-CN"/>
        </w:rPr>
        <w:t>Figure 6.4A shows actual fee revenue and Full Recursive OOT forecasts with and without the overlay. Both forecasts use the same model coefficients, macroeconomic inputs and starting history. In this comparison, the overlay lowers forecasts and brings them closer to actual revenue. The paths begin to differ in October 2024 because the adjusted error-correction term enters the model with a 12-month lag.</w:t>
      </w:r>
    </w:p>
    <w:p>
      <w:pPr>
        <w:keepNext w:val="0"/>
        <w:keepLines/>
        <w:pageBreakBefore w:val="0"/>
        <w:spacing w:after="140" w:line="230" w:lineRule="exact"/>
      </w:pPr>
      <w:r>
        <w:rPr>
          <w:rFonts w:ascii="Times New Roman" w:hAnsi="Times New Roman" w:eastAsia="Noto Sans CJK SC"/>
          <w:color w:val="000000"/>
          <w:sz w:val="17"/>
          <w:lang w:val="en-US" w:eastAsia="zh-CN"/>
        </w:rPr>
        <w:t>Data source: commercial/​fully_​recursive_​oot_​overlay_​comparison.csv, rows 2-28, columns 1-4. Row 1 contains column headers. Fee amounts are in $000.</w:t>
      </w:r>
    </w:p>
    <w:p>
      <w:pPr>
        <w:keepNext/>
        <w:keepLines/>
        <w:pageBreakBefore/>
        <w:spacing w:after="140"/>
      </w:pPr>
      <w:r>
        <w:rPr>
          <w:rFonts w:ascii="Times New Roman" w:hAnsi="Times New Roman" w:eastAsia="Noto Sans CJK SC"/>
          <w:color w:val="000000"/>
          <w:sz w:val="22"/>
          <w:lang w:val="en-US" w:eastAsia="zh-CN"/>
        </w:rPr>
        <w:t>The signed-error plot shows the timing and magnitude of forecast deviations for both Commercial OOT methods. Values above the zero line indicate forecasts above actual fees, while the distance from zero measures the relative error.</w:t>
      </w:r>
    </w:p>
    <w:p>
      <w:pPr>
        <w:pStyle w:val="Caption"/>
        <w:keepNext/>
        <w:pageBreakBefore w:val="0"/>
        <w:spacing w:after="140"/>
      </w:pPr>
      <w:r>
        <w:rPr>
          <w:rFonts w:ascii="Times New Roman" w:hAnsi="Times New Roman" w:eastAsia="Noto Sans CJK SC"/>
          <w:color w:val="000000"/>
          <w:sz w:val="21"/>
          <w:lang w:val="en-US" w:eastAsia="zh-CN"/>
        </w:rPr>
        <w:t>Figure 6.5 Commercial Card and Small Business OOT Prediction Errors</w:t>
      </w:r>
    </w:p>
    <w:p>
      <w:pPr>
        <w:keepNext/>
        <w:pageBreakBefore w:val="0"/>
        <w:spacing w:after="140"/>
      </w:pPr>
      <w:r>
        <w:drawing>
          <wp:inline xmlns:a="http://schemas.openxmlformats.org/drawingml/2006/main" xmlns:pic="http://schemas.openxmlformats.org/drawingml/2006/picture">
            <wp:extent cx="6172200" cy="2727251"/>
            <wp:docPr id="17" name="Picture 17"/>
            <wp:cNvGraphicFramePr>
              <a:graphicFrameLocks noChangeAspect="1"/>
            </wp:cNvGraphicFramePr>
            <a:graphic>
              <a:graphicData uri="http://schemas.openxmlformats.org/drawingml/2006/picture">
                <pic:pic>
                  <pic:nvPicPr>
                    <pic:cNvPr id="0" name="commercial_errors.png"/>
                    <pic:cNvPicPr/>
                  </pic:nvPicPr>
                  <pic:blipFill>
                    <a:blip r:embed="rId38"/>
                    <a:stretch>
                      <a:fillRect/>
                    </a:stretch>
                  </pic:blipFill>
                  <pic:spPr>
                    <a:xfrm>
                      <a:off x="0" y="0"/>
                      <a:ext cx="6172200" cy="2727251"/>
                    </a:xfrm>
                    <a:prstGeom prst="rect"/>
                  </pic:spPr>
                </pic:pic>
              </a:graphicData>
            </a:graphic>
          </wp:inline>
        </w:drawing>
      </w:r>
    </w:p>
    <w:p>
      <w:pPr>
        <w:keepNext w:val="0"/>
        <w:pageBreakBefore w:val="0"/>
        <w:spacing w:after="140" w:line="230" w:lineRule="exact"/>
      </w:pPr>
      <w:r>
        <w:rPr>
          <w:rFonts w:ascii="Times New Roman" w:hAnsi="Times New Roman" w:eastAsia="Noto Sans CJK SC"/>
          <w:color w:val="000000"/>
          <w:sz w:val="17"/>
          <w:lang w:val="en-US" w:eastAsia="zh-CN"/>
        </w:rPr>
        <w:t>Data sources: commercial/​static_​oot.csv; commercial/​fully_​recursive_​oot.csv. Signed percentage error = 100 × (predicted fee /​ actual fee − 1).</w:t>
      </w:r>
    </w:p>
    <w:p>
      <w:pPr>
        <w:pStyle w:val="Heading3"/>
        <w:keepNext/>
        <w:pageBreakBefore w:val="0"/>
        <w:spacing w:after="140"/>
      </w:pPr>
      <w:r>
        <w:rPr>
          <w:rFonts w:ascii="Times New Roman" w:hAnsi="Times New Roman" w:eastAsia="Noto Sans CJK SC"/>
          <w:color w:val="000000"/>
          <w:sz w:val="22"/>
          <w:lang w:val="en-US" w:eastAsia="zh-CN"/>
        </w:rPr>
        <w:t>6.1.8 Root Cause Assessment</w:t>
      </w:r>
    </w:p>
    <w:p>
      <w:pPr>
        <w:keepNext w:val="0"/>
        <w:pageBreakBefore w:val="0"/>
        <w:spacing w:after="140"/>
      </w:pPr>
      <w:r>
        <w:rPr>
          <w:rFonts w:ascii="Times New Roman" w:hAnsi="Times New Roman" w:eastAsia="Noto Sans CJK SC"/>
          <w:color w:val="000000"/>
          <w:sz w:val="22"/>
          <w:lang w:val="en-US" w:eastAsia="zh-CN"/>
        </w:rPr>
        <w:t>Root-cause review evaluates forecast deviations alongside fee history, model inputs, lagged states and relevant business developments. Review considers pricing, customer mix, product and service changes, and the timing of economic drivers. Static and recursive results help identify how forecast-state updates affect the observed error pattern.</w:t>
      </w:r>
    </w:p>
    <w:p>
      <w:pPr>
        <w:widowControl/>
      </w:pPr>
      <w:r>
        <w:rPr>
          <w:rFonts w:ascii="Times New Roman" w:hAnsi="Times New Roman" w:eastAsia="Noto Sans CJK SC"/>
          <w:color w:val="000000"/>
          <w:sz w:val="22"/>
          <w:lang w:val="en-US" w:eastAsia="zh-CN"/>
        </w:rPr>
        <w:t>Commercial's EC trend summarizes the persistent difference between observed fees and the long-run reference during the calibration period. The implemented overlay incorporates that pattern into the adjusted EC state used by the short-run model. The business rationale and approval record for the overlay will be documented through the governance process.</w:t>
      </w:r>
    </w:p>
    <w:p>
      <w:pPr>
        <w:pStyle w:val="Heading3"/>
        <w:keepNext/>
        <w:pageBreakBefore w:val="0"/>
        <w:spacing w:after="140"/>
      </w:pPr>
      <w:r>
        <w:rPr>
          <w:rFonts w:ascii="Times New Roman" w:hAnsi="Times New Roman" w:eastAsia="Noto Sans CJK SC"/>
          <w:color w:val="000000"/>
          <w:sz w:val="22"/>
          <w:lang w:val="en-US" w:eastAsia="zh-CN"/>
        </w:rPr>
        <w:t>6.1.9 Overlay Support Analysis</w:t>
      </w:r>
    </w:p>
    <w:p>
      <w:pPr>
        <w:widowControl/>
      </w:pPr>
      <w:r>
        <w:rPr>
          <w:rFonts w:ascii="Times New Roman" w:hAnsi="Times New Roman" w:eastAsia="Noto Sans CJK SC"/>
          <w:color w:val="000000"/>
          <w:sz w:val="22"/>
          <w:lang w:val="en-US" w:eastAsia="zh-CN"/>
        </w:rPr>
        <w:t xml:space="preserve">The Commercial OOT trend has 27 observations, R-squared 0.7315 </w:t>
      </w:r>
      <w:r>
        <w:rPr>
          <w:rFonts w:ascii="Times New Roman" w:hAnsi="Times New Roman" w:eastAsia="Noto Sans CJK SC"/>
          <w:color w:val="000000"/>
          <w:sz w:val="17"/>
          <w:lang w:val="en-US" w:eastAsia="zh-CN"/>
        </w:rPr>
        <w:t>[commercial/​overlay_​trend.csv/​row 2 col 4]</w:t>
      </w:r>
      <w:r>
        <w:rPr>
          <w:rFonts w:ascii="Times New Roman" w:hAnsi="Times New Roman" w:eastAsia="Noto Sans CJK SC"/>
          <w:color w:val="000000"/>
          <w:sz w:val="22"/>
          <w:lang w:val="en-US" w:eastAsia="zh-CN"/>
        </w:rPr>
        <w:t xml:space="preserve"> and slope p approximately 1.32×10⁻⁸ </w:t>
      </w:r>
      <w:r>
        <w:rPr>
          <w:rFonts w:ascii="Times New Roman" w:hAnsi="Times New Roman" w:eastAsia="Noto Sans CJK SC"/>
          <w:color w:val="000000"/>
          <w:sz w:val="17"/>
          <w:lang w:val="en-US" w:eastAsia="zh-CN"/>
        </w:rPr>
        <w:t>[commercial/​overlay_​trend.csv/​row 2 col 3]</w:t>
      </w:r>
      <w:r>
        <w:rPr>
          <w:rFonts w:ascii="Times New Roman" w:hAnsi="Times New Roman" w:eastAsia="Noto Sans CJK SC"/>
          <w:color w:val="000000"/>
          <w:sz w:val="22"/>
          <w:lang w:val="en-US" w:eastAsia="zh-CN"/>
        </w:rPr>
        <w:t>. Its held value is -30.1428 on the scaled EC percentage scale. Because the adjustment is subtracted before a lagged EC term enters the short-run equation, its effect is not equivalent to multiplying every forecast by a fixed revenue factor.</w:t>
      </w:r>
    </w:p>
    <w:p>
      <w:pPr>
        <w:keepNext/>
        <w:keepLines/>
        <w:pageBreakBefore w:val="0"/>
        <w:spacing w:after="140"/>
      </w:pPr>
      <w:r>
        <w:rPr>
          <w:rFonts w:ascii="Times New Roman" w:hAnsi="Times New Roman" w:eastAsia="Noto Sans CJK SC"/>
          <w:color w:val="000000"/>
          <w:sz w:val="22"/>
          <w:lang w:val="en-US" w:eastAsia="zh-CN"/>
        </w:rPr>
        <w:t>The observed scaled EC series and fitted trend both move downward during the calibration period. The horizontal extension shows the terminal trend value held constant as the future EC adjustment.</w:t>
      </w:r>
    </w:p>
    <w:p>
      <w:pPr>
        <w:pStyle w:val="Caption"/>
        <w:keepNext/>
        <w:pageBreakBefore w:val="0"/>
        <w:spacing w:after="140"/>
      </w:pPr>
      <w:r>
        <w:rPr>
          <w:rFonts w:ascii="Times New Roman" w:hAnsi="Times New Roman" w:eastAsia="Noto Sans CJK SC"/>
          <w:color w:val="000000"/>
          <w:sz w:val="21"/>
          <w:lang w:val="en-US" w:eastAsia="zh-CN"/>
        </w:rPr>
        <w:t>Figure 6.6 Commercial Overlay Calibration</w:t>
      </w:r>
    </w:p>
    <w:p>
      <w:pPr>
        <w:keepNext/>
        <w:jc w:val="center"/>
      </w:pPr>
      <w:r>
        <w:drawing>
          <wp:inline xmlns:a="http://schemas.openxmlformats.org/drawingml/2006/main" xmlns:pic="http://schemas.openxmlformats.org/drawingml/2006/picture">
            <wp:extent cx="6080760" cy="2366517"/>
            <wp:docPr id="19" name="Picture 19" descr="Figure 6.15 Commercial overlay calibration and future treatment"/>
            <wp:cNvGraphicFramePr>
              <a:graphicFrameLocks noChangeAspect="1"/>
            </wp:cNvGraphicFramePr>
            <a:graphic>
              <a:graphicData uri="http://schemas.openxmlformats.org/drawingml/2006/picture">
                <pic:pic>
                  <pic:nvPicPr>
                    <pic:cNvPr id="0" name="overlay_path.png"/>
                    <pic:cNvPicPr/>
                  </pic:nvPicPr>
                  <pic:blipFill>
                    <a:blip r:embed="rId29"/>
                    <a:stretch>
                      <a:fillRect/>
                    </a:stretch>
                  </pic:blipFill>
                  <pic:spPr>
                    <a:xfrm>
                      <a:off x="0" y="0"/>
                      <a:ext cx="6080760" cy="2366517"/>
                    </a:xfrm>
                    <a:prstGeom prst="rect"/>
                  </pic:spPr>
                </pic:pic>
              </a:graphicData>
            </a:graphic>
          </wp:inline>
        </w:drawing>
      </w:r>
    </w:p>
    <w:p>
      <w:pPr>
        <w:keepNext w:val="0"/>
        <w:pageBreakBefore w:val="0"/>
        <w:spacing w:after="140" w:line="230" w:lineRule="exact"/>
      </w:pPr>
      <w:r>
        <w:rPr>
          <w:rFonts w:ascii="Times New Roman" w:hAnsi="Times New Roman" w:eastAsia="Noto Sans CJK SC"/>
          <w:color w:val="000000"/>
          <w:sz w:val="17"/>
          <w:lang w:val="en-US" w:eastAsia="zh-CN"/>
          <w:lang w:val="en-US" w:eastAsia="zh-CN"/>
        </w:rPr>
        <w:t>Data sources: commercial/​historical_​data_​and_​features.csv; commercial/​forecast_​monthly.csv.</w:t>
      </w:r>
    </w:p>
    <w:p>
      <w:pPr>
        <w:keepNext/>
        <w:keepLines/>
        <w:pageBreakBefore w:val="0"/>
        <w:spacing w:after="140"/>
      </w:pPr>
      <w:r>
        <w:rPr>
          <w:rFonts w:ascii="Times New Roman" w:hAnsi="Times New Roman" w:eastAsia="Noto Sans CJK SC"/>
          <w:color w:val="000000"/>
          <w:sz w:val="22"/>
          <w:lang w:val="en-US" w:eastAsia="zh-CN"/>
        </w:rPr>
        <w:t>The parameter table records the calibration window, fitted trend and held future EC adjustment. These values define the adjustment applied within the error-correction calculation rather than a direct revenue multiplier.</w:t>
      </w:r>
    </w:p>
    <w:p>
      <w:pPr>
        <w:pStyle w:val="Caption"/>
        <w:keepNext/>
        <w:pageBreakBefore w:val="0"/>
        <w:spacing w:after="140"/>
      </w:pPr>
      <w:r>
        <w:rPr>
          <w:rFonts w:ascii="Times New Roman" w:hAnsi="Times New Roman" w:eastAsia="Noto Sans CJK SC"/>
          <w:color w:val="000000"/>
          <w:sz w:val="21"/>
          <w:lang w:val="en-US" w:eastAsia="zh-CN"/>
        </w:rPr>
        <w:t>Table 6.6 Commercial Overlay Parameters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752"/>
        <w:gridCol w:w="5184"/>
      </w:tblGrid>
      <w:tr>
        <w:trPr>
          <w:cantSplit/>
          <w:tblHeader/>
        </w:trPr>
        <w:tc>
          <w:tcPr>
            <w:tcW w:type="dxa" w:w="4752"/>
            <w:vAlign w:val="center"/>
            <w:tcMar>
              <w:top w:w="90" w:type="dxa"/>
              <w:bottom w:w="90" w:type="dxa"/>
              <w:left w:w="90" w:type="dxa"/>
              <w:right w:w="90" w:type="dxa"/>
            </w:tcMar>
            <w:shd w:fill="E7E6E6"/>
          </w:tcPr>
          <w:p>
            <w:pPr>
              <w:spacing w:after="40" w:line="240" w:lineRule="exact"/>
            </w:pPr>
            <w:r>
              <w:rPr>
                <w:rFonts w:ascii="Times New Roman" w:hAnsi="Times New Roman" w:eastAsia="Noto Sans CJK SC"/>
                <w:b/>
                <w:color w:val="000000"/>
                <w:sz w:val="19"/>
                <w:lang w:val="en-US" w:eastAsia="zh-CN"/>
              </w:rPr>
              <w:t>Item</w:t>
            </w:r>
          </w:p>
        </w:tc>
        <w:tc>
          <w:tcPr>
            <w:tcW w:type="dxa" w:w="5184"/>
            <w:vAlign w:val="center"/>
            <w:tcMar>
              <w:top w:w="90" w:type="dxa"/>
              <w:bottom w:w="90" w:type="dxa"/>
              <w:left w:w="90" w:type="dxa"/>
              <w:right w:w="90" w:type="dxa"/>
            </w:tcMar>
            <w:shd w:fill="E7E6E6"/>
          </w:tcPr>
          <w:p>
            <w:pPr>
              <w:spacing w:after="40" w:line="240" w:lineRule="exact"/>
            </w:pPr>
            <w:r>
              <w:rPr>
                <w:rFonts w:ascii="Times New Roman" w:hAnsi="Times New Roman" w:eastAsia="Noto Sans CJK SC"/>
                <w:b/>
                <w:color w:val="000000"/>
                <w:sz w:val="19"/>
                <w:lang w:val="en-US" w:eastAsia="zh-CN"/>
              </w:rPr>
              <w:t>Value</w:t>
            </w:r>
          </w:p>
        </w:tc>
      </w:tr>
      <w:tr>
        <w:trPr>
          <w:cantSplit/>
        </w:trPr>
        <w:tc>
          <w:tcPr>
            <w:tcW w:type="dxa" w:w="4752"/>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Calibration period</w:t>
            </w:r>
          </w:p>
        </w:tc>
        <w:tc>
          <w:tcPr>
            <w:tcW w:type="dxa" w:w="5184"/>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Oct 2023–Dec 2025</w:t>
            </w:r>
          </w:p>
        </w:tc>
      </w:tr>
      <w:tr>
        <w:trPr>
          <w:cantSplit/>
        </w:trPr>
        <w:tc>
          <w:tcPr>
            <w:tcW w:type="dxa" w:w="4752"/>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Intercept</w:t>
            </w:r>
          </w:p>
        </w:tc>
        <w:tc>
          <w:tcPr>
            <w:tcW w:type="dxa" w:w="5184"/>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-5.592975</w:t>
            </w:r>
          </w:p>
        </w:tc>
      </w:tr>
      <w:tr>
        <w:trPr>
          <w:cantSplit/>
        </w:trPr>
        <w:tc>
          <w:tcPr>
            <w:tcW w:type="dxa" w:w="4752"/>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Slope per month</w:t>
            </w:r>
          </w:p>
        </w:tc>
        <w:tc>
          <w:tcPr>
            <w:tcW w:type="dxa" w:w="5184"/>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-0.909254 percentage points</w:t>
            </w:r>
          </w:p>
        </w:tc>
      </w:tr>
      <w:tr>
        <w:trPr>
          <w:cantSplit/>
        </w:trPr>
        <w:tc>
          <w:tcPr>
            <w:tcW w:type="dxa" w:w="4752"/>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Held future state adjustment</w:t>
            </w:r>
          </w:p>
        </w:tc>
        <w:tc>
          <w:tcPr>
            <w:tcW w:type="dxa" w:w="5184"/>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-30.142832 percentage points</w:t>
            </w:r>
          </w:p>
        </w:tc>
      </w:tr>
      <w:tr>
        <w:trPr>
          <w:cantSplit/>
        </w:trPr>
        <w:tc>
          <w:tcPr>
            <w:tcW w:type="dxa" w:w="4752"/>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Future treatment</w:t>
            </w:r>
          </w:p>
        </w:tc>
        <w:tc>
          <w:tcPr>
            <w:tcW w:type="dxa" w:w="5184"/>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Constant; no continued linear extrapolation</w:t>
            </w:r>
          </w:p>
        </w:tc>
      </w:tr>
    </w:tbl>
    <w:p>
      <w:pPr>
        <w:keepNext w:val="0"/>
        <w:pageBreakBefore w:val="0"/>
        <w:spacing w:after="140" w:line="230" w:lineRule="exact"/>
      </w:pPr>
      <w:r>
        <w:rPr>
          <w:rFonts w:ascii="Times New Roman" w:hAnsi="Times New Roman" w:eastAsia="Noto Sans CJK SC"/>
          <w:color w:val="000000"/>
          <w:sz w:val="17"/>
          <w:lang w:val="en-US" w:eastAsia="zh-CN"/>
          <w:lang w:val="en-US" w:eastAsia="zh-CN"/>
        </w:rPr>
        <w:t>Data sources: commercial/​overlay_​trend.csv; commercial/​commercial_​card_​model.py.</w:t>
      </w:r>
    </w:p>
    <w:p>
      <w:pPr>
        <w:pStyle w:val="Heading3"/>
        <w:keepNext/>
        <w:pageBreakBefore w:val="0"/>
        <w:spacing w:after="140"/>
      </w:pPr>
      <w:r>
        <w:rPr>
          <w:rFonts w:ascii="Times New Roman" w:hAnsi="Times New Roman" w:eastAsia="Noto Sans CJK SC"/>
          <w:color w:val="000000"/>
          <w:sz w:val="22"/>
          <w:lang w:val="en-US" w:eastAsia="zh-CN"/>
        </w:rPr>
        <w:t>6.1.10 Scenario Testing and Reasonableness Assessment</w:t>
      </w:r>
    </w:p>
    <w:p>
      <w:pPr>
        <w:keepNext w:val="0"/>
        <w:pageBreakBefore w:val="0"/>
        <w:spacing w:after="140"/>
      </w:pPr>
      <w:r>
        <w:rPr>
          <w:rFonts w:ascii="Times New Roman" w:hAnsi="Times New Roman" w:eastAsia="Noto Sans CJK SC"/>
          <w:color w:val="000000"/>
          <w:sz w:val="22"/>
          <w:lang w:val="en-US" w:eastAsia="zh-CN"/>
        </w:rPr>
        <w:t>Scenario testing evaluates forecast direction, magnitude and persistence through March 2028. Baseline and S4 runs share the same historical fee anchor, transformations and model structure. Monthly forecast revenue is also aggregated into calendar quarters for planning review.</w:t>
      </w:r>
    </w:p>
    <w:p>
      <w:pPr>
        <w:keepNext w:val="0"/>
        <w:pageBreakBefore w:val="0"/>
        <w:spacing w:after="140"/>
      </w:pPr>
      <w:r>
        <w:rPr>
          <w:rFonts w:ascii="Times New Roman" w:hAnsi="Times New Roman" w:eastAsia="Noto Sans CJK SC"/>
          <w:color w:val="000000"/>
          <w:sz w:val="22"/>
          <w:lang w:val="en-US" w:eastAsia="zh-CN"/>
        </w:rPr>
        <w:t>Commercial scenarios vary CPI and Corporate Profits while retaining development coefficients and the held EC trend adjustment. The long-run reference, growth transformations and future fee and EC states are recalculated along each scenario path.</w:t>
      </w:r>
    </w:p>
    <w:p>
      <w:pPr>
        <w:keepNext/>
        <w:keepLines/>
        <w:pageBreakBefore w:val="0"/>
        <w:spacing w:after="140"/>
      </w:pPr>
      <w:r>
        <w:rPr>
          <w:rFonts w:ascii="Times New Roman" w:hAnsi="Times New Roman" w:eastAsia="Noto Sans CJK SC"/>
          <w:color w:val="000000"/>
          <w:sz w:val="22"/>
          <w:lang w:val="en-US" w:eastAsia="zh-CN"/>
        </w:rPr>
        <w:t>The input panels compare the CPI and Corporate Profits paths supplied to the Commercial scenario runs. S4 shows weaker Corporate Profits and a lower CPI level later in the horizon, which enter the short-run growth and long-run reference mechanisms respectively.</w:t>
      </w:r>
    </w:p>
    <w:p>
      <w:pPr>
        <w:pStyle w:val="Caption"/>
        <w:keepNext/>
        <w:pageBreakBefore w:val="0"/>
        <w:spacing w:after="140"/>
      </w:pPr>
      <w:r>
        <w:rPr>
          <w:rFonts w:ascii="Times New Roman" w:hAnsi="Times New Roman" w:eastAsia="Noto Sans CJK SC"/>
          <w:color w:val="000000"/>
          <w:sz w:val="21"/>
          <w:lang w:val="en-US" w:eastAsia="zh-CN"/>
        </w:rPr>
        <w:t>Figure 6.7 Commercial Card and Small Business Scenario Inputs</w:t>
      </w:r>
    </w:p>
    <w:p>
      <w:pPr>
        <w:keepNext/>
        <w:pageBreakBefore w:val="0"/>
        <w:spacing w:after="140"/>
      </w:pPr>
      <w:r>
        <w:drawing>
          <wp:inline xmlns:a="http://schemas.openxmlformats.org/drawingml/2006/main" xmlns:pic="http://schemas.openxmlformats.org/drawingml/2006/picture">
            <wp:extent cx="6172200" cy="4593265"/>
            <wp:docPr id="20" name="Picture 20"/>
            <wp:cNvGraphicFramePr>
              <a:graphicFrameLocks noChangeAspect="1"/>
            </wp:cNvGraphicFramePr>
            <a:graphic>
              <a:graphicData uri="http://schemas.openxmlformats.org/drawingml/2006/picture">
                <pic:pic>
                  <pic:nvPicPr>
                    <pic:cNvPr id="0" name="commercial_scenario_inputs.png"/>
                    <pic:cNvPicPr/>
                  </pic:nvPicPr>
                  <pic:blipFill>
                    <a:blip r:embed="rId39"/>
                    <a:stretch>
                      <a:fillRect/>
                    </a:stretch>
                  </pic:blipFill>
                  <pic:spPr>
                    <a:xfrm>
                      <a:off x="0" y="0"/>
                      <a:ext cx="6172200" cy="4593265"/>
                    </a:xfrm>
                    <a:prstGeom prst="rect"/>
                  </pic:spPr>
                </pic:pic>
              </a:graphicData>
            </a:graphic>
          </wp:inline>
        </w:drawing>
      </w:r>
    </w:p>
    <w:p>
      <w:pPr>
        <w:keepNext w:val="0"/>
        <w:pageBreakBefore w:val="0"/>
        <w:spacing w:after="140" w:line="230" w:lineRule="exact"/>
      </w:pPr>
      <w:r>
        <w:rPr>
          <w:rFonts w:ascii="Times New Roman" w:hAnsi="Times New Roman" w:eastAsia="Noto Sans CJK SC"/>
          <w:color w:val="000000"/>
          <w:sz w:val="17"/>
          <w:lang w:val="en-US" w:eastAsia="zh-CN"/>
          <w:lang w:val="en-US" w:eastAsia="zh-CN"/>
        </w:rPr>
        <w:t>Data sources: commercial/​data/​macro_​baseline.csv; commercial/​data/​macro_​s4.csv. Original source units.</w:t>
      </w:r>
    </w:p>
    <w:p>
      <w:pPr>
        <w:keepNext/>
        <w:keepLines/>
        <w:pageBreakBefore w:val="0"/>
        <w:spacing w:after="140"/>
      </w:pPr>
      <w:r>
        <w:rPr>
          <w:rFonts w:ascii="Times New Roman" w:hAnsi="Times New Roman" w:eastAsia="Noto Sans CJK SC"/>
          <w:color w:val="000000"/>
          <w:sz w:val="22"/>
          <w:lang w:val="en-US" w:eastAsia="zh-CN"/>
        </w:rPr>
        <w:t>The Commercial scenario paths begin close together and separate as the macroeconomic differences pass through the model’s lagged dynamics. S4 revenue remains below Baseline later in the projection, with some recovery toward the end.</w:t>
      </w:r>
    </w:p>
    <w:p>
      <w:pPr>
        <w:pStyle w:val="Caption"/>
        <w:keepNext/>
        <w:pageBreakBefore w:val="0"/>
        <w:spacing w:after="140"/>
      </w:pPr>
      <w:r>
        <w:rPr>
          <w:rFonts w:ascii="Times New Roman" w:hAnsi="Times New Roman" w:eastAsia="Noto Sans CJK SC"/>
          <w:color w:val="000000"/>
          <w:sz w:val="21"/>
          <w:lang w:val="en-US" w:eastAsia="zh-CN"/>
        </w:rPr>
        <w:t>Figure 6.8 Commercial Card and Small Business Baseline and S4 Forecast Paths</w:t>
      </w:r>
    </w:p>
    <w:p>
      <w:pPr>
        <w:keepNext/>
        <w:widowControl/>
        <w:jc w:val="center"/>
      </w:pPr>
      <w:r>
        <w:drawing>
          <wp:inline xmlns:a="http://schemas.openxmlformats.org/drawingml/2006/main" xmlns:pic="http://schemas.openxmlformats.org/drawingml/2006/picture">
            <wp:extent cx="6080760" cy="2368296"/>
            <wp:docPr id="21" name="Picture 21" descr="Figure 6.7 Commercial Baseline and S4 paths"/>
            <wp:cNvGraphicFramePr>
              <a:graphicFrameLocks noChangeAspect="1"/>
            </wp:cNvGraphicFramePr>
            <a:graphic>
              <a:graphicData uri="http://schemas.openxmlformats.org/drawingml/2006/picture">
                <pic:pic>
                  <pic:nvPicPr>
                    <pic:cNvPr id="0" name="commercial_forecast_monthly.png"/>
                    <pic:cNvPicPr/>
                  </pic:nvPicPr>
                  <pic:blipFill>
                    <a:blip r:embed="rId31"/>
                    <a:stretch>
                      <a:fillRect/>
                    </a:stretch>
                  </pic:blipFill>
                  <pic:spPr>
                    <a:xfrm>
                      <a:off x="0" y="0"/>
                      <a:ext cx="6080760" cy="2368296"/>
                    </a:xfrm>
                    <a:prstGeom prst="rect"/>
                  </pic:spPr>
                </pic:pic>
              </a:graphicData>
            </a:graphic>
          </wp:inline>
        </w:drawing>
      </w:r>
    </w:p>
    <w:p>
      <w:pPr>
        <w:keepNext w:val="0"/>
        <w:pageBreakBefore w:val="0"/>
        <w:spacing w:after="140" w:line="230" w:lineRule="exact"/>
      </w:pPr>
      <w:r>
        <w:rPr>
          <w:rFonts w:ascii="Times New Roman" w:hAnsi="Times New Roman" w:eastAsia="Noto Sans CJK SC"/>
          <w:color w:val="000000"/>
          <w:sz w:val="17"/>
          <w:lang w:val="en-US" w:eastAsia="zh-CN"/>
          <w:lang w:val="en-US" w:eastAsia="zh-CN"/>
        </w:rPr>
        <w:t>Data sources: commercial/​forecast_​monthly.csv. Fee revenue in $000.</w:t>
      </w:r>
    </w:p>
    <w:p>
      <w:pPr>
        <w:keepNext/>
        <w:keepLines/>
        <w:pageBreakBefore w:val="0"/>
        <w:spacing w:after="140"/>
      </w:pPr>
      <w:r>
        <w:rPr>
          <w:rFonts w:ascii="Times New Roman" w:hAnsi="Times New Roman" w:eastAsia="Noto Sans CJK SC"/>
          <w:color w:val="000000"/>
          <w:sz w:val="22"/>
          <w:lang w:val="en-US" w:eastAsia="zh-CN"/>
        </w:rPr>
        <w:t>The totals translate the monthly Commercial scenario paths into planning-period revenue comparisons. The larger relative shortfall over the full horizon than in the first year reflects the later separation of the scenario paths.</w:t>
      </w:r>
    </w:p>
    <w:p>
      <w:pPr>
        <w:pStyle w:val="Caption"/>
        <w:keepNext/>
        <w:pageBreakBefore w:val="0"/>
        <w:spacing w:after="140"/>
      </w:pPr>
      <w:r>
        <w:rPr>
          <w:rFonts w:ascii="Times New Roman" w:hAnsi="Times New Roman" w:eastAsia="Noto Sans CJK SC"/>
          <w:color w:val="000000"/>
          <w:sz w:val="21"/>
          <w:lang w:val="en-US" w:eastAsia="zh-CN"/>
        </w:rPr>
        <w:t>Table 6.7 Commercial Card and Small Business Scenario Revenue Totals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38"/>
        <w:gridCol w:w="2333"/>
        <w:gridCol w:w="2333"/>
        <w:gridCol w:w="2333"/>
      </w:tblGrid>
      <w:tr>
        <w:trPr>
          <w:cantSplit/>
          <w:tblHeader/>
        </w:trPr>
        <w:tc>
          <w:tcPr>
            <w:tcW w:type="dxa" w:w="2938"/>
            <w:vAlign w:val="center"/>
            <w:tcMar>
              <w:top w:w="90" w:type="dxa"/>
              <w:bottom w:w="90" w:type="dxa"/>
              <w:left w:w="90" w:type="dxa"/>
              <w:right w:w="90" w:type="dxa"/>
            </w:tcMar>
            <w:shd w:fill="E7E6E6"/>
          </w:tcPr>
          <w:p>
            <w:pPr>
              <w:spacing w:after="40" w:line="240" w:lineRule="exact"/>
            </w:pPr>
            <w:r>
              <w:rPr>
                <w:rFonts w:ascii="Times New Roman" w:hAnsi="Times New Roman" w:eastAsia="Noto Sans CJK SC"/>
                <w:b/>
                <w:color w:val="000000"/>
                <w:sz w:val="19"/>
                <w:lang w:val="en-US" w:eastAsia="zh-CN"/>
              </w:rPr>
              <w:t>Period</w:t>
            </w:r>
          </w:p>
        </w:tc>
        <w:tc>
          <w:tcPr>
            <w:tcW w:type="dxa" w:w="2333"/>
            <w:vAlign w:val="center"/>
            <w:tcMar>
              <w:top w:w="90" w:type="dxa"/>
              <w:bottom w:w="90" w:type="dxa"/>
              <w:left w:w="90" w:type="dxa"/>
              <w:right w:w="90" w:type="dxa"/>
            </w:tcMar>
            <w:shd w:fill="E7E6E6"/>
          </w:tcPr>
          <w:p>
            <w:pPr>
              <w:spacing w:after="40" w:line="240" w:lineRule="exact"/>
            </w:pPr>
            <w:r>
              <w:rPr>
                <w:rFonts w:ascii="Times New Roman" w:hAnsi="Times New Roman" w:eastAsia="Noto Sans CJK SC"/>
                <w:b/>
                <w:color w:val="000000"/>
                <w:sz w:val="19"/>
                <w:lang w:val="en-US" w:eastAsia="zh-CN"/>
              </w:rPr>
              <w:t>Baseline ($000)</w:t>
            </w:r>
          </w:p>
        </w:tc>
        <w:tc>
          <w:tcPr>
            <w:tcW w:type="dxa" w:w="2333"/>
            <w:vAlign w:val="center"/>
            <w:tcMar>
              <w:top w:w="90" w:type="dxa"/>
              <w:bottom w:w="90" w:type="dxa"/>
              <w:left w:w="90" w:type="dxa"/>
              <w:right w:w="90" w:type="dxa"/>
            </w:tcMar>
            <w:shd w:fill="E7E6E6"/>
          </w:tcPr>
          <w:p>
            <w:pPr>
              <w:spacing w:after="40" w:line="240" w:lineRule="exact"/>
            </w:pPr>
            <w:r>
              <w:rPr>
                <w:rFonts w:ascii="Times New Roman" w:hAnsi="Times New Roman" w:eastAsia="Noto Sans CJK SC"/>
                <w:b/>
                <w:color w:val="000000"/>
                <w:sz w:val="19"/>
                <w:lang w:val="en-US" w:eastAsia="zh-CN"/>
              </w:rPr>
              <w:t>S4 ($000)</w:t>
            </w:r>
          </w:p>
        </w:tc>
        <w:tc>
          <w:tcPr>
            <w:tcW w:type="dxa" w:w="2333"/>
            <w:vAlign w:val="center"/>
            <w:tcMar>
              <w:top w:w="90" w:type="dxa"/>
              <w:bottom w:w="90" w:type="dxa"/>
              <w:left w:w="90" w:type="dxa"/>
              <w:right w:w="90" w:type="dxa"/>
            </w:tcMar>
            <w:shd w:fill="E7E6E6"/>
          </w:tcPr>
          <w:p>
            <w:pPr>
              <w:spacing w:after="40" w:line="240" w:lineRule="exact"/>
            </w:pPr>
            <w:r>
              <w:rPr>
                <w:rFonts w:ascii="Times New Roman" w:hAnsi="Times New Roman" w:eastAsia="Noto Sans CJK SC"/>
                <w:b/>
                <w:color w:val="000000"/>
                <w:sz w:val="19"/>
                <w:lang w:val="en-US" w:eastAsia="zh-CN"/>
              </w:rPr>
              <w:t>S4 vs Base</w:t>
            </w:r>
          </w:p>
        </w:tc>
      </w:tr>
      <w:tr>
        <w:trPr>
          <w:cantSplit/>
        </w:trPr>
        <w:tc>
          <w:tcPr>
            <w:tcW w:type="dxa" w:w="2938"/>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2026 total</w:t>
            </w:r>
          </w:p>
        </w:tc>
        <w:tc>
          <w:tcPr>
            <w:tcW w:type="dxa" w:w="2333"/>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28,288.73</w:t>
            </w:r>
          </w:p>
        </w:tc>
        <w:tc>
          <w:tcPr>
            <w:tcW w:type="dxa" w:w="2333"/>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27,128.81</w:t>
            </w:r>
          </w:p>
        </w:tc>
        <w:tc>
          <w:tcPr>
            <w:tcW w:type="dxa" w:w="2333"/>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-4.10%</w:t>
            </w:r>
          </w:p>
        </w:tc>
      </w:tr>
      <w:tr>
        <w:trPr>
          <w:cantSplit/>
        </w:trPr>
        <w:tc>
          <w:tcPr>
            <w:tcW w:type="dxa" w:w="2938"/>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9-quarter total</w:t>
            </w:r>
          </w:p>
        </w:tc>
        <w:tc>
          <w:tcPr>
            <w:tcW w:type="dxa" w:w="2333"/>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65,923.13</w:t>
            </w:r>
          </w:p>
        </w:tc>
        <w:tc>
          <w:tcPr>
            <w:tcW w:type="dxa" w:w="2333"/>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56,499.62</w:t>
            </w:r>
          </w:p>
        </w:tc>
        <w:tc>
          <w:tcPr>
            <w:tcW w:type="dxa" w:w="2333"/>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-14.29%</w:t>
            </w:r>
          </w:p>
        </w:tc>
      </w:tr>
    </w:tbl>
    <w:p>
      <w:pPr>
        <w:keepNext w:val="0"/>
        <w:pageBreakBefore w:val="0"/>
        <w:spacing w:after="140" w:line="230" w:lineRule="exact"/>
      </w:pPr>
      <w:r>
        <w:rPr>
          <w:rFonts w:ascii="Times New Roman" w:hAnsi="Times New Roman" w:eastAsia="Noto Sans CJK SC"/>
          <w:color w:val="000000"/>
          <w:sz w:val="17"/>
          <w:lang w:val="en-US" w:eastAsia="zh-CN"/>
          <w:lang w:val="en-US" w:eastAsia="zh-CN"/>
        </w:rPr>
        <w:t>Data sources: commercial/​forecast_​quarterly_​summary.csv.</w:t>
      </w:r>
    </w:p>
    <w:p>
      <w:pPr>
        <w:pStyle w:val="Heading3"/>
        <w:keepNext/>
        <w:pageBreakBefore w:val="0"/>
        <w:spacing w:after="140"/>
      </w:pPr>
      <w:r>
        <w:rPr>
          <w:rFonts w:ascii="Times New Roman" w:hAnsi="Times New Roman" w:eastAsia="Noto Sans CJK SC"/>
          <w:color w:val="000000"/>
          <w:sz w:val="22"/>
          <w:lang w:val="en-US" w:eastAsia="zh-CN"/>
        </w:rPr>
        <w:t>6.1.11 Model Development Progression</w:t>
      </w:r>
    </w:p>
    <w:p>
      <w:pPr>
        <w:keepNext w:val="0"/>
        <w:pageBreakBefore w:val="0"/>
        <w:spacing w:after="140"/>
      </w:pPr>
      <w:r>
        <w:rPr>
          <w:rFonts w:ascii="Times New Roman" w:hAnsi="Times New Roman" w:eastAsia="Noto Sans CJK SC"/>
          <w:color w:val="000000"/>
          <w:sz w:val="22"/>
          <w:lang w:val="en-US" w:eastAsia="zh-CN"/>
        </w:rPr>
        <w:t>The Commercial short-run model was developed in stages. Adjusted EC was retained throughout to connect short-run fee growth with the CPI-based long-run model. The first selected specification included fee growth from one month earlier. A six-month lag of fee growth was then added. Finally, Corporate Profits growth from two months earlier was included to capture broader business conditions. These steps produced the final short-run model.</w:t>
      </w:r>
    </w:p>
    <w:p>
      <w:pPr>
        <w:pStyle w:val="Caption"/>
        <w:keepNext/>
        <w:pageBreakBefore w:val="0"/>
        <w:spacing w:after="140"/>
      </w:pPr>
      <w:r>
        <w:rPr>
          <w:rFonts w:ascii="Times New Roman" w:hAnsi="Times New Roman" w:eastAsia="Noto Sans CJK SC"/>
          <w:color w:val="000000"/>
          <w:sz w:val="21"/>
          <w:lang w:val="en-US" w:eastAsia="zh-CN"/>
        </w:rPr>
        <w:t>Table 6.8 Commercial Short-Run Model Development Progression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5400"/>
        <w:gridCol w:w="2736"/>
      </w:tblGrid>
      <w:tr>
        <w:trPr>
          <w:cantSplit/>
          <w:tblHeader/>
        </w:trPr>
        <w:tc>
          <w:tcPr>
            <w:tcW w:type="dxa" w:w="1800"/>
            <w:vAlign w:val="center"/>
            <w:tcMar>
              <w:top w:w="90" w:type="dxa"/>
              <w:bottom w:w="90" w:type="dxa"/>
              <w:left w:w="90" w:type="dxa"/>
              <w:right w:w="90" w:type="dxa"/>
            </w:tcMar>
            <w:shd w:fill="E7E6E6"/>
          </w:tcPr>
          <w:p>
            <w:pPr>
              <w:keepNext/>
              <w:keepLines w:val="0"/>
              <w:spacing w:after="40" w:line="240" w:lineRule="exact"/>
              <w:jc w:val="left"/>
            </w:pPr>
            <w:r>
              <w:rPr>
                <w:rFonts w:ascii="Times New Roman" w:hAnsi="Times New Roman" w:eastAsia="Noto Sans CJK SC"/>
                <w:b/>
                <w:color w:val="000000"/>
                <w:sz w:val="20"/>
                <w:lang w:val="en-US" w:eastAsia="zh-CN"/>
              </w:rPr>
              <w:t>Model Stage</w:t>
            </w:r>
          </w:p>
        </w:tc>
        <w:tc>
          <w:tcPr>
            <w:tcW w:type="dxa" w:w="5400"/>
            <w:vAlign w:val="center"/>
            <w:tcMar>
              <w:top w:w="90" w:type="dxa"/>
              <w:bottom w:w="90" w:type="dxa"/>
              <w:left w:w="90" w:type="dxa"/>
              <w:right w:w="90" w:type="dxa"/>
            </w:tcMar>
            <w:shd w:fill="E7E6E6"/>
          </w:tcPr>
          <w:p>
            <w:pPr>
              <w:keepNext/>
              <w:keepLines w:val="0"/>
              <w:spacing w:after="40" w:line="240" w:lineRule="exact"/>
              <w:jc w:val="left"/>
            </w:pPr>
            <w:r>
              <w:rPr>
                <w:rFonts w:ascii="Times New Roman" w:hAnsi="Times New Roman" w:eastAsia="Noto Sans CJK SC"/>
                <w:b/>
                <w:color w:val="000000"/>
                <w:sz w:val="20"/>
                <w:lang w:val="en-US" w:eastAsia="zh-CN"/>
              </w:rPr>
              <w:t>Variables Included</w:t>
            </w:r>
          </w:p>
        </w:tc>
        <w:tc>
          <w:tcPr>
            <w:tcW w:type="dxa" w:w="2736"/>
            <w:vAlign w:val="center"/>
            <w:tcMar>
              <w:top w:w="90" w:type="dxa"/>
              <w:bottom w:w="90" w:type="dxa"/>
              <w:left w:w="90" w:type="dxa"/>
              <w:right w:w="90" w:type="dxa"/>
            </w:tcMar>
            <w:shd w:fill="E7E6E6"/>
          </w:tcPr>
          <w:p>
            <w:pPr>
              <w:keepNext/>
              <w:keepLines w:val="0"/>
              <w:spacing w:after="40" w:line="240" w:lineRule="exact"/>
              <w:jc w:val="center"/>
            </w:pPr>
            <w:r>
              <w:rPr>
                <w:rFonts w:ascii="Times New Roman" w:hAnsi="Times New Roman" w:eastAsia="Noto Sans CJK SC"/>
                <w:b/>
                <w:color w:val="000000"/>
                <w:sz w:val="20"/>
                <w:lang w:val="en-US" w:eastAsia="zh-CN"/>
              </w:rPr>
              <w:t>Adjusted R²</w:t>
            </w:r>
          </w:p>
        </w:tc>
      </w:tr>
      <w:tr>
        <w:trPr>
          <w:cantSplit/>
        </w:trPr>
        <w:tc>
          <w:tcPr>
            <w:tcW w:type="dxa" w:w="1800"/>
            <w:vAlign w:val="center"/>
            <w:tcMar>
              <w:top w:w="90" w:type="dxa"/>
              <w:bottom w:w="90" w:type="dxa"/>
              <w:left w:w="90" w:type="dxa"/>
              <w:right w:w="90" w:type="dxa"/>
            </w:tcMar>
          </w:tcPr>
          <w:p>
            <w:pPr>
              <w:keepNext/>
              <w:keepLines w:val="0"/>
              <w:spacing w:after="40" w:line="240" w:lineRule="exact"/>
              <w:jc w:val="left"/>
            </w:pPr>
            <w:r>
              <w:rPr>
                <w:rFonts w:ascii="Times New Roman" w:hAnsi="Times New Roman" w:eastAsia="Noto Sans CJK SC"/>
                <w:b w:val="0"/>
                <w:color w:val="000000"/>
                <w:sz w:val="20"/>
                <w:lang w:val="en-US" w:eastAsia="zh-CN"/>
              </w:rPr>
              <w:t>Initial Model</w:t>
            </w:r>
          </w:p>
        </w:tc>
        <w:tc>
          <w:tcPr>
            <w:tcW w:type="dxa" w:w="5400"/>
            <w:vAlign w:val="center"/>
            <w:tcMar>
              <w:top w:w="90" w:type="dxa"/>
              <w:bottom w:w="90" w:type="dxa"/>
              <w:left w:w="90" w:type="dxa"/>
              <w:right w:w="90" w:type="dxa"/>
            </w:tcMar>
          </w:tcPr>
          <w:p>
            <w:pPr>
              <w:keepNext/>
              <w:keepLines w:val="0"/>
              <w:spacing w:after="40" w:line="240" w:lineRule="exact"/>
              <w:jc w:val="left"/>
            </w:pPr>
            <w:r>
              <w:rPr>
                <w:rFonts w:ascii="Times New Roman" w:hAnsi="Times New Roman" w:eastAsia="Noto Sans CJK SC"/>
                <w:b w:val="0"/>
                <w:color w:val="000000"/>
                <w:sz w:val="20"/>
                <w:lang w:val="en-US" w:eastAsia="zh-CN"/>
              </w:rPr>
              <w:t>Adjusted EC, lag 12 + fee YoY growth, lag 1</w:t>
            </w:r>
          </w:p>
        </w:tc>
        <w:tc>
          <w:tcPr>
            <w:tcW w:type="dxa" w:w="2736"/>
            <w:vAlign w:val="center"/>
            <w:tcMar>
              <w:top w:w="90" w:type="dxa"/>
              <w:bottom w:w="90" w:type="dxa"/>
              <w:left w:w="90" w:type="dxa"/>
              <w:right w:w="90" w:type="dxa"/>
            </w:tcMar>
          </w:tcPr>
          <w:p>
            <w:pPr>
              <w:keepNext/>
              <w:keepLines w:val="0"/>
              <w:spacing w:after="40" w:line="240" w:lineRule="exact"/>
              <w:jc w:val="center"/>
            </w:pPr>
            <w:r>
              <w:rPr>
                <w:rFonts w:ascii="Times New Roman" w:hAnsi="Times New Roman" w:eastAsia="Noto Sans CJK SC"/>
                <w:b w:val="0"/>
                <w:color w:val="000000"/>
                <w:sz w:val="20"/>
                <w:lang w:val="en-US" w:eastAsia="zh-CN"/>
              </w:rPr>
              <w:t>65.83% [commercial/​short_​run_​rounds.csv/​row 2 col 3]</w:t>
            </w:r>
          </w:p>
        </w:tc>
      </w:tr>
      <w:tr>
        <w:trPr>
          <w:cantSplit/>
        </w:trPr>
        <w:tc>
          <w:tcPr>
            <w:tcW w:type="dxa" w:w="1800"/>
            <w:vAlign w:val="center"/>
            <w:tcMar>
              <w:top w:w="90" w:type="dxa"/>
              <w:bottom w:w="90" w:type="dxa"/>
              <w:left w:w="90" w:type="dxa"/>
              <w:right w:w="90" w:type="dxa"/>
            </w:tcMar>
          </w:tcPr>
          <w:p>
            <w:pPr>
              <w:keepNext/>
              <w:keepLines w:val="0"/>
              <w:spacing w:after="40" w:line="240" w:lineRule="exact"/>
              <w:jc w:val="left"/>
            </w:pPr>
            <w:r>
              <w:rPr>
                <w:rFonts w:ascii="Times New Roman" w:hAnsi="Times New Roman" w:eastAsia="Noto Sans CJK SC"/>
                <w:b w:val="0"/>
                <w:color w:val="000000"/>
                <w:sz w:val="20"/>
                <w:lang w:val="en-US" w:eastAsia="zh-CN"/>
              </w:rPr>
              <w:t>Enhanced Model</w:t>
            </w:r>
          </w:p>
        </w:tc>
        <w:tc>
          <w:tcPr>
            <w:tcW w:type="dxa" w:w="5400"/>
            <w:vAlign w:val="center"/>
            <w:tcMar>
              <w:top w:w="90" w:type="dxa"/>
              <w:bottom w:w="90" w:type="dxa"/>
              <w:left w:w="90" w:type="dxa"/>
              <w:right w:w="90" w:type="dxa"/>
            </w:tcMar>
          </w:tcPr>
          <w:p>
            <w:pPr>
              <w:keepNext/>
              <w:keepLines w:val="0"/>
              <w:spacing w:after="40" w:line="240" w:lineRule="exact"/>
              <w:jc w:val="left"/>
            </w:pPr>
            <w:r>
              <w:rPr>
                <w:rFonts w:ascii="Times New Roman" w:hAnsi="Times New Roman" w:eastAsia="Noto Sans CJK SC"/>
                <w:b w:val="0"/>
                <w:color w:val="000000"/>
                <w:sz w:val="20"/>
                <w:lang w:val="en-US" w:eastAsia="zh-CN"/>
              </w:rPr>
              <w:t>Adjusted EC, lag 12 + fee YoY growth, lags 1 and 6</w:t>
            </w:r>
          </w:p>
        </w:tc>
        <w:tc>
          <w:tcPr>
            <w:tcW w:type="dxa" w:w="2736"/>
            <w:vAlign w:val="center"/>
            <w:tcMar>
              <w:top w:w="90" w:type="dxa"/>
              <w:bottom w:w="90" w:type="dxa"/>
              <w:left w:w="90" w:type="dxa"/>
              <w:right w:w="90" w:type="dxa"/>
            </w:tcMar>
          </w:tcPr>
          <w:p>
            <w:pPr>
              <w:keepNext/>
              <w:keepLines w:val="0"/>
              <w:spacing w:after="40" w:line="240" w:lineRule="exact"/>
              <w:jc w:val="center"/>
            </w:pPr>
            <w:r>
              <w:rPr>
                <w:rFonts w:ascii="Times New Roman" w:hAnsi="Times New Roman" w:eastAsia="Noto Sans CJK SC"/>
                <w:b w:val="0"/>
                <w:color w:val="000000"/>
                <w:sz w:val="20"/>
                <w:lang w:val="en-US" w:eastAsia="zh-CN"/>
              </w:rPr>
              <w:t>69.44% [commercial/​short_​run_​rounds.csv/​row 3 col 3]</w:t>
            </w:r>
          </w:p>
        </w:tc>
      </w:tr>
      <w:tr>
        <w:trPr>
          <w:cantSplit/>
        </w:trPr>
        <w:tc>
          <w:tcPr>
            <w:tcW w:type="dxa" w:w="1800"/>
            <w:vAlign w:val="center"/>
            <w:tcMar>
              <w:top w:w="90" w:type="dxa"/>
              <w:bottom w:w="90" w:type="dxa"/>
              <w:left w:w="90" w:type="dxa"/>
              <w:right w:w="90" w:type="dxa"/>
            </w:tcMar>
          </w:tcPr>
          <w:p>
            <w:pPr>
              <w:keepNext/>
              <w:keepLines w:val="0"/>
              <w:spacing w:after="40" w:line="240" w:lineRule="exact"/>
              <w:jc w:val="left"/>
            </w:pPr>
            <w:r>
              <w:rPr>
                <w:rFonts w:ascii="Times New Roman" w:hAnsi="Times New Roman" w:eastAsia="Noto Sans CJK SC"/>
                <w:b w:val="0"/>
                <w:color w:val="000000"/>
                <w:sz w:val="20"/>
                <w:lang w:val="en-US" w:eastAsia="zh-CN"/>
              </w:rPr>
              <w:t>Final Model</w:t>
            </w:r>
          </w:p>
        </w:tc>
        <w:tc>
          <w:tcPr>
            <w:tcW w:type="dxa" w:w="5400"/>
            <w:vAlign w:val="center"/>
            <w:tcMar>
              <w:top w:w="90" w:type="dxa"/>
              <w:bottom w:w="90" w:type="dxa"/>
              <w:left w:w="90" w:type="dxa"/>
              <w:right w:w="90" w:type="dxa"/>
            </w:tcMar>
          </w:tcPr>
          <w:p>
            <w:pPr>
              <w:keepNext/>
              <w:keepLines w:val="0"/>
              <w:spacing w:after="40" w:line="240" w:lineRule="exact"/>
              <w:jc w:val="left"/>
            </w:pPr>
            <w:r>
              <w:rPr>
                <w:rFonts w:ascii="Times New Roman" w:hAnsi="Times New Roman" w:eastAsia="Noto Sans CJK SC"/>
                <w:b w:val="0"/>
                <w:color w:val="000000"/>
                <w:sz w:val="20"/>
                <w:lang w:val="en-US" w:eastAsia="zh-CN"/>
              </w:rPr>
              <w:t>Adjusted EC, lag 12 + fee YoY growth, lags 1 and 6 + Corporate Profits YoY growth, lag 2</w:t>
            </w:r>
          </w:p>
        </w:tc>
        <w:tc>
          <w:tcPr>
            <w:tcW w:type="dxa" w:w="2736"/>
            <w:vAlign w:val="center"/>
            <w:tcMar>
              <w:top w:w="90" w:type="dxa"/>
              <w:bottom w:w="90" w:type="dxa"/>
              <w:left w:w="90" w:type="dxa"/>
              <w:right w:w="90" w:type="dxa"/>
            </w:tcMar>
          </w:tcPr>
          <w:p>
            <w:pPr>
              <w:keepNext/>
              <w:keepLines w:val="0"/>
              <w:spacing w:after="40" w:line="240" w:lineRule="exact"/>
              <w:jc w:val="center"/>
            </w:pPr>
            <w:r>
              <w:rPr>
                <w:rFonts w:ascii="Times New Roman" w:hAnsi="Times New Roman" w:eastAsia="Noto Sans CJK SC"/>
                <w:b w:val="0"/>
                <w:color w:val="000000"/>
                <w:sz w:val="20"/>
                <w:lang w:val="en-US" w:eastAsia="zh-CN"/>
              </w:rPr>
              <w:t>73.57% [commercial/​short_​run_​rounds.csv/​row 4 col 3]</w:t>
            </w:r>
          </w:p>
        </w:tc>
      </w:tr>
    </w:tbl>
    <w:p>
      <w:pPr>
        <w:keepNext w:val="0"/>
        <w:keepLines/>
        <w:pageBreakBefore w:val="0"/>
        <w:spacing w:after="140" w:before="100"/>
      </w:pPr>
      <w:r>
        <w:rPr>
          <w:rFonts w:ascii="Times New Roman" w:hAnsi="Times New Roman" w:eastAsia="Noto Sans CJK SC"/>
          <w:color w:val="000000"/>
          <w:sz w:val="22"/>
          <w:lang w:val="en-US" w:eastAsia="zh-CN"/>
        </w:rPr>
        <w:t>Table 6.8 shows the selected specifications at each stage of Commercial short-run model development. It lists the variables retained and the adjusted R-squared reported for each specification. All specifications include an intercept. Sample sizes follow the lag requirements at each stage.</w:t>
      </w:r>
    </w:p>
    <w:p>
      <w:pPr>
        <w:keepNext w:val="0"/>
        <w:pageBreakBefore w:val="0"/>
        <w:spacing w:after="140" w:line="230" w:lineRule="exact"/>
      </w:pPr>
      <w:r>
        <w:rPr>
          <w:rFonts w:ascii="Times New Roman" w:hAnsi="Times New Roman" w:eastAsia="Noto Sans CJK SC"/>
          <w:color w:val="000000"/>
          <w:sz w:val="17"/>
          <w:lang w:val="en-US" w:eastAsia="zh-CN"/>
          <w:lang w:val="en-US" w:eastAsia="zh-CN"/>
        </w:rPr>
        <w:t>Data sources: commercial/​short_​run_​rounds.csv; commercial/​commercial_​card_​model.py.</w:t>
      </w:r>
    </w:p>
    <w:p>
      <w:pPr>
        <w:pStyle w:val="Heading3"/>
        <w:keepNext/>
        <w:pageBreakBefore w:val="0"/>
        <w:spacing w:after="140"/>
      </w:pPr>
      <w:r>
        <w:rPr>
          <w:rFonts w:ascii="Times New Roman" w:hAnsi="Times New Roman" w:eastAsia="Noto Sans CJK SC"/>
          <w:color w:val="000000"/>
          <w:sz w:val="22"/>
          <w:lang w:val="en-US" w:eastAsia="zh-CN"/>
        </w:rPr>
        <w:t>6.1.12 User Review and Acceptance</w:t>
      </w:r>
    </w:p>
    <w:p>
      <w:pPr>
        <w:widowControl/>
      </w:pPr>
      <w:r>
        <w:rPr>
          <w:rFonts w:ascii="Times New Roman" w:hAnsi="Times New Roman" w:eastAsia="Noto Sans CJK SC"/>
          <w:color w:val="000000"/>
          <w:sz w:val="22"/>
          <w:lang w:val="en-US" w:eastAsia="zh-CN"/>
        </w:rPr>
        <w:t>Model results, assumptions, forecast behavior, and testing outcomes were reviewed with Strategic Finance and relevant lines of business during model development. Review sessions focused on economic intuition, reasonableness of the selected drivers, forecast behavior under changing economic conditions, and consistency with observed business performance. Feedback from these reviews supported the conclusion that the model appropriately captures the primary drivers of Commercial Card and Small Business Fee Revenue and produces forecasts that are directionally consistent with business expectations.</w:t>
      </w:r>
    </w:p>
    <w:p>
      <w:pPr>
        <w:widowControl/>
      </w:pPr>
      <w:r>
        <w:rPr>
          <w:rFonts w:ascii="Times New Roman" w:hAnsi="Times New Roman" w:eastAsia="Noto Sans CJK SC"/>
          <w:color w:val="000000"/>
          <w:sz w:val="22"/>
          <w:lang w:val="en-US" w:eastAsia="zh-CN"/>
        </w:rPr>
        <w:t>Because the model has not yet been deployed into a production forecasting environment, final User Acceptance Testing (UAT) has not been completed. Prior to production implementation, final UAT will be performed to verify that the implemented model reproduces approved development results, correctly incorporates required inputs, generates expected outputs, and operates in accordance with documented procedures and governance requirements.</w:t>
      </w:r>
    </w:p>
    <w:p>
      <w:pPr>
        <w:pStyle w:val="Heading3"/>
        <w:keepNext/>
        <w:pageBreakBefore w:val="0"/>
        <w:spacing w:after="140"/>
      </w:pPr>
      <w:r>
        <w:rPr>
          <w:rFonts w:ascii="Times New Roman" w:hAnsi="Times New Roman" w:eastAsia="Noto Sans CJK SC"/>
          <w:color w:val="000000"/>
          <w:sz w:val="22"/>
          <w:lang w:val="en-US" w:eastAsia="zh-CN"/>
        </w:rPr>
        <w:t>6.1.13 Sensitivity Analysis</w:t>
      </w:r>
    </w:p>
    <w:p>
      <w:pPr>
        <w:widowControl/>
      </w:pPr>
      <w:r>
        <w:rPr>
          <w:rFonts w:ascii="Times New Roman" w:hAnsi="Times New Roman"/>
          <w:color w:val="000000"/>
        </w:rPr>
        <w:t>Commercial’s default sensitivity grid changes one driver at a time around Baseline. It calibrates sigma from in-sample YoY growth over January 2012–September 2023, using 141 observations and sample SD. CPI sigma is 2.17458 and Profits sigma is 10.45377 percentage points. The grid uses -2, -1, +1 and +2 sigma. CPI applies that scale as a relative level shift for all future months, whereas Corporate Profits adds it to YoY growth and reconstructs levels from historical or shocked year-ago anchors. These are different shock definitions and should not be described as the same percentage growth shock.</w:t>
      </w:r>
    </w:p>
    <w:p>
      <w:pPr>
        <w:widowControl/>
      </w:pPr>
      <w:r>
        <w:rPr>
          <w:rFonts w:ascii="Times New Roman" w:hAnsi="Times New Roman" w:eastAsia="Noto Sans CJK SC"/>
          <w:color w:val="000000"/>
          <w:sz w:val="22"/>
          <w:lang w:val="en-US" w:eastAsia="zh-CN"/>
        </w:rPr>
        <w:t>The Commercial sensitivity exercise holds coefficients, historical observations, other inputs and the overlay constant, allowing each driver’s effect to be isolated. Timing follows the selected lags: CPI first changes predicted fees in January 2027 through the 12-month EC lag, while Corporate Profits first affects March 2026 fees through its two-month lag. A zero CPI fee effect during 2026 therefore reflects delayed transmission, not the absence of a CPI relationship.</w:t>
      </w:r>
    </w:p>
    <w:p>
      <w:pPr>
        <w:pStyle w:val="Caption"/>
        <w:keepNext/>
        <w:pageBreakBefore w:val="0"/>
        <w:spacing w:after="140"/>
      </w:pPr>
      <w:r>
        <w:rPr>
          <w:rFonts w:ascii="Times New Roman" w:hAnsi="Times New Roman" w:eastAsia="Noto Sans CJK SC"/>
          <w:color w:val="000000"/>
          <w:sz w:val="21"/>
          <w:lang w:val="en-US" w:eastAsia="zh-CN"/>
        </w:rPr>
        <w:t>Table 6.9 Commercial One Driver Sensitivities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792"/>
        <w:gridCol w:w="1584"/>
        <w:gridCol w:w="1800"/>
        <w:gridCol w:w="1800"/>
        <w:gridCol w:w="1944"/>
      </w:tblGrid>
      <w:tr>
        <w:trPr>
          <w:cantSplit/>
          <w:tblHeader/>
        </w:trPr>
        <w:tc>
          <w:tcPr>
            <w:tcW w:type="dxa" w:w="2016"/>
            <w:vAlign w:val="center"/>
            <w:tcMar>
              <w:top w:w="90" w:type="dxa"/>
              <w:bottom w:w="90" w:type="dxa"/>
              <w:left w:w="90" w:type="dxa"/>
              <w:right w:w="90" w:type="dxa"/>
            </w:tcMar>
            <w:shd w:fill="E7E6E6"/>
          </w:tcPr>
          <w:p>
            <w:pPr>
              <w:spacing w:after="40" w:line="240" w:lineRule="exact"/>
            </w:pPr>
            <w:r>
              <w:rPr>
                <w:rFonts w:ascii="Times New Roman" w:hAnsi="Times New Roman" w:eastAsia="Noto Sans CJK SC"/>
                <w:b/>
                <w:color w:val="000000"/>
                <w:sz w:val="19"/>
                <w:lang w:val="en-US" w:eastAsia="zh-CN"/>
              </w:rPr>
              <w:t>Driver</w:t>
            </w:r>
          </w:p>
        </w:tc>
        <w:tc>
          <w:tcPr>
            <w:tcW w:type="dxa" w:w="792"/>
            <w:vAlign w:val="center"/>
            <w:tcMar>
              <w:top w:w="90" w:type="dxa"/>
              <w:bottom w:w="90" w:type="dxa"/>
              <w:left w:w="90" w:type="dxa"/>
              <w:right w:w="90" w:type="dxa"/>
            </w:tcMar>
            <w:shd w:fill="E7E6E6"/>
          </w:tcPr>
          <w:p>
            <w:pPr>
              <w:spacing w:after="40" w:line="240" w:lineRule="exact"/>
            </w:pPr>
            <w:r>
              <w:rPr>
                <w:rFonts w:ascii="Times New Roman" w:hAnsi="Times New Roman" w:eastAsia="Noto Sans CJK SC"/>
                <w:b/>
                <w:color w:val="000000"/>
                <w:sz w:val="19"/>
                <w:lang w:val="en-US" w:eastAsia="zh-CN"/>
              </w:rPr>
              <w:t>Sigma</w:t>
            </w:r>
          </w:p>
        </w:tc>
        <w:tc>
          <w:tcPr>
            <w:tcW w:type="dxa" w:w="1584"/>
            <w:vAlign w:val="center"/>
            <w:tcMar>
              <w:top w:w="90" w:type="dxa"/>
              <w:bottom w:w="90" w:type="dxa"/>
              <w:left w:w="90" w:type="dxa"/>
              <w:right w:w="90" w:type="dxa"/>
            </w:tcMar>
            <w:shd w:fill="E7E6E6"/>
          </w:tcPr>
          <w:p>
            <w:pPr>
              <w:spacing w:after="40" w:line="240" w:lineRule="exact"/>
            </w:pPr>
            <w:r>
              <w:rPr>
                <w:rFonts w:ascii="Times New Roman" w:hAnsi="Times New Roman" w:eastAsia="Noto Sans CJK SC"/>
                <w:b/>
                <w:color w:val="000000"/>
                <w:sz w:val="19"/>
                <w:lang w:val="en-US" w:eastAsia="zh-CN"/>
              </w:rPr>
              <w:t>Shock size</w:t>
            </w:r>
          </w:p>
        </w:tc>
        <w:tc>
          <w:tcPr>
            <w:tcW w:type="dxa" w:w="1800"/>
            <w:vAlign w:val="center"/>
            <w:tcMar>
              <w:top w:w="90" w:type="dxa"/>
              <w:bottom w:w="90" w:type="dxa"/>
              <w:left w:w="90" w:type="dxa"/>
              <w:right w:w="90" w:type="dxa"/>
            </w:tcMar>
            <w:shd w:fill="E7E6E6"/>
          </w:tcPr>
          <w:p>
            <w:pPr>
              <w:spacing w:after="40" w:line="240" w:lineRule="exact"/>
            </w:pPr>
            <w:r>
              <w:rPr>
                <w:rFonts w:ascii="Times New Roman" w:hAnsi="Times New Roman" w:eastAsia="Noto Sans CJK SC"/>
                <w:b/>
                <w:color w:val="000000"/>
                <w:sz w:val="19"/>
                <w:lang w:val="en-US" w:eastAsia="zh-CN"/>
              </w:rPr>
              <w:t>Year impact</w:t>
            </w:r>
          </w:p>
        </w:tc>
        <w:tc>
          <w:tcPr>
            <w:tcW w:type="dxa" w:w="1800"/>
            <w:vAlign w:val="center"/>
            <w:tcMar>
              <w:top w:w="90" w:type="dxa"/>
              <w:bottom w:w="90" w:type="dxa"/>
              <w:left w:w="90" w:type="dxa"/>
              <w:right w:w="90" w:type="dxa"/>
            </w:tcMar>
            <w:shd w:fill="E7E6E6"/>
          </w:tcPr>
          <w:p>
            <w:pPr>
              <w:spacing w:after="40" w:line="240" w:lineRule="exact"/>
            </w:pPr>
            <w:r>
              <w:rPr>
                <w:rFonts w:ascii="Times New Roman" w:hAnsi="Times New Roman" w:eastAsia="Noto Sans CJK SC"/>
                <w:b/>
                <w:color w:val="000000"/>
                <w:sz w:val="19"/>
                <w:lang w:val="en-US" w:eastAsia="zh-CN"/>
              </w:rPr>
              <w:t>Horizon impact</w:t>
            </w:r>
          </w:p>
        </w:tc>
        <w:tc>
          <w:tcPr>
            <w:tcW w:type="dxa" w:w="1944"/>
            <w:vAlign w:val="center"/>
            <w:tcMar>
              <w:top w:w="90" w:type="dxa"/>
              <w:bottom w:w="90" w:type="dxa"/>
              <w:left w:w="90" w:type="dxa"/>
              <w:right w:w="90" w:type="dxa"/>
            </w:tcMar>
            <w:shd w:fill="E7E6E6"/>
          </w:tcPr>
          <w:p>
            <w:pPr>
              <w:spacing w:after="40" w:line="240" w:lineRule="exact"/>
            </w:pPr>
            <w:r>
              <w:rPr>
                <w:rFonts w:ascii="Times New Roman" w:hAnsi="Times New Roman" w:eastAsia="Noto Sans CJK SC"/>
                <w:b/>
                <w:color w:val="000000"/>
                <w:sz w:val="19"/>
                <w:lang w:val="en-US" w:eastAsia="zh-CN"/>
              </w:rPr>
              <w:t>Terminal impact</w:t>
            </w:r>
          </w:p>
        </w:tc>
      </w:tr>
      <w:tr>
        <w:trPr>
          <w:cantSplit/>
        </w:trPr>
        <w:tc>
          <w:tcPr>
            <w:tcW w:type="dxa" w:w="2016"/>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CPI level</w:t>
            </w:r>
          </w:p>
        </w:tc>
        <w:tc>
          <w:tcPr>
            <w:tcW w:type="dxa" w:w="792"/>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-2</w:t>
            </w:r>
          </w:p>
        </w:tc>
        <w:tc>
          <w:tcPr>
            <w:tcW w:type="dxa" w:w="1584"/>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-4.35%</w:t>
            </w:r>
          </w:p>
        </w:tc>
        <w:tc>
          <w:tcPr>
            <w:tcW w:type="dxa" w:w="180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0.00%</w:t>
            </w:r>
          </w:p>
        </w:tc>
        <w:tc>
          <w:tcPr>
            <w:tcW w:type="dxa" w:w="180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-4.79%</w:t>
            </w:r>
          </w:p>
        </w:tc>
        <w:tc>
          <w:tcPr>
            <w:tcW w:type="dxa" w:w="1944"/>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-11.88%</w:t>
            </w:r>
          </w:p>
        </w:tc>
      </w:tr>
      <w:tr>
        <w:trPr>
          <w:cantSplit/>
        </w:trPr>
        <w:tc>
          <w:tcPr>
            <w:tcW w:type="dxa" w:w="2016"/>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CPI level</w:t>
            </w:r>
          </w:p>
        </w:tc>
        <w:tc>
          <w:tcPr>
            <w:tcW w:type="dxa" w:w="792"/>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-1</w:t>
            </w:r>
          </w:p>
        </w:tc>
        <w:tc>
          <w:tcPr>
            <w:tcW w:type="dxa" w:w="1584"/>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-2.17%</w:t>
            </w:r>
          </w:p>
        </w:tc>
        <w:tc>
          <w:tcPr>
            <w:tcW w:type="dxa" w:w="180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0.00%</w:t>
            </w:r>
          </w:p>
        </w:tc>
        <w:tc>
          <w:tcPr>
            <w:tcW w:type="dxa" w:w="180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-2.30%</w:t>
            </w:r>
          </w:p>
        </w:tc>
        <w:tc>
          <w:tcPr>
            <w:tcW w:type="dxa" w:w="1944"/>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-5.86%</w:t>
            </w:r>
          </w:p>
        </w:tc>
      </w:tr>
      <w:tr>
        <w:trPr>
          <w:cantSplit/>
        </w:trPr>
        <w:tc>
          <w:tcPr>
            <w:tcW w:type="dxa" w:w="2016"/>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CPI level</w:t>
            </w:r>
          </w:p>
        </w:tc>
        <w:tc>
          <w:tcPr>
            <w:tcW w:type="dxa" w:w="792"/>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+1</w:t>
            </w:r>
          </w:p>
        </w:tc>
        <w:tc>
          <w:tcPr>
            <w:tcW w:type="dxa" w:w="1584"/>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2.17%</w:t>
            </w:r>
          </w:p>
        </w:tc>
        <w:tc>
          <w:tcPr>
            <w:tcW w:type="dxa" w:w="180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0.00%</w:t>
            </w:r>
          </w:p>
        </w:tc>
        <w:tc>
          <w:tcPr>
            <w:tcW w:type="dxa" w:w="180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2.14%</w:t>
            </w:r>
          </w:p>
        </w:tc>
        <w:tc>
          <w:tcPr>
            <w:tcW w:type="dxa" w:w="1944"/>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5.70%</w:t>
            </w:r>
          </w:p>
        </w:tc>
      </w:tr>
      <w:tr>
        <w:trPr>
          <w:cantSplit/>
        </w:trPr>
        <w:tc>
          <w:tcPr>
            <w:tcW w:type="dxa" w:w="2016"/>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CPI level</w:t>
            </w:r>
          </w:p>
        </w:tc>
        <w:tc>
          <w:tcPr>
            <w:tcW w:type="dxa" w:w="792"/>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+2</w:t>
            </w:r>
          </w:p>
        </w:tc>
        <w:tc>
          <w:tcPr>
            <w:tcW w:type="dxa" w:w="1584"/>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4.35%</w:t>
            </w:r>
          </w:p>
        </w:tc>
        <w:tc>
          <w:tcPr>
            <w:tcW w:type="dxa" w:w="180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0.00%</w:t>
            </w:r>
          </w:p>
        </w:tc>
        <w:tc>
          <w:tcPr>
            <w:tcW w:type="dxa" w:w="180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4.12%</w:t>
            </w:r>
          </w:p>
        </w:tc>
        <w:tc>
          <w:tcPr>
            <w:tcW w:type="dxa" w:w="1944"/>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11.23%</w:t>
            </w:r>
          </w:p>
        </w:tc>
      </w:tr>
      <w:tr>
        <w:trPr>
          <w:cantSplit/>
        </w:trPr>
        <w:tc>
          <w:tcPr>
            <w:tcW w:type="dxa" w:w="2016"/>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Profits YoY</w:t>
            </w:r>
          </w:p>
        </w:tc>
        <w:tc>
          <w:tcPr>
            <w:tcW w:type="dxa" w:w="792"/>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-2</w:t>
            </w:r>
          </w:p>
        </w:tc>
        <w:tc>
          <w:tcPr>
            <w:tcW w:type="dxa" w:w="1584"/>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-20.91 pp</w:t>
            </w:r>
          </w:p>
        </w:tc>
        <w:tc>
          <w:tcPr>
            <w:tcW w:type="dxa" w:w="180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-10.20%</w:t>
            </w:r>
          </w:p>
        </w:tc>
        <w:tc>
          <w:tcPr>
            <w:tcW w:type="dxa" w:w="180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-15.54%</w:t>
            </w:r>
          </w:p>
        </w:tc>
        <w:tc>
          <w:tcPr>
            <w:tcW w:type="dxa" w:w="1944"/>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-21.50%</w:t>
            </w:r>
          </w:p>
        </w:tc>
      </w:tr>
      <w:tr>
        <w:trPr>
          <w:cantSplit/>
        </w:trPr>
        <w:tc>
          <w:tcPr>
            <w:tcW w:type="dxa" w:w="2016"/>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Profits YoY</w:t>
            </w:r>
          </w:p>
        </w:tc>
        <w:tc>
          <w:tcPr>
            <w:tcW w:type="dxa" w:w="792"/>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-1</w:t>
            </w:r>
          </w:p>
        </w:tc>
        <w:tc>
          <w:tcPr>
            <w:tcW w:type="dxa" w:w="1584"/>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-10.45 pp</w:t>
            </w:r>
          </w:p>
        </w:tc>
        <w:tc>
          <w:tcPr>
            <w:tcW w:type="dxa" w:w="180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-5.10%</w:t>
            </w:r>
          </w:p>
        </w:tc>
        <w:tc>
          <w:tcPr>
            <w:tcW w:type="dxa" w:w="180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-7.90%</w:t>
            </w:r>
          </w:p>
        </w:tc>
        <w:tc>
          <w:tcPr>
            <w:tcW w:type="dxa" w:w="1944"/>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-11.00%</w:t>
            </w:r>
          </w:p>
        </w:tc>
      </w:tr>
      <w:tr>
        <w:trPr>
          <w:cantSplit/>
        </w:trPr>
        <w:tc>
          <w:tcPr>
            <w:tcW w:type="dxa" w:w="2016"/>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Profits YoY</w:t>
            </w:r>
          </w:p>
        </w:tc>
        <w:tc>
          <w:tcPr>
            <w:tcW w:type="dxa" w:w="792"/>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+1</w:t>
            </w:r>
          </w:p>
        </w:tc>
        <w:tc>
          <w:tcPr>
            <w:tcW w:type="dxa" w:w="1584"/>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10.45 pp</w:t>
            </w:r>
          </w:p>
        </w:tc>
        <w:tc>
          <w:tcPr>
            <w:tcW w:type="dxa" w:w="180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5.10%</w:t>
            </w:r>
          </w:p>
        </w:tc>
        <w:tc>
          <w:tcPr>
            <w:tcW w:type="dxa" w:w="180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8.14%</w:t>
            </w:r>
          </w:p>
        </w:tc>
        <w:tc>
          <w:tcPr>
            <w:tcW w:type="dxa" w:w="1944"/>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11.42%</w:t>
            </w:r>
          </w:p>
        </w:tc>
      </w:tr>
      <w:tr>
        <w:trPr>
          <w:cantSplit/>
        </w:trPr>
        <w:tc>
          <w:tcPr>
            <w:tcW w:type="dxa" w:w="2016"/>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Profits YoY</w:t>
            </w:r>
          </w:p>
        </w:tc>
        <w:tc>
          <w:tcPr>
            <w:tcW w:type="dxa" w:w="792"/>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+2</w:t>
            </w:r>
          </w:p>
        </w:tc>
        <w:tc>
          <w:tcPr>
            <w:tcW w:type="dxa" w:w="1584"/>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20.91 pp</w:t>
            </w:r>
          </w:p>
        </w:tc>
        <w:tc>
          <w:tcPr>
            <w:tcW w:type="dxa" w:w="180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10.20%</w:t>
            </w:r>
          </w:p>
        </w:tc>
        <w:tc>
          <w:tcPr>
            <w:tcW w:type="dxa" w:w="180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16.53%</w:t>
            </w:r>
          </w:p>
        </w:tc>
        <w:tc>
          <w:tcPr>
            <w:tcW w:type="dxa" w:w="1944"/>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23.18%</w:t>
            </w:r>
          </w:p>
        </w:tc>
      </w:tr>
    </w:tbl>
    <w:p>
      <w:pPr>
        <w:keepNext w:val="0"/>
        <w:keepLines/>
        <w:pageBreakBefore w:val="0"/>
        <w:widowControl/>
        <w:spacing w:before="100"/>
      </w:pPr>
      <w:r>
        <w:rPr>
          <w:rFonts w:ascii="Times New Roman" w:hAnsi="Times New Roman" w:eastAsia="Noto Sans CJK SC"/>
          <w:color w:val="000000"/>
          <w:sz w:val="22"/>
          <w:lang w:val="en-US" w:eastAsia="zh-CN"/>
        </w:rPr>
        <w:t>Year impact measures the percentage change in total forecast revenue for 2026 compared with Baseline. Horizon impact measures the percentage change in total forecast revenue from January 2026 through March 2028. Terminal impact measures the percentage change in forecast revenue for March 2028 alone. All three measures compare the shocked forecast with Baseline over the same period.</w:t>
      </w:r>
    </w:p>
    <w:p>
      <w:pPr>
        <w:keepNext w:val="0"/>
        <w:pageBreakBefore w:val="0"/>
        <w:spacing w:after="140" w:line="230" w:lineRule="exact"/>
      </w:pPr>
      <w:r>
        <w:rPr>
          <w:rFonts w:ascii="Times New Roman" w:hAnsi="Times New Roman" w:eastAsia="Noto Sans CJK SC"/>
          <w:color w:val="000000"/>
          <w:sz w:val="17"/>
          <w:lang w:val="en-US" w:eastAsia="zh-CN"/>
          <w:lang w:val="en-US" w:eastAsia="zh-CN"/>
        </w:rPr>
        <w:t>Data sources: commercial/​stress_​summary.csv.</w:t>
      </w:r>
    </w:p>
    <w:p>
      <w:pPr>
        <w:keepNext/>
        <w:keepLines/>
        <w:pageBreakBefore w:val="0"/>
        <w:spacing w:after="140"/>
      </w:pPr>
      <w:r>
        <w:rPr>
          <w:rFonts w:ascii="Times New Roman" w:hAnsi="Times New Roman" w:eastAsia="Noto Sans CJK SC"/>
          <w:color w:val="000000"/>
          <w:sz w:val="22"/>
          <w:lang w:val="en-US" w:eastAsia="zh-CN"/>
        </w:rPr>
        <w:t>The bars summarize total-horizon revenue effects from the specified one-driver shocks. Positive shocks increase revenue and negative shocks reduce it; under these calibrated shock definitions, Corporate Profits produces larger total-horizon movements than CPI.</w:t>
      </w:r>
    </w:p>
    <w:p>
      <w:pPr>
        <w:pStyle w:val="Caption"/>
        <w:keepNext/>
        <w:pageBreakBefore w:val="0"/>
        <w:spacing w:after="140"/>
      </w:pPr>
      <w:r>
        <w:rPr>
          <w:rFonts w:ascii="Times New Roman" w:hAnsi="Times New Roman" w:eastAsia="Noto Sans CJK SC"/>
          <w:color w:val="000000"/>
          <w:sz w:val="21"/>
          <w:lang w:val="en-US" w:eastAsia="zh-CN"/>
        </w:rPr>
        <w:t>Figure 6.9 Commercial Sensitivity Impacts</w:t>
      </w:r>
    </w:p>
    <w:p>
      <w:pPr>
        <w:keepNext/>
        <w:widowControl/>
        <w:jc w:val="center"/>
      </w:pPr>
      <w:r>
        <w:drawing>
          <wp:inline xmlns:a="http://schemas.openxmlformats.org/drawingml/2006/main" xmlns:pic="http://schemas.openxmlformats.org/drawingml/2006/picture">
            <wp:extent cx="6080760" cy="2611257"/>
            <wp:docPr id="24" name="Picture 24" descr="Figure 6.10 Commercial sensitivity impacts"/>
            <wp:cNvGraphicFramePr>
              <a:graphicFrameLocks noChangeAspect="1"/>
            </wp:cNvGraphicFramePr>
            <a:graphic>
              <a:graphicData uri="http://schemas.openxmlformats.org/drawingml/2006/picture">
                <pic:pic>
                  <pic:nvPicPr>
                    <pic:cNvPr id="0" name="commercial_sensitivity.png"/>
                    <pic:cNvPicPr/>
                  </pic:nvPicPr>
                  <pic:blipFill>
                    <a:blip r:embed="rId34"/>
                    <a:stretch>
                      <a:fillRect/>
                    </a:stretch>
                  </pic:blipFill>
                  <pic:spPr>
                    <a:xfrm>
                      <a:off x="0" y="0"/>
                      <a:ext cx="6080760" cy="2611257"/>
                    </a:xfrm>
                    <a:prstGeom prst="rect"/>
                  </pic:spPr>
                </pic:pic>
              </a:graphicData>
            </a:graphic>
          </wp:inline>
        </w:drawing>
      </w:r>
    </w:p>
    <w:p>
      <w:pPr>
        <w:keepNext w:val="0"/>
        <w:pageBreakBefore w:val="0"/>
        <w:spacing w:after="140" w:line="230" w:lineRule="exact"/>
      </w:pPr>
      <w:r>
        <w:rPr>
          <w:rFonts w:ascii="Times New Roman" w:hAnsi="Times New Roman" w:eastAsia="Noto Sans CJK SC"/>
          <w:color w:val="000000"/>
          <w:sz w:val="17"/>
          <w:lang w:val="en-US" w:eastAsia="zh-CN"/>
          <w:lang w:val="en-US" w:eastAsia="zh-CN"/>
        </w:rPr>
        <w:t>Data sources: commercial/​stress_​summary.csv. Change in summed forecast-period revenue versus Baseline.</w:t>
      </w:r>
    </w:p>
    <w:p>
      <w:pPr>
        <w:pStyle w:val="Heading3"/>
        <w:keepNext/>
        <w:pageBreakBefore w:val="0"/>
        <w:spacing w:after="140"/>
      </w:pPr>
      <w:r>
        <w:rPr>
          <w:rFonts w:ascii="Times New Roman" w:hAnsi="Times New Roman" w:eastAsia="Noto Sans CJK SC"/>
          <w:color w:val="000000"/>
          <w:sz w:val="22"/>
          <w:lang w:val="en-US" w:eastAsia="zh-CN"/>
        </w:rPr>
        <w:t>6.1.14 Testing Conclusions</w:t>
      </w:r>
    </w:p>
    <w:p>
      <w:pPr>
        <w:keepNext w:val="0"/>
        <w:pageBreakBefore w:val="0"/>
        <w:spacing w:after="140"/>
      </w:pPr>
      <w:r>
        <w:rPr>
          <w:rFonts w:ascii="Times New Roman" w:hAnsi="Times New Roman" w:eastAsia="Noto Sans CJK SC"/>
          <w:color w:val="000000"/>
          <w:sz w:val="22"/>
          <w:lang w:val="en-US" w:eastAsia="zh-CN"/>
        </w:rPr>
        <w:t>The testing results support the selected Commercial Card and Small Business long-run and short-run framework. Coefficient inference, multicollinearity and residual diagnostics provide statistical support, while OOT, scenario and sensitivity exercises show how the equation behaves across evaluation conditions. The EC adjustment is documented as a distinct calibration component. Together, these results provide the basis for planning forecasts, stress testing and ongoing performance monitoring.</w:t>
      </w:r>
    </w:p>
    <w:p>
      <w:pPr>
        <w:pStyle w:val="Heading2"/>
        <w:keepNext/>
        <w:pageBreakBefore w:val="0"/>
        <w:spacing w:after="140"/>
      </w:pPr>
      <w:r>
        <w:rPr>
          <w:rFonts w:ascii="Times New Roman" w:hAnsi="Times New Roman" w:eastAsia="Noto Sans CJK SC"/>
          <w:color w:val="000000"/>
          <w:sz w:val="26"/>
          <w:lang w:val="en-US" w:eastAsia="zh-CN"/>
        </w:rPr>
        <w:t>6.2 Consumer Card Model Testing</w:t>
      </w:r>
    </w:p>
    <w:p>
      <w:pPr>
        <w:pStyle w:val="Heading3"/>
        <w:keepNext/>
        <w:pageBreakBefore w:val="0"/>
        <w:spacing w:after="140"/>
      </w:pPr>
      <w:r>
        <w:rPr>
          <w:rFonts w:ascii="Times New Roman" w:hAnsi="Times New Roman" w:eastAsia="Noto Sans CJK SC"/>
          <w:color w:val="000000"/>
          <w:sz w:val="22"/>
          <w:lang w:val="en-US" w:eastAsia="zh-CN"/>
        </w:rPr>
        <w:t>6.2.1 Testing Philosophy</w:t>
      </w:r>
    </w:p>
    <w:p>
      <w:pPr>
        <w:keepNext w:val="0"/>
        <w:pageBreakBefore w:val="0"/>
        <w:spacing w:after="140"/>
      </w:pPr>
      <w:r>
        <w:rPr>
          <w:rFonts w:ascii="Times New Roman" w:hAnsi="Times New Roman" w:eastAsia="Noto Sans CJK SC"/>
          <w:color w:val="000000"/>
          <w:sz w:val="22"/>
          <w:lang w:val="en-US" w:eastAsia="zh-CN"/>
        </w:rPr>
        <w:t>Model testing was designed to evaluate statistical validity, model stability, forecasting performance, economic reasonableness, and regulatory suitability. Testing was not limited to traditional goodness-of-fit measures. Instead, the framework emphasized whether the model remained interpretable, stable, and useful under changing business and economic conditions. All testing results were reviewed collectively because no individual metric is sufficient to determine model suitability.</w:t>
      </w:r>
    </w:p>
    <w:p>
      <w:pPr>
        <w:pStyle w:val="Heading3"/>
        <w:keepNext/>
        <w:pageBreakBefore w:val="0"/>
        <w:spacing w:after="140"/>
      </w:pPr>
      <w:r>
        <w:rPr>
          <w:rFonts w:ascii="Times New Roman" w:hAnsi="Times New Roman" w:eastAsia="Noto Sans CJK SC"/>
          <w:color w:val="000000"/>
          <w:sz w:val="22"/>
          <w:lang w:val="en-US" w:eastAsia="zh-CN"/>
        </w:rPr>
        <w:t>6.2.2 In Sample Performance Assessment</w:t>
      </w:r>
    </w:p>
    <w:p>
      <w:pPr>
        <w:keepNext w:val="0"/>
        <w:pageBreakBefore w:val="0"/>
        <w:spacing w:after="140"/>
      </w:pPr>
      <w:r>
        <w:rPr>
          <w:rFonts w:ascii="Times New Roman" w:hAnsi="Times New Roman" w:eastAsia="Noto Sans CJK SC"/>
          <w:color w:val="000000"/>
          <w:sz w:val="22"/>
          <w:lang w:val="en-US" w:eastAsia="zh-CN"/>
        </w:rPr>
        <w:t xml:space="preserve">The selected equation achieved an adjusted R-squared of 0.6114 </w:t>
      </w:r>
      <w:r>
        <w:rPr>
          <w:rFonts w:ascii="Times New Roman" w:hAnsi="Times New Roman" w:eastAsia="Noto Sans CJK SC"/>
          <w:color w:val="000000"/>
          <w:sz w:val="17"/>
          <w:lang w:val="en-US" w:eastAsia="zh-CN"/>
        </w:rPr>
        <w:t>[consumer/​model_​diagnostics.csv/​row 3 col 6]</w:t>
      </w:r>
      <w:r>
        <w:rPr>
          <w:rFonts w:ascii="Times New Roman" w:hAnsi="Times New Roman" w:eastAsia="Noto Sans CJK SC"/>
          <w:color w:val="000000"/>
          <w:sz w:val="22"/>
          <w:lang w:val="en-US" w:eastAsia="zh-CN"/>
        </w:rPr>
        <w:t>. In-sample assessment reviews both the transformed target and reconstructed fee-revenue levels. The fitted-versus-actual comparison shows how the estimated equation represents observed monthly behavior, while the fit statistics summarize explanatory power on the estimation scale.</w:t>
      </w:r>
    </w:p>
    <w:p>
      <w:pPr>
        <w:pStyle w:val="Caption"/>
        <w:keepNext/>
        <w:pageBreakBefore w:val="0"/>
        <w:spacing w:after="140"/>
      </w:pPr>
      <w:r>
        <w:rPr>
          <w:rFonts w:ascii="Times New Roman" w:hAnsi="Times New Roman" w:eastAsia="Noto Sans CJK SC"/>
          <w:color w:val="000000"/>
          <w:sz w:val="21"/>
          <w:lang w:val="en-US" w:eastAsia="zh-CN"/>
        </w:rPr>
        <w:t>Table 6.10 Consumer Card In Sample Performance Metrics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6480"/>
      </w:tblGrid>
      <w:tr>
        <w:trPr>
          <w:cantSplit/>
          <w:tblHeader/>
        </w:trPr>
        <w:tc>
          <w:tcPr>
            <w:tcW w:type="dxa" w:w="3456"/>
            <w:vAlign w:val="center"/>
            <w:tcMar>
              <w:top w:w="90" w:type="dxa"/>
              <w:bottom w:w="90" w:type="dxa"/>
              <w:left w:w="90" w:type="dxa"/>
              <w:right w:w="90" w:type="dxa"/>
            </w:tcMar>
            <w:shd w:fill="E7E6E6"/>
          </w:tcPr>
          <w:p>
            <w:pPr>
              <w:spacing w:after="40" w:line="240" w:lineRule="exact"/>
            </w:pPr>
            <w:r>
              <w:rPr>
                <w:rFonts w:ascii="Times New Roman" w:hAnsi="Times New Roman" w:eastAsia="Noto Sans CJK SC"/>
                <w:b/>
                <w:color w:val="000000"/>
                <w:sz w:val="19"/>
                <w:lang w:val="en-US" w:eastAsia="zh-CN"/>
              </w:rPr>
              <w:t>Metric</w:t>
            </w:r>
          </w:p>
        </w:tc>
        <w:tc>
          <w:tcPr>
            <w:tcW w:type="dxa" w:w="6480"/>
            <w:vAlign w:val="center"/>
            <w:tcMar>
              <w:top w:w="90" w:type="dxa"/>
              <w:bottom w:w="90" w:type="dxa"/>
              <w:left w:w="90" w:type="dxa"/>
              <w:right w:w="90" w:type="dxa"/>
            </w:tcMar>
            <w:shd w:fill="E7E6E6"/>
          </w:tcPr>
          <w:p>
            <w:pPr>
              <w:spacing w:after="40" w:line="240" w:lineRule="exact"/>
            </w:pPr>
            <w:r>
              <w:rPr>
                <w:rFonts w:ascii="Times New Roman" w:hAnsi="Times New Roman" w:eastAsia="Noto Sans CJK SC"/>
                <w:b/>
                <w:color w:val="000000"/>
                <w:sz w:val="19"/>
                <w:lang w:val="en-US" w:eastAsia="zh-CN"/>
              </w:rPr>
              <w:t>Value</w:t>
            </w:r>
          </w:p>
        </w:tc>
      </w:tr>
      <w:tr>
        <w:trPr>
          <w:cantSplit/>
        </w:trPr>
        <w:tc>
          <w:tcPr>
            <w:tcW w:type="dxa" w:w="3456"/>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Number of observations</w:t>
            </w:r>
          </w:p>
        </w:tc>
        <w:tc>
          <w:tcPr>
            <w:tcW w:type="dxa" w:w="648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 xml:space="preserve">150 </w:t>
            </w:r>
            <w:r>
              <w:rPr>
                <w:rFonts w:ascii="Times New Roman" w:hAnsi="Times New Roman" w:eastAsia="Noto Sans CJK SC"/>
                <w:color w:val="000000"/>
                <w:sz w:val="17"/>
                <w:lang w:val="en-US" w:eastAsia="zh-CN"/>
              </w:rPr>
              <w:t>[consumer/​model_​diagnostics.csv/​row 3 col 2]</w:t>
            </w:r>
          </w:p>
        </w:tc>
      </w:tr>
      <w:tr>
        <w:trPr>
          <w:cantSplit/>
        </w:trPr>
        <w:tc>
          <w:tcPr>
            <w:tcW w:type="dxa" w:w="3456"/>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R-squared</w:t>
            </w:r>
          </w:p>
        </w:tc>
        <w:tc>
          <w:tcPr>
            <w:tcW w:type="dxa" w:w="648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 xml:space="preserve">0.6244 </w:t>
            </w:r>
            <w:r>
              <w:rPr>
                <w:rFonts w:ascii="Times New Roman" w:hAnsi="Times New Roman" w:eastAsia="Noto Sans CJK SC"/>
                <w:color w:val="000000"/>
                <w:sz w:val="17"/>
                <w:lang w:val="en-US" w:eastAsia="zh-CN"/>
              </w:rPr>
              <w:t>[consumer/​model_​diagnostics.csv/​row 3 col 5]</w:t>
            </w:r>
          </w:p>
        </w:tc>
      </w:tr>
      <w:tr>
        <w:trPr>
          <w:cantSplit/>
        </w:trPr>
        <w:tc>
          <w:tcPr>
            <w:tcW w:type="dxa" w:w="3456"/>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Adjusted R-squared</w:t>
            </w:r>
          </w:p>
        </w:tc>
        <w:tc>
          <w:tcPr>
            <w:tcW w:type="dxa" w:w="648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 xml:space="preserve">0.6114 </w:t>
            </w:r>
            <w:r>
              <w:rPr>
                <w:rFonts w:ascii="Times New Roman" w:hAnsi="Times New Roman" w:eastAsia="Noto Sans CJK SC"/>
                <w:color w:val="000000"/>
                <w:sz w:val="17"/>
                <w:lang w:val="en-US" w:eastAsia="zh-CN"/>
              </w:rPr>
              <w:t>[consumer/​model_​diagnostics.csv/​row 3 col 6]</w:t>
            </w:r>
          </w:p>
        </w:tc>
      </w:tr>
      <w:tr>
        <w:trPr>
          <w:cantSplit/>
        </w:trPr>
        <w:tc>
          <w:tcPr>
            <w:tcW w:type="dxa" w:w="3456"/>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Fee-level RMSE ($000)</w:t>
            </w:r>
          </w:p>
        </w:tc>
        <w:tc>
          <w:tcPr>
            <w:tcW w:type="dxa" w:w="648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 xml:space="preserve">55.77 </w:t>
            </w:r>
            <w:r>
              <w:rPr>
                <w:rFonts w:ascii="Times New Roman" w:hAnsi="Times New Roman" w:eastAsia="Noto Sans CJK SC"/>
                <w:color w:val="000000"/>
                <w:sz w:val="17"/>
                <w:lang w:val="en-US" w:eastAsia="zh-CN"/>
              </w:rPr>
              <w:t>[consumer/​forecast_​accuracy.csv/​row 2 col 4]</w:t>
            </w:r>
          </w:p>
        </w:tc>
      </w:tr>
      <w:tr>
        <w:trPr>
          <w:cantSplit/>
        </w:trPr>
        <w:tc>
          <w:tcPr>
            <w:tcW w:type="dxa" w:w="3456"/>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Fee-level MAPE (%)</w:t>
            </w:r>
          </w:p>
        </w:tc>
        <w:tc>
          <w:tcPr>
            <w:tcW w:type="dxa" w:w="648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 xml:space="preserve">6.66 </w:t>
            </w:r>
            <w:r>
              <w:rPr>
                <w:rFonts w:ascii="Times New Roman" w:hAnsi="Times New Roman" w:eastAsia="Noto Sans CJK SC"/>
                <w:color w:val="000000"/>
                <w:sz w:val="17"/>
                <w:lang w:val="en-US" w:eastAsia="zh-CN"/>
              </w:rPr>
              <w:t>[consumer/​forecast_​accuracy.csv/​row 2 col 3]</w:t>
            </w:r>
          </w:p>
        </w:tc>
      </w:tr>
    </w:tbl>
    <w:p>
      <w:pPr>
        <w:keepNext w:val="0"/>
        <w:pageBreakBefore w:val="0"/>
        <w:spacing w:after="140" w:line="230" w:lineRule="exact"/>
      </w:pPr>
      <w:r>
        <w:rPr>
          <w:rFonts w:ascii="Times New Roman" w:hAnsi="Times New Roman" w:eastAsia="Noto Sans CJK SC"/>
          <w:color w:val="000000"/>
          <w:sz w:val="17"/>
          <w:lang w:val="en-US" w:eastAsia="zh-CN"/>
          <w:lang w:val="en-US" w:eastAsia="zh-CN"/>
        </w:rPr>
        <w:t>Data sources: consumer/​model_​diagnostics.csv; consumer/​forecast_​accuracy.csv.</w:t>
      </w:r>
    </w:p>
    <w:p>
      <w:pPr>
        <w:keepNext/>
        <w:keepLines/>
        <w:pageBreakBefore w:val="0"/>
        <w:spacing w:after="140"/>
      </w:pPr>
      <w:r>
        <w:rPr>
          <w:rFonts w:ascii="Times New Roman" w:hAnsi="Times New Roman" w:eastAsia="Noto Sans CJK SC"/>
          <w:color w:val="000000"/>
          <w:sz w:val="22"/>
          <w:lang w:val="en-US" w:eastAsia="zh-CN"/>
        </w:rPr>
        <w:t>The fitted Consumer fee series follows the broad historical decline and subsequent recovery, together with recurring monthly peaks and troughs. The remaining gaps identify individual observations not fully represented by the fitted equation.</w:t>
      </w:r>
    </w:p>
    <w:p>
      <w:pPr>
        <w:pStyle w:val="Caption"/>
        <w:keepNext/>
        <w:pageBreakBefore w:val="0"/>
        <w:spacing w:after="140"/>
      </w:pPr>
      <w:r>
        <w:rPr>
          <w:rFonts w:ascii="Times New Roman" w:hAnsi="Times New Roman" w:eastAsia="Noto Sans CJK SC"/>
          <w:color w:val="000000"/>
          <w:sz w:val="21"/>
          <w:lang w:val="en-US" w:eastAsia="zh-CN"/>
        </w:rPr>
        <w:t>Figure 6.10 Consumer Card Actual and Fitted Values</w:t>
      </w:r>
    </w:p>
    <w:p>
      <w:pPr>
        <w:keepNext/>
        <w:widowControl/>
        <w:jc w:val="center"/>
      </w:pPr>
      <w:r>
        <w:drawing>
          <wp:inline xmlns:a="http://schemas.openxmlformats.org/drawingml/2006/main" xmlns:pic="http://schemas.openxmlformats.org/drawingml/2006/picture">
            <wp:extent cx="6080760" cy="2371863"/>
            <wp:docPr id="11" name="Picture 11" descr="Figure 6.2 Consumer actual and fitted fee levels"/>
            <wp:cNvGraphicFramePr>
              <a:graphicFrameLocks noChangeAspect="1"/>
            </wp:cNvGraphicFramePr>
            <a:graphic>
              <a:graphicData uri="http://schemas.openxmlformats.org/drawingml/2006/picture">
                <pic:pic>
                  <pic:nvPicPr>
                    <pic:cNvPr id="0" name="consumer_static_in_sample.png"/>
                    <pic:cNvPicPr/>
                  </pic:nvPicPr>
                  <pic:blipFill>
                    <a:blip r:embed="rId21"/>
                    <a:stretch>
                      <a:fillRect/>
                    </a:stretch>
                  </pic:blipFill>
                  <pic:spPr>
                    <a:xfrm>
                      <a:off x="0" y="0"/>
                      <a:ext cx="6080760" cy="2371863"/>
                    </a:xfrm>
                    <a:prstGeom prst="rect"/>
                  </pic:spPr>
                </pic:pic>
              </a:graphicData>
            </a:graphic>
          </wp:inline>
        </w:drawing>
      </w:r>
    </w:p>
    <w:p>
      <w:pPr>
        <w:keepNext w:val="0"/>
        <w:pageBreakBefore w:val="0"/>
        <w:spacing w:after="140" w:line="230" w:lineRule="exact"/>
      </w:pPr>
      <w:r>
        <w:rPr>
          <w:rFonts w:ascii="Times New Roman" w:hAnsi="Times New Roman" w:eastAsia="Noto Sans CJK SC"/>
          <w:color w:val="000000"/>
          <w:sz w:val="17"/>
          <w:lang w:val="en-US" w:eastAsia="zh-CN"/>
          <w:lang w:val="en-US" w:eastAsia="zh-CN"/>
        </w:rPr>
        <w:t>Data sources: consumer/​static_​in_​sample.csv. Fee amounts are in $000.</w:t>
      </w:r>
    </w:p>
    <w:p>
      <w:pPr>
        <w:pStyle w:val="Heading3"/>
        <w:keepNext/>
        <w:pageBreakBefore w:val="0"/>
        <w:spacing w:after="140"/>
      </w:pPr>
      <w:r>
        <w:rPr>
          <w:rFonts w:ascii="Times New Roman" w:hAnsi="Times New Roman" w:eastAsia="Noto Sans CJK SC"/>
          <w:color w:val="000000"/>
          <w:sz w:val="22"/>
          <w:lang w:val="en-US" w:eastAsia="zh-CN"/>
        </w:rPr>
        <w:t>6.2.3 Coefficient Significance Testing</w:t>
      </w:r>
    </w:p>
    <w:p>
      <w:pPr>
        <w:keepNext w:val="0"/>
        <w:pageBreakBefore w:val="0"/>
        <w:spacing w:after="140"/>
      </w:pPr>
      <w:r>
        <w:rPr>
          <w:rFonts w:ascii="Times New Roman" w:hAnsi="Times New Roman" w:eastAsia="Noto Sans CJK SC"/>
          <w:color w:val="000000"/>
          <w:sz w:val="22"/>
          <w:lang w:val="en-US" w:eastAsia="zh-CN"/>
        </w:rPr>
        <w:t>Final coefficients were evaluated for statistical significance and economic plausibility. The retained terms have statistically significant Student-t p-values at the conventional five-percent level. Coefficient signs are interpreted in the context of the target transformation, selected lag and other variables in the equation.</w:t>
      </w:r>
    </w:p>
    <w:p>
      <w:pPr>
        <w:keepNext w:val="0"/>
        <w:pageBreakBefore w:val="0"/>
        <w:spacing w:after="140"/>
      </w:pPr>
      <w:r>
        <w:rPr>
          <w:rFonts w:ascii="Times New Roman" w:hAnsi="Times New Roman" w:eastAsia="Noto Sans CJK SC"/>
          <w:color w:val="000000"/>
          <w:sz w:val="22"/>
          <w:lang w:val="en-US" w:eastAsia="zh-CN"/>
        </w:rPr>
        <w:t>Negative own-growth lag coefficients capture short-run adjustment. The January and December indicators represent recurring calendar behavior, and the positive Retail Sales coefficient links stronger spending growth with fee log growth. Development and production estimates retain the same selected structure.</w:t>
      </w:r>
    </w:p>
    <w:p>
      <w:pPr>
        <w:pStyle w:val="Caption"/>
        <w:keepNext/>
        <w:pageBreakBefore w:val="0"/>
        <w:spacing w:after="140"/>
      </w:pPr>
      <w:r>
        <w:rPr>
          <w:rFonts w:ascii="Times New Roman" w:hAnsi="Times New Roman" w:eastAsia="Noto Sans CJK SC"/>
          <w:color w:val="000000"/>
          <w:sz w:val="21"/>
          <w:lang w:val="en-US" w:eastAsia="zh-CN"/>
        </w:rPr>
        <w:t>Table 6.11 Consumer Card Coefficient Estimates and Inference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18"/>
        <w:gridCol w:w="1251"/>
        <w:gridCol w:w="1251"/>
        <w:gridCol w:w="2208"/>
        <w:gridCol w:w="2208"/>
      </w:tblGrid>
      <w:tr>
        <w:trPr>
          <w:cantSplit/>
          <w:tblHeader/>
        </w:trPr>
        <w:tc>
          <w:tcPr>
            <w:tcW w:type="dxa" w:w="3018"/>
            <w:vAlign w:val="center"/>
            <w:tcMar>
              <w:top w:w="90" w:type="dxa"/>
              <w:bottom w:w="90" w:type="dxa"/>
              <w:left w:w="90" w:type="dxa"/>
              <w:right w:w="90" w:type="dxa"/>
            </w:tcMar>
            <w:shd w:fill="E7E6E6"/>
          </w:tcPr>
          <w:p>
            <w:pPr>
              <w:spacing w:after="40" w:line="240" w:lineRule="exact"/>
            </w:pPr>
            <w:r>
              <w:rPr>
                <w:rFonts w:ascii="Times New Roman" w:hAnsi="Times New Roman" w:eastAsia="Noto Sans CJK SC"/>
                <w:b/>
                <w:color w:val="000000"/>
                <w:sz w:val="19"/>
                <w:lang w:val="en-US" w:eastAsia="zh-CN"/>
              </w:rPr>
              <w:t>Term</w:t>
            </w:r>
          </w:p>
        </w:tc>
        <w:tc>
          <w:tcPr>
            <w:tcW w:type="dxa" w:w="1251"/>
            <w:vAlign w:val="center"/>
            <w:tcMar>
              <w:top w:w="90" w:type="dxa"/>
              <w:bottom w:w="90" w:type="dxa"/>
              <w:left w:w="90" w:type="dxa"/>
              <w:right w:w="90" w:type="dxa"/>
            </w:tcMar>
            <w:shd w:fill="E7E6E6"/>
          </w:tcPr>
          <w:p>
            <w:pPr>
              <w:spacing w:after="40" w:line="240" w:lineRule="exact"/>
            </w:pPr>
            <w:r>
              <w:rPr>
                <w:rFonts w:ascii="Times New Roman" w:hAnsi="Times New Roman" w:eastAsia="Noto Sans CJK SC"/>
                <w:b/>
                <w:color w:val="000000"/>
                <w:sz w:val="19"/>
                <w:lang w:val="en-US" w:eastAsia="zh-CN"/>
              </w:rPr>
              <w:t>Estimate</w:t>
            </w:r>
          </w:p>
        </w:tc>
        <w:tc>
          <w:tcPr>
            <w:tcW w:type="dxa" w:w="1251"/>
            <w:vAlign w:val="center"/>
            <w:tcMar>
              <w:top w:w="90" w:type="dxa"/>
              <w:bottom w:w="90" w:type="dxa"/>
              <w:left w:w="90" w:type="dxa"/>
              <w:right w:w="90" w:type="dxa"/>
            </w:tcMar>
            <w:shd w:fill="E7E6E6"/>
          </w:tcPr>
          <w:p>
            <w:pPr>
              <w:spacing w:after="40" w:line="240" w:lineRule="exact"/>
            </w:pPr>
            <w:r>
              <w:rPr>
                <w:rFonts w:ascii="Times New Roman" w:hAnsi="Times New Roman" w:eastAsia="Noto Sans CJK SC"/>
                <w:b/>
                <w:color w:val="000000"/>
                <w:sz w:val="19"/>
                <w:lang w:val="en-US" w:eastAsia="zh-CN"/>
              </w:rPr>
              <w:t>Std error</w:t>
            </w:r>
          </w:p>
        </w:tc>
        <w:tc>
          <w:tcPr>
            <w:tcW w:type="dxa" w:w="2208"/>
            <w:vAlign w:val="center"/>
            <w:tcMar>
              <w:top w:w="90" w:type="dxa"/>
              <w:bottom w:w="90" w:type="dxa"/>
              <w:left w:w="90" w:type="dxa"/>
              <w:right w:w="90" w:type="dxa"/>
            </w:tcMar>
            <w:shd w:fill="E7E6E6"/>
          </w:tcPr>
          <w:p>
            <w:pPr>
              <w:spacing w:after="40" w:line="240" w:lineRule="exact"/>
            </w:pPr>
            <w:r>
              <w:rPr>
                <w:rFonts w:ascii="Times New Roman" w:hAnsi="Times New Roman" w:eastAsia="Noto Sans CJK SC"/>
                <w:b/>
                <w:color w:val="000000"/>
                <w:sz w:val="19"/>
                <w:lang w:val="en-US" w:eastAsia="zh-CN"/>
              </w:rPr>
              <w:t>t statistic</w:t>
            </w:r>
          </w:p>
        </w:tc>
        <w:tc>
          <w:tcPr>
            <w:tcW w:type="dxa" w:w="2208"/>
            <w:vAlign w:val="center"/>
            <w:tcMar>
              <w:top w:w="90" w:type="dxa"/>
              <w:bottom w:w="90" w:type="dxa"/>
              <w:left w:w="90" w:type="dxa"/>
              <w:right w:w="90" w:type="dxa"/>
            </w:tcMar>
            <w:shd w:fill="E7E6E6"/>
          </w:tcPr>
          <w:p>
            <w:pPr>
              <w:spacing w:after="40" w:line="240" w:lineRule="exact"/>
            </w:pPr>
            <w:r>
              <w:rPr>
                <w:rFonts w:ascii="Times New Roman" w:hAnsi="Times New Roman" w:eastAsia="Noto Sans CJK SC"/>
                <w:b/>
                <w:color w:val="000000"/>
                <w:sz w:val="19"/>
                <w:lang w:val="en-US" w:eastAsia="zh-CN"/>
              </w:rPr>
              <w:t>p value</w:t>
            </w:r>
          </w:p>
        </w:tc>
      </w:tr>
      <w:tr>
        <w:trPr>
          <w:cantSplit/>
        </w:trPr>
        <w:tc>
          <w:tcPr>
            <w:tcW w:type="dxa" w:w="3018"/>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Intercept</w:t>
            </w:r>
          </w:p>
        </w:tc>
        <w:tc>
          <w:tcPr>
            <w:tcW w:type="dxa" w:w="1251"/>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-1.98312</w:t>
            </w:r>
          </w:p>
        </w:tc>
        <w:tc>
          <w:tcPr>
            <w:tcW w:type="dxa" w:w="1251"/>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0.82447</w:t>
            </w:r>
          </w:p>
        </w:tc>
        <w:tc>
          <w:tcPr>
            <w:tcW w:type="dxa" w:w="2208"/>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 xml:space="preserve">-2.405 </w:t>
            </w:r>
            <w:r>
              <w:rPr>
                <w:rFonts w:ascii="Times New Roman" w:hAnsi="Times New Roman" w:eastAsia="Noto Sans CJK SC"/>
                <w:color w:val="000000"/>
                <w:sz w:val="17"/>
                <w:lang w:val="en-US" w:eastAsia="zh-CN"/>
              </w:rPr>
              <w:t>[consumer/​coefficients.csv/​row 7 col 4]</w:t>
            </w:r>
          </w:p>
        </w:tc>
        <w:tc>
          <w:tcPr>
            <w:tcW w:type="dxa" w:w="2208"/>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 xml:space="preserve">0.017 </w:t>
            </w:r>
            <w:r>
              <w:rPr>
                <w:rFonts w:ascii="Times New Roman" w:hAnsi="Times New Roman" w:eastAsia="Noto Sans CJK SC"/>
                <w:color w:val="000000"/>
                <w:sz w:val="17"/>
                <w:lang w:val="en-US" w:eastAsia="zh-CN"/>
              </w:rPr>
              <w:t>[consumer/​coefficients.csv/​row 7 col 6]</w:t>
            </w:r>
          </w:p>
        </w:tc>
      </w:tr>
      <w:tr>
        <w:trPr>
          <w:cantSplit/>
        </w:trPr>
        <w:tc>
          <w:tcPr>
            <w:tcW w:type="dxa" w:w="3018"/>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Fee log growth, lag 1</w:t>
            </w:r>
          </w:p>
        </w:tc>
        <w:tc>
          <w:tcPr>
            <w:tcW w:type="dxa" w:w="1251"/>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-0.62166</w:t>
            </w:r>
          </w:p>
        </w:tc>
        <w:tc>
          <w:tcPr>
            <w:tcW w:type="dxa" w:w="1251"/>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0.06568</w:t>
            </w:r>
          </w:p>
        </w:tc>
        <w:tc>
          <w:tcPr>
            <w:tcW w:type="dxa" w:w="2208"/>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 xml:space="preserve">-9.464 </w:t>
            </w:r>
            <w:r>
              <w:rPr>
                <w:rFonts w:ascii="Times New Roman" w:hAnsi="Times New Roman" w:eastAsia="Noto Sans CJK SC"/>
                <w:color w:val="000000"/>
                <w:sz w:val="17"/>
                <w:lang w:val="en-US" w:eastAsia="zh-CN"/>
              </w:rPr>
              <w:t>[consumer/​coefficients.csv/​row 8 col 4]</w:t>
            </w:r>
          </w:p>
        </w:tc>
        <w:tc>
          <w:tcPr>
            <w:tcW w:type="dxa" w:w="2208"/>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 xml:space="preserve">&lt;0.001 </w:t>
            </w:r>
            <w:r>
              <w:rPr>
                <w:rFonts w:ascii="Times New Roman" w:hAnsi="Times New Roman" w:eastAsia="Noto Sans CJK SC"/>
                <w:color w:val="000000"/>
                <w:sz w:val="17"/>
                <w:lang w:val="en-US" w:eastAsia="zh-CN"/>
              </w:rPr>
              <w:t>[consumer/​coefficients.csv/​row 8 col 6]</w:t>
            </w:r>
          </w:p>
        </w:tc>
      </w:tr>
      <w:tr>
        <w:trPr>
          <w:cantSplit/>
        </w:trPr>
        <w:tc>
          <w:tcPr>
            <w:tcW w:type="dxa" w:w="3018"/>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Fee log growth, lag 2</w:t>
            </w:r>
          </w:p>
        </w:tc>
        <w:tc>
          <w:tcPr>
            <w:tcW w:type="dxa" w:w="1251"/>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-0.33883</w:t>
            </w:r>
          </w:p>
        </w:tc>
        <w:tc>
          <w:tcPr>
            <w:tcW w:type="dxa" w:w="1251"/>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0.06070</w:t>
            </w:r>
          </w:p>
        </w:tc>
        <w:tc>
          <w:tcPr>
            <w:tcW w:type="dxa" w:w="2208"/>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 xml:space="preserve">-5.583 </w:t>
            </w:r>
            <w:r>
              <w:rPr>
                <w:rFonts w:ascii="Times New Roman" w:hAnsi="Times New Roman" w:eastAsia="Noto Sans CJK SC"/>
                <w:color w:val="000000"/>
                <w:sz w:val="17"/>
                <w:lang w:val="en-US" w:eastAsia="zh-CN"/>
              </w:rPr>
              <w:t>[consumer/​coefficients.csv/​row 9 col 4]</w:t>
            </w:r>
          </w:p>
        </w:tc>
        <w:tc>
          <w:tcPr>
            <w:tcW w:type="dxa" w:w="2208"/>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 xml:space="preserve">&lt;0.001 </w:t>
            </w:r>
            <w:r>
              <w:rPr>
                <w:rFonts w:ascii="Times New Roman" w:hAnsi="Times New Roman" w:eastAsia="Noto Sans CJK SC"/>
                <w:color w:val="000000"/>
                <w:sz w:val="17"/>
                <w:lang w:val="en-US" w:eastAsia="zh-CN"/>
              </w:rPr>
              <w:t>[consumer/​coefficients.csv/​row 9 col 6]</w:t>
            </w:r>
          </w:p>
        </w:tc>
      </w:tr>
      <w:tr>
        <w:trPr>
          <w:cantSplit/>
        </w:trPr>
        <w:tc>
          <w:tcPr>
            <w:tcW w:type="dxa" w:w="3018"/>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January indicator</w:t>
            </w:r>
          </w:p>
        </w:tc>
        <w:tc>
          <w:tcPr>
            <w:tcW w:type="dxa" w:w="1251"/>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-11.15312</w:t>
            </w:r>
          </w:p>
        </w:tc>
        <w:tc>
          <w:tcPr>
            <w:tcW w:type="dxa" w:w="1251"/>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2.87904</w:t>
            </w:r>
          </w:p>
        </w:tc>
        <w:tc>
          <w:tcPr>
            <w:tcW w:type="dxa" w:w="2208"/>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 xml:space="preserve">-3.874 </w:t>
            </w:r>
            <w:r>
              <w:rPr>
                <w:rFonts w:ascii="Times New Roman" w:hAnsi="Times New Roman" w:eastAsia="Noto Sans CJK SC"/>
                <w:color w:val="000000"/>
                <w:sz w:val="17"/>
                <w:lang w:val="en-US" w:eastAsia="zh-CN"/>
              </w:rPr>
              <w:t>[consumer/​coefficients.csv/​row 10 col 4]</w:t>
            </w:r>
          </w:p>
        </w:tc>
        <w:tc>
          <w:tcPr>
            <w:tcW w:type="dxa" w:w="2208"/>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 xml:space="preserve">&lt;0.001 </w:t>
            </w:r>
            <w:r>
              <w:rPr>
                <w:rFonts w:ascii="Times New Roman" w:hAnsi="Times New Roman" w:eastAsia="Noto Sans CJK SC"/>
                <w:color w:val="000000"/>
                <w:sz w:val="17"/>
                <w:lang w:val="en-US" w:eastAsia="zh-CN"/>
              </w:rPr>
              <w:t>[consumer/​coefficients.csv/​row 10 col 6]</w:t>
            </w:r>
          </w:p>
        </w:tc>
      </w:tr>
      <w:tr>
        <w:trPr>
          <w:cantSplit/>
        </w:trPr>
        <w:tc>
          <w:tcPr>
            <w:tcW w:type="dxa" w:w="3018"/>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December indicator</w:t>
            </w:r>
          </w:p>
        </w:tc>
        <w:tc>
          <w:tcPr>
            <w:tcW w:type="dxa" w:w="1251"/>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19.65826</w:t>
            </w:r>
          </w:p>
        </w:tc>
        <w:tc>
          <w:tcPr>
            <w:tcW w:type="dxa" w:w="1251"/>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2.59864</w:t>
            </w:r>
          </w:p>
        </w:tc>
        <w:tc>
          <w:tcPr>
            <w:tcW w:type="dxa" w:w="2208"/>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 xml:space="preserve">7.565 </w:t>
            </w:r>
            <w:r>
              <w:rPr>
                <w:rFonts w:ascii="Times New Roman" w:hAnsi="Times New Roman" w:eastAsia="Noto Sans CJK SC"/>
                <w:color w:val="000000"/>
                <w:sz w:val="17"/>
                <w:lang w:val="en-US" w:eastAsia="zh-CN"/>
              </w:rPr>
              <w:t>[consumer/​coefficients.csv/​row 11 col 4]</w:t>
            </w:r>
          </w:p>
        </w:tc>
        <w:tc>
          <w:tcPr>
            <w:tcW w:type="dxa" w:w="2208"/>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 xml:space="preserve">&lt;0.001 </w:t>
            </w:r>
            <w:r>
              <w:rPr>
                <w:rFonts w:ascii="Times New Roman" w:hAnsi="Times New Roman" w:eastAsia="Noto Sans CJK SC"/>
                <w:color w:val="000000"/>
                <w:sz w:val="17"/>
                <w:lang w:val="en-US" w:eastAsia="zh-CN"/>
              </w:rPr>
              <w:t>[consumer/​coefficients.csv/​row 11 col 6]</w:t>
            </w:r>
          </w:p>
        </w:tc>
      </w:tr>
      <w:tr>
        <w:trPr>
          <w:cantSplit/>
        </w:trPr>
        <w:tc>
          <w:tcPr>
            <w:tcW w:type="dxa" w:w="3018"/>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Retail Sales MoM growth, MA3</w:t>
            </w:r>
          </w:p>
        </w:tc>
        <w:tc>
          <w:tcPr>
            <w:tcW w:type="dxa" w:w="1251"/>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2.57529</w:t>
            </w:r>
          </w:p>
        </w:tc>
        <w:tc>
          <w:tcPr>
            <w:tcW w:type="dxa" w:w="1251"/>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0.63128</w:t>
            </w:r>
          </w:p>
        </w:tc>
        <w:tc>
          <w:tcPr>
            <w:tcW w:type="dxa" w:w="2208"/>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 xml:space="preserve">4.079 </w:t>
            </w:r>
            <w:r>
              <w:rPr>
                <w:rFonts w:ascii="Times New Roman" w:hAnsi="Times New Roman" w:eastAsia="Noto Sans CJK SC"/>
                <w:color w:val="000000"/>
                <w:sz w:val="17"/>
                <w:lang w:val="en-US" w:eastAsia="zh-CN"/>
              </w:rPr>
              <w:t>[consumer/​coefficients.csv/​row 12 col 4]</w:t>
            </w:r>
          </w:p>
        </w:tc>
        <w:tc>
          <w:tcPr>
            <w:tcW w:type="dxa" w:w="2208"/>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 xml:space="preserve">&lt;0.001 </w:t>
            </w:r>
            <w:r>
              <w:rPr>
                <w:rFonts w:ascii="Times New Roman" w:hAnsi="Times New Roman" w:eastAsia="Noto Sans CJK SC"/>
                <w:color w:val="000000"/>
                <w:sz w:val="17"/>
                <w:lang w:val="en-US" w:eastAsia="zh-CN"/>
              </w:rPr>
              <w:t>[consumer/​coefficients.csv/​row 12 col 6]</w:t>
            </w:r>
          </w:p>
        </w:tc>
      </w:tr>
    </w:tbl>
    <w:p>
      <w:pPr>
        <w:keepNext w:val="0"/>
        <w:pageBreakBefore w:val="0"/>
        <w:spacing w:after="140" w:line="230" w:lineRule="exact"/>
      </w:pPr>
      <w:r>
        <w:rPr>
          <w:rFonts w:ascii="Times New Roman" w:hAnsi="Times New Roman" w:eastAsia="Noto Sans CJK SC"/>
          <w:color w:val="000000"/>
          <w:sz w:val="17"/>
          <w:lang w:val="en-US" w:eastAsia="zh-CN"/>
          <w:lang w:val="en-US" w:eastAsia="zh-CN"/>
        </w:rPr>
        <w:t>Data sources: consumer/​coefficients.csv, Selected In-sample rows.</w:t>
      </w:r>
    </w:p>
    <w:p>
      <w:pPr>
        <w:pStyle w:val="Heading3"/>
        <w:keepNext/>
        <w:pageBreakBefore w:val="0"/>
        <w:spacing w:after="140"/>
      </w:pPr>
      <w:r>
        <w:rPr>
          <w:rFonts w:ascii="Times New Roman" w:hAnsi="Times New Roman" w:eastAsia="Noto Sans CJK SC"/>
          <w:color w:val="000000"/>
          <w:sz w:val="22"/>
          <w:lang w:val="en-US" w:eastAsia="zh-CN"/>
        </w:rPr>
        <w:t>6.2.4 Multicollinearity Assessment</w:t>
      </w:r>
    </w:p>
    <w:p>
      <w:pPr>
        <w:keepNext w:val="0"/>
        <w:pageBreakBefore w:val="0"/>
        <w:spacing w:after="140"/>
      </w:pPr>
      <w:r>
        <w:rPr>
          <w:rFonts w:ascii="Times New Roman" w:hAnsi="Times New Roman" w:eastAsia="Noto Sans CJK SC"/>
          <w:color w:val="000000"/>
          <w:sz w:val="22"/>
          <w:lang w:val="en-US" w:eastAsia="zh-CN"/>
        </w:rPr>
        <w:t xml:space="preserve">Variance Inflation Factors were evaluated to determine whether explanatory variables contained excessive shared information. The maximum nonconstant VIF is 1.7005 </w:t>
      </w:r>
      <w:r>
        <w:rPr>
          <w:rFonts w:ascii="Times New Roman" w:hAnsi="Times New Roman" w:eastAsia="Noto Sans CJK SC"/>
          <w:color w:val="000000"/>
          <w:sz w:val="17"/>
          <w:lang w:val="en-US" w:eastAsia="zh-CN"/>
        </w:rPr>
        <w:t>[consumer/​model_​diagnostics.csv/​row 3 col 12]</w:t>
      </w:r>
      <w:r>
        <w:rPr>
          <w:rFonts w:ascii="Times New Roman" w:hAnsi="Times New Roman" w:eastAsia="Noto Sans CJK SC"/>
          <w:color w:val="000000"/>
          <w:sz w:val="22"/>
          <w:lang w:val="en-US" w:eastAsia="zh-CN"/>
        </w:rPr>
        <w:t>, below the implemented threshold of 10. The results indicate that multicollinearity is limited within the selected specification.</w:t>
      </w:r>
    </w:p>
    <w:p>
      <w:pPr>
        <w:pStyle w:val="Caption"/>
        <w:keepNext/>
        <w:pageBreakBefore w:val="0"/>
        <w:spacing w:after="140"/>
      </w:pPr>
      <w:r>
        <w:rPr>
          <w:rFonts w:ascii="Times New Roman" w:hAnsi="Times New Roman" w:eastAsia="Noto Sans CJK SC"/>
          <w:color w:val="000000"/>
          <w:sz w:val="21"/>
          <w:lang w:val="en-US" w:eastAsia="zh-CN"/>
        </w:rPr>
        <w:t>Table 6.12 Consumer Card Variance Inflation Factors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4896"/>
      </w:tblGrid>
      <w:tr>
        <w:trPr>
          <w:cantSplit/>
          <w:tblHeader/>
        </w:trPr>
        <w:tc>
          <w:tcPr>
            <w:tcW w:type="dxa" w:w="5040"/>
            <w:vAlign w:val="center"/>
            <w:tcMar>
              <w:top w:w="90" w:type="dxa"/>
              <w:bottom w:w="90" w:type="dxa"/>
              <w:left w:w="90" w:type="dxa"/>
              <w:right w:w="90" w:type="dxa"/>
            </w:tcMar>
            <w:shd w:fill="E7E6E6"/>
          </w:tcPr>
          <w:p>
            <w:pPr>
              <w:spacing w:after="40" w:line="240" w:lineRule="exact"/>
            </w:pPr>
            <w:r>
              <w:rPr>
                <w:rFonts w:ascii="Times New Roman" w:hAnsi="Times New Roman" w:eastAsia="Noto Sans CJK SC"/>
                <w:b/>
                <w:color w:val="000000"/>
                <w:sz w:val="19"/>
                <w:lang w:val="en-US" w:eastAsia="zh-CN"/>
              </w:rPr>
              <w:t>Variable</w:t>
            </w:r>
          </w:p>
        </w:tc>
        <w:tc>
          <w:tcPr>
            <w:tcW w:type="dxa" w:w="4896"/>
            <w:vAlign w:val="center"/>
            <w:tcMar>
              <w:top w:w="90" w:type="dxa"/>
              <w:bottom w:w="90" w:type="dxa"/>
              <w:left w:w="90" w:type="dxa"/>
              <w:right w:w="90" w:type="dxa"/>
            </w:tcMar>
            <w:shd w:fill="E7E6E6"/>
          </w:tcPr>
          <w:p>
            <w:pPr>
              <w:spacing w:after="40" w:line="240" w:lineRule="exact"/>
            </w:pPr>
            <w:r>
              <w:rPr>
                <w:rFonts w:ascii="Times New Roman" w:hAnsi="Times New Roman" w:eastAsia="Noto Sans CJK SC"/>
                <w:b/>
                <w:color w:val="000000"/>
                <w:sz w:val="19"/>
                <w:lang w:val="en-US" w:eastAsia="zh-CN"/>
              </w:rPr>
              <w:t>VIF</w:t>
            </w:r>
          </w:p>
        </w:tc>
      </w:tr>
      <w:tr>
        <w:trPr>
          <w:cantSplit/>
        </w:trPr>
        <w:tc>
          <w:tcPr>
            <w:tcW w:type="dxa" w:w="504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consumer_​card_​fee_​log_​change_​1m_​pct_​lag_​1m</w:t>
            </w:r>
          </w:p>
        </w:tc>
        <w:tc>
          <w:tcPr>
            <w:tcW w:type="dxa" w:w="4896"/>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 xml:space="preserve">1.7005 </w:t>
            </w:r>
            <w:r>
              <w:rPr>
                <w:rFonts w:ascii="Times New Roman" w:hAnsi="Times New Roman" w:eastAsia="Noto Sans CJK SC"/>
                <w:color w:val="000000"/>
                <w:sz w:val="17"/>
                <w:lang w:val="en-US" w:eastAsia="zh-CN"/>
              </w:rPr>
              <w:t>[consumer/​coefficients.csv/​row 8 col 7]</w:t>
            </w:r>
          </w:p>
        </w:tc>
      </w:tr>
      <w:tr>
        <w:trPr>
          <w:cantSplit/>
        </w:trPr>
        <w:tc>
          <w:tcPr>
            <w:tcW w:type="dxa" w:w="504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consumer_​card_​fee_​log_​change_​1m_​pct_​lag_​2m</w:t>
            </w:r>
          </w:p>
        </w:tc>
        <w:tc>
          <w:tcPr>
            <w:tcW w:type="dxa" w:w="4896"/>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 xml:space="preserve">1.4523 </w:t>
            </w:r>
            <w:r>
              <w:rPr>
                <w:rFonts w:ascii="Times New Roman" w:hAnsi="Times New Roman" w:eastAsia="Noto Sans CJK SC"/>
                <w:color w:val="000000"/>
                <w:sz w:val="17"/>
                <w:lang w:val="en-US" w:eastAsia="zh-CN"/>
              </w:rPr>
              <w:t>[consumer/​coefficients.csv/​row 9 col 7]</w:t>
            </w:r>
          </w:p>
        </w:tc>
      </w:tr>
      <w:tr>
        <w:trPr>
          <w:cantSplit/>
        </w:trPr>
        <w:tc>
          <w:tcPr>
            <w:tcW w:type="dxa" w:w="504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is_​january</w:t>
            </w:r>
          </w:p>
        </w:tc>
        <w:tc>
          <w:tcPr>
            <w:tcW w:type="dxa" w:w="4896"/>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 xml:space="preserve">1.2492 </w:t>
            </w:r>
            <w:r>
              <w:rPr>
                <w:rFonts w:ascii="Times New Roman" w:hAnsi="Times New Roman" w:eastAsia="Noto Sans CJK SC"/>
                <w:color w:val="000000"/>
                <w:sz w:val="17"/>
                <w:lang w:val="en-US" w:eastAsia="zh-CN"/>
              </w:rPr>
              <w:t>[consumer/​coefficients.csv/​row 10 col 7]</w:t>
            </w:r>
          </w:p>
        </w:tc>
      </w:tr>
      <w:tr>
        <w:trPr>
          <w:cantSplit/>
        </w:trPr>
        <w:tc>
          <w:tcPr>
            <w:tcW w:type="dxa" w:w="504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is_​december</w:t>
            </w:r>
          </w:p>
        </w:tc>
        <w:tc>
          <w:tcPr>
            <w:tcW w:type="dxa" w:w="4896"/>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 xml:space="preserve">1.0177 </w:t>
            </w:r>
            <w:r>
              <w:rPr>
                <w:rFonts w:ascii="Times New Roman" w:hAnsi="Times New Roman" w:eastAsia="Noto Sans CJK SC"/>
                <w:color w:val="000000"/>
                <w:sz w:val="17"/>
                <w:lang w:val="en-US" w:eastAsia="zh-CN"/>
              </w:rPr>
              <w:t>[consumer/​coefficients.csv/​row 11 col 7]</w:t>
            </w:r>
          </w:p>
        </w:tc>
      </w:tr>
      <w:tr>
        <w:trPr>
          <w:cantSplit/>
        </w:trPr>
        <w:tc>
          <w:tcPr>
            <w:tcW w:type="dxa" w:w="504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retail_​sales_​pct_​change_​1m_​ma_​3m</w:t>
            </w:r>
          </w:p>
        </w:tc>
        <w:tc>
          <w:tcPr>
            <w:tcW w:type="dxa" w:w="4896"/>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 xml:space="preserve">1.0115 </w:t>
            </w:r>
            <w:r>
              <w:rPr>
                <w:rFonts w:ascii="Times New Roman" w:hAnsi="Times New Roman" w:eastAsia="Noto Sans CJK SC"/>
                <w:color w:val="000000"/>
                <w:sz w:val="17"/>
                <w:lang w:val="en-US" w:eastAsia="zh-CN"/>
              </w:rPr>
              <w:t>[consumer/​coefficients.csv/​row 12 col 7]</w:t>
            </w:r>
          </w:p>
        </w:tc>
      </w:tr>
    </w:tbl>
    <w:p>
      <w:pPr>
        <w:keepNext w:val="0"/>
        <w:pageBreakBefore w:val="0"/>
        <w:spacing w:after="140" w:line="230" w:lineRule="exact"/>
      </w:pPr>
      <w:r>
        <w:rPr>
          <w:rFonts w:ascii="Times New Roman" w:hAnsi="Times New Roman" w:eastAsia="Noto Sans CJK SC"/>
          <w:color w:val="000000"/>
          <w:sz w:val="17"/>
          <w:lang w:val="en-US" w:eastAsia="zh-CN"/>
          <w:lang w:val="en-US" w:eastAsia="zh-CN"/>
        </w:rPr>
        <w:t>Data sources: consumer/​coefficients.csv.</w:t>
      </w:r>
    </w:p>
    <w:p>
      <w:pPr>
        <w:pStyle w:val="Heading3"/>
        <w:keepNext/>
        <w:pageBreakBefore w:val="0"/>
        <w:spacing w:after="140"/>
      </w:pPr>
      <w:r>
        <w:rPr>
          <w:rFonts w:ascii="Times New Roman" w:hAnsi="Times New Roman" w:eastAsia="Noto Sans CJK SC"/>
          <w:color w:val="000000"/>
          <w:sz w:val="22"/>
          <w:lang w:val="en-US" w:eastAsia="zh-CN"/>
        </w:rPr>
        <w:t>6.2.5 Residual Diagnostics and Statistical Assumptions</w:t>
      </w:r>
    </w:p>
    <w:p>
      <w:pPr>
        <w:keepNext w:val="0"/>
        <w:pageBreakBefore w:val="0"/>
        <w:spacing w:after="140"/>
      </w:pPr>
      <w:r>
        <w:rPr>
          <w:rFonts w:ascii="Times New Roman" w:hAnsi="Times New Roman" w:eastAsia="Noto Sans CJK SC"/>
          <w:color w:val="000000"/>
          <w:sz w:val="22"/>
          <w:lang w:val="en-US" w:eastAsia="zh-CN"/>
        </w:rPr>
        <w:t xml:space="preserve">Residual diagnostics evaluate distributional shape, serial correlation and overall equation adequacy. The Durbin-Watson statistic is 2.3555 </w:t>
      </w:r>
      <w:r>
        <w:rPr>
          <w:rFonts w:ascii="Times New Roman" w:hAnsi="Times New Roman" w:eastAsia="Noto Sans CJK SC"/>
          <w:color w:val="000000"/>
          <w:sz w:val="17"/>
          <w:lang w:val="en-US" w:eastAsia="zh-CN"/>
        </w:rPr>
        <w:t>[consumer/​model_​diagnostics.csv/​row 3 col 7]</w:t>
      </w:r>
      <w:r>
        <w:rPr>
          <w:rFonts w:ascii="Times New Roman" w:hAnsi="Times New Roman" w:eastAsia="Noto Sans CJK SC"/>
          <w:color w:val="000000"/>
          <w:sz w:val="22"/>
          <w:lang w:val="en-US" w:eastAsia="zh-CN"/>
        </w:rPr>
        <w:t xml:space="preserve">. The Jarque-Bera p-value is 0.5320 </w:t>
      </w:r>
      <w:r>
        <w:rPr>
          <w:rFonts w:ascii="Times New Roman" w:hAnsi="Times New Roman" w:eastAsia="Noto Sans CJK SC"/>
          <w:color w:val="000000"/>
          <w:sz w:val="17"/>
          <w:lang w:val="en-US" w:eastAsia="zh-CN"/>
        </w:rPr>
        <w:t>[consumer/​model_​diagnostics.csv/​row 3 col 9]</w:t>
      </w:r>
      <w:r>
        <w:rPr>
          <w:rFonts w:ascii="Times New Roman" w:hAnsi="Times New Roman" w:eastAsia="Noto Sans CJK SC"/>
          <w:color w:val="000000"/>
          <w:sz w:val="22"/>
          <w:lang w:val="en-US" w:eastAsia="zh-CN"/>
        </w:rPr>
        <w:t>, above the five-percent reference level. The residual time series, fitted-value comparison and normal-reference plot complement these numerical results.</w:t>
      </w:r>
    </w:p>
    <w:p>
      <w:pPr>
        <w:keepNext w:val="0"/>
        <w:pageBreakBefore w:val="0"/>
        <w:spacing w:after="140"/>
      </w:pPr>
      <w:r>
        <w:rPr>
          <w:rFonts w:ascii="Times New Roman" w:hAnsi="Times New Roman" w:eastAsia="Noto Sans CJK SC"/>
          <w:color w:val="000000"/>
          <w:sz w:val="22"/>
          <w:lang w:val="en-US" w:eastAsia="zh-CN"/>
        </w:rPr>
        <w:t>The selected development specification satisfies the implemented Durbin-Watson, Jarque-Bera and VIF selection criteria. Diagnostics are reviewed together with coefficient stability and forecast results to assess continued model suitability.</w:t>
      </w:r>
    </w:p>
    <w:p>
      <w:pPr>
        <w:pStyle w:val="Caption"/>
        <w:keepNext/>
        <w:pageBreakBefore w:val="0"/>
        <w:spacing w:after="140"/>
      </w:pPr>
      <w:r>
        <w:rPr>
          <w:rFonts w:ascii="Times New Roman" w:hAnsi="Times New Roman" w:eastAsia="Noto Sans CJK SC"/>
          <w:color w:val="000000"/>
          <w:sz w:val="21"/>
          <w:lang w:val="en-US" w:eastAsia="zh-CN"/>
        </w:rPr>
        <w:t>Table 6.13 Consumer Card Residual Diagnostic Statistics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6480"/>
      </w:tblGrid>
      <w:tr>
        <w:trPr>
          <w:cantSplit/>
          <w:tblHeader/>
        </w:trPr>
        <w:tc>
          <w:tcPr>
            <w:tcW w:type="dxa" w:w="3456"/>
            <w:vAlign w:val="center"/>
            <w:tcMar>
              <w:top w:w="90" w:type="dxa"/>
              <w:bottom w:w="90" w:type="dxa"/>
              <w:left w:w="90" w:type="dxa"/>
              <w:right w:w="90" w:type="dxa"/>
            </w:tcMar>
            <w:shd w:fill="E7E6E6"/>
          </w:tcPr>
          <w:p>
            <w:pPr>
              <w:spacing w:after="40" w:line="240" w:lineRule="exact"/>
            </w:pPr>
            <w:r>
              <w:rPr>
                <w:rFonts w:ascii="Times New Roman" w:hAnsi="Times New Roman" w:eastAsia="Noto Sans CJK SC"/>
                <w:b/>
                <w:color w:val="000000"/>
                <w:sz w:val="19"/>
                <w:lang w:val="en-US" w:eastAsia="zh-CN"/>
              </w:rPr>
              <w:t>Diagnostic Statistic</w:t>
            </w:r>
          </w:p>
        </w:tc>
        <w:tc>
          <w:tcPr>
            <w:tcW w:type="dxa" w:w="6480"/>
            <w:vAlign w:val="center"/>
            <w:tcMar>
              <w:top w:w="90" w:type="dxa"/>
              <w:bottom w:w="90" w:type="dxa"/>
              <w:left w:w="90" w:type="dxa"/>
              <w:right w:w="90" w:type="dxa"/>
            </w:tcMar>
            <w:shd w:fill="E7E6E6"/>
          </w:tcPr>
          <w:p>
            <w:pPr>
              <w:spacing w:after="40" w:line="240" w:lineRule="exact"/>
            </w:pPr>
            <w:r>
              <w:rPr>
                <w:rFonts w:ascii="Times New Roman" w:hAnsi="Times New Roman" w:eastAsia="Noto Sans CJK SC"/>
                <w:b/>
                <w:color w:val="000000"/>
                <w:sz w:val="19"/>
                <w:lang w:val="en-US" w:eastAsia="zh-CN"/>
              </w:rPr>
              <w:t>Value</w:t>
            </w:r>
          </w:p>
        </w:tc>
      </w:tr>
      <w:tr>
        <w:trPr>
          <w:cantSplit/>
        </w:trPr>
        <w:tc>
          <w:tcPr>
            <w:tcW w:type="dxa" w:w="3456"/>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Durbin-Watson</w:t>
            </w:r>
          </w:p>
        </w:tc>
        <w:tc>
          <w:tcPr>
            <w:tcW w:type="dxa" w:w="648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 xml:space="preserve">2.3555 </w:t>
            </w:r>
            <w:r>
              <w:rPr>
                <w:rFonts w:ascii="Times New Roman" w:hAnsi="Times New Roman" w:eastAsia="Noto Sans CJK SC"/>
                <w:color w:val="000000"/>
                <w:sz w:val="17"/>
                <w:lang w:val="en-US" w:eastAsia="zh-CN"/>
              </w:rPr>
              <w:t>[consumer/​model_​diagnostics.csv/​row 3 col 7]</w:t>
            </w:r>
          </w:p>
        </w:tc>
      </w:tr>
      <w:tr>
        <w:trPr>
          <w:cantSplit/>
        </w:trPr>
        <w:tc>
          <w:tcPr>
            <w:tcW w:type="dxa" w:w="3456"/>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Jarque-Bera statistic</w:t>
            </w:r>
          </w:p>
        </w:tc>
        <w:tc>
          <w:tcPr>
            <w:tcW w:type="dxa" w:w="648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 xml:space="preserve">1.2621 </w:t>
            </w:r>
            <w:r>
              <w:rPr>
                <w:rFonts w:ascii="Times New Roman" w:hAnsi="Times New Roman" w:eastAsia="Noto Sans CJK SC"/>
                <w:color w:val="000000"/>
                <w:sz w:val="17"/>
                <w:lang w:val="en-US" w:eastAsia="zh-CN"/>
              </w:rPr>
              <w:t>[consumer/​model_​diagnostics.csv/​row 3 col 8]</w:t>
            </w:r>
          </w:p>
        </w:tc>
      </w:tr>
      <w:tr>
        <w:trPr>
          <w:cantSplit/>
        </w:trPr>
        <w:tc>
          <w:tcPr>
            <w:tcW w:type="dxa" w:w="3456"/>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Jarque-Bera p-value</w:t>
            </w:r>
          </w:p>
        </w:tc>
        <w:tc>
          <w:tcPr>
            <w:tcW w:type="dxa" w:w="648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 xml:space="preserve">0.5320 </w:t>
            </w:r>
            <w:r>
              <w:rPr>
                <w:rFonts w:ascii="Times New Roman" w:hAnsi="Times New Roman" w:eastAsia="Noto Sans CJK SC"/>
                <w:color w:val="000000"/>
                <w:sz w:val="17"/>
                <w:lang w:val="en-US" w:eastAsia="zh-CN"/>
              </w:rPr>
              <w:t>[consumer/​model_​diagnostics.csv/​row 3 col 9]</w:t>
            </w:r>
          </w:p>
        </w:tc>
      </w:tr>
      <w:tr>
        <w:trPr>
          <w:cantSplit/>
        </w:trPr>
        <w:tc>
          <w:tcPr>
            <w:tcW w:type="dxa" w:w="3456"/>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Residual skewness</w:t>
            </w:r>
          </w:p>
        </w:tc>
        <w:tc>
          <w:tcPr>
            <w:tcW w:type="dxa" w:w="648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 xml:space="preserve">0.2103 </w:t>
            </w:r>
            <w:r>
              <w:rPr>
                <w:rFonts w:ascii="Times New Roman" w:hAnsi="Times New Roman" w:eastAsia="Noto Sans CJK SC"/>
                <w:color w:val="000000"/>
                <w:sz w:val="17"/>
                <w:lang w:val="en-US" w:eastAsia="zh-CN"/>
              </w:rPr>
              <w:t>[consumer/​model_​diagnostics.csv/​row 3 col 10]</w:t>
            </w:r>
          </w:p>
        </w:tc>
      </w:tr>
      <w:tr>
        <w:trPr>
          <w:cantSplit/>
        </w:trPr>
        <w:tc>
          <w:tcPr>
            <w:tcW w:type="dxa" w:w="3456"/>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Residual kurtosis</w:t>
            </w:r>
          </w:p>
        </w:tc>
        <w:tc>
          <w:tcPr>
            <w:tcW w:type="dxa" w:w="648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 xml:space="preserve">3.1583 </w:t>
            </w:r>
            <w:r>
              <w:rPr>
                <w:rFonts w:ascii="Times New Roman" w:hAnsi="Times New Roman" w:eastAsia="Noto Sans CJK SC"/>
                <w:color w:val="000000"/>
                <w:sz w:val="17"/>
                <w:lang w:val="en-US" w:eastAsia="zh-CN"/>
              </w:rPr>
              <w:t>[consumer/​model_​diagnostics.csv/​row 3 col 11]</w:t>
            </w:r>
          </w:p>
        </w:tc>
      </w:tr>
    </w:tbl>
    <w:p>
      <w:pPr>
        <w:keepNext w:val="0"/>
        <w:pageBreakBefore w:val="0"/>
        <w:spacing w:after="140" w:line="230" w:lineRule="exact"/>
      </w:pPr>
      <w:r>
        <w:rPr>
          <w:rFonts w:ascii="Times New Roman" w:hAnsi="Times New Roman" w:eastAsia="Noto Sans CJK SC"/>
          <w:color w:val="000000"/>
          <w:sz w:val="17"/>
          <w:lang w:val="en-US" w:eastAsia="zh-CN"/>
          <w:lang w:val="en-US" w:eastAsia="zh-CN"/>
        </w:rPr>
        <w:t>Data sources: consumer/​model_​diagnostics.csv.</w:t>
      </w:r>
    </w:p>
    <w:p>
      <w:pPr>
        <w:keepNext/>
        <w:keepLines/>
        <w:pageBreakBefore w:val="0"/>
        <w:spacing w:after="140"/>
      </w:pPr>
      <w:r>
        <w:rPr>
          <w:rFonts w:ascii="Times New Roman" w:hAnsi="Times New Roman" w:eastAsia="Noto Sans CJK SC"/>
          <w:color w:val="000000"/>
          <w:sz w:val="22"/>
          <w:lang w:val="en-US" w:eastAsia="zh-CN"/>
        </w:rPr>
        <w:t>The Consumer residual time series fluctuates on both sides of zero, with occasional larger deviations. The fitted-value scatter does not display a pronounced curved pattern or clear funnel-shaped dispersion across the main concentration of observations.</w:t>
      </w:r>
    </w:p>
    <w:p>
      <w:pPr>
        <w:pStyle w:val="Caption"/>
        <w:keepNext/>
        <w:pageBreakBefore w:val="0"/>
        <w:spacing w:after="140"/>
      </w:pPr>
      <w:r>
        <w:rPr>
          <w:rFonts w:ascii="Times New Roman" w:hAnsi="Times New Roman" w:eastAsia="Noto Sans CJK SC"/>
          <w:color w:val="000000"/>
          <w:sz w:val="21"/>
          <w:lang w:val="en-US" w:eastAsia="zh-CN"/>
        </w:rPr>
        <w:t>Figure 6.11 Consumer Card Residual Diagnostics</w:t>
      </w:r>
    </w:p>
    <w:p>
      <w:pPr>
        <w:keepNext/>
        <w:pageBreakBefore w:val="0"/>
        <w:spacing w:after="140"/>
      </w:pPr>
      <w:r>
        <w:drawing>
          <wp:inline xmlns:a="http://schemas.openxmlformats.org/drawingml/2006/main" xmlns:pic="http://schemas.openxmlformats.org/drawingml/2006/picture">
            <wp:extent cx="6172200" cy="4449726"/>
            <wp:docPr id="25" name="Picture 25"/>
            <wp:cNvGraphicFramePr>
              <a:graphicFrameLocks noChangeAspect="1"/>
            </wp:cNvGraphicFramePr>
            <a:graphic>
              <a:graphicData uri="http://schemas.openxmlformats.org/drawingml/2006/picture">
                <pic:pic>
                  <pic:nvPicPr>
                    <pic:cNvPr id="0" name="consumer_residuals.png"/>
                    <pic:cNvPicPr/>
                  </pic:nvPicPr>
                  <pic:blipFill>
                    <a:blip r:embed="rId40"/>
                    <a:stretch>
                      <a:fillRect/>
                    </a:stretch>
                  </pic:blipFill>
                  <pic:spPr>
                    <a:xfrm>
                      <a:off x="0" y="0"/>
                      <a:ext cx="6172200" cy="4449726"/>
                    </a:xfrm>
                    <a:prstGeom prst="rect"/>
                  </pic:spPr>
                </pic:pic>
              </a:graphicData>
            </a:graphic>
          </wp:inline>
        </w:drawing>
      </w:r>
    </w:p>
    <w:p>
      <w:pPr>
        <w:keepNext w:val="0"/>
        <w:pageBreakBefore w:val="0"/>
        <w:spacing w:after="140" w:line="230" w:lineRule="exact"/>
      </w:pPr>
      <w:r>
        <w:rPr>
          <w:rFonts w:ascii="Times New Roman" w:hAnsi="Times New Roman" w:eastAsia="Noto Sans CJK SC"/>
          <w:color w:val="000000"/>
          <w:sz w:val="17"/>
          <w:lang w:val="en-US" w:eastAsia="zh-CN"/>
          <w:lang w:val="en-US" w:eastAsia="zh-CN"/>
        </w:rPr>
        <w:t>Data sources: consumer/​static_​in_​sample.csv.</w:t>
      </w:r>
    </w:p>
    <w:p>
      <w:pPr>
        <w:keepNext/>
        <w:keepLines/>
        <w:pageBreakBefore w:val="0"/>
        <w:spacing w:after="140"/>
      </w:pPr>
      <w:r>
        <w:rPr>
          <w:rFonts w:ascii="Times New Roman" w:hAnsi="Times New Roman" w:eastAsia="Noto Sans CJK SC"/>
          <w:color w:val="000000"/>
          <w:sz w:val="22"/>
          <w:lang w:val="en-US" w:eastAsia="zh-CN"/>
        </w:rPr>
        <w:t>The Consumer residual quantiles closely follow the normal-reference line through the center of the distribution, with some upper-tail departures. This provides a visual complement to the reported residual-shape statistics.</w:t>
      </w:r>
    </w:p>
    <w:p>
      <w:pPr>
        <w:pStyle w:val="Caption"/>
        <w:keepNext/>
        <w:pageBreakBefore w:val="0"/>
        <w:spacing w:after="140"/>
      </w:pPr>
      <w:r>
        <w:rPr>
          <w:rFonts w:ascii="Times New Roman" w:hAnsi="Times New Roman" w:eastAsia="Noto Sans CJK SC"/>
          <w:color w:val="000000"/>
          <w:sz w:val="21"/>
          <w:lang w:val="en-US" w:eastAsia="zh-CN"/>
        </w:rPr>
        <w:t>Figure 6.12 Consumer Card Normal Reference Plot</w:t>
      </w:r>
    </w:p>
    <w:p>
      <w:pPr>
        <w:keepNext/>
        <w:pageBreakBefore w:val="0"/>
        <w:spacing w:after="140"/>
      </w:pPr>
      <w:r>
        <w:drawing>
          <wp:inline xmlns:a="http://schemas.openxmlformats.org/drawingml/2006/main" xmlns:pic="http://schemas.openxmlformats.org/drawingml/2006/picture">
            <wp:extent cx="6172200" cy="3640015"/>
            <wp:docPr id="26" name="Picture 26"/>
            <wp:cNvGraphicFramePr>
              <a:graphicFrameLocks noChangeAspect="1"/>
            </wp:cNvGraphicFramePr>
            <a:graphic>
              <a:graphicData uri="http://schemas.openxmlformats.org/drawingml/2006/picture">
                <pic:pic>
                  <pic:nvPicPr>
                    <pic:cNvPr id="0" name="consumer_qq.png"/>
                    <pic:cNvPicPr/>
                  </pic:nvPicPr>
                  <pic:blipFill>
                    <a:blip r:embed="rId41"/>
                    <a:stretch>
                      <a:fillRect/>
                    </a:stretch>
                  </pic:blipFill>
                  <pic:spPr>
                    <a:xfrm>
                      <a:off x="0" y="0"/>
                      <a:ext cx="6172200" cy="3640015"/>
                    </a:xfrm>
                    <a:prstGeom prst="rect"/>
                  </pic:spPr>
                </pic:pic>
              </a:graphicData>
            </a:graphic>
          </wp:inline>
        </w:drawing>
      </w:r>
    </w:p>
    <w:p>
      <w:pPr>
        <w:keepNext w:val="0"/>
        <w:pageBreakBefore w:val="0"/>
        <w:spacing w:after="140" w:line="230" w:lineRule="exact"/>
      </w:pPr>
      <w:r>
        <w:rPr>
          <w:rFonts w:ascii="Times New Roman" w:hAnsi="Times New Roman" w:eastAsia="Noto Sans CJK SC"/>
          <w:color w:val="000000"/>
          <w:sz w:val="17"/>
          <w:lang w:val="en-US" w:eastAsia="zh-CN"/>
          <w:lang w:val="en-US" w:eastAsia="zh-CN"/>
        </w:rPr>
        <w:t>Data sources: consumer/​static_​in_​sample.csv. Exported target residuals standardized using the sample mean and standard deviation; midpoint normal plotting positions.</w:t>
      </w:r>
    </w:p>
    <w:p>
      <w:pPr>
        <w:pStyle w:val="Heading3"/>
        <w:keepNext/>
        <w:pageBreakBefore w:val="0"/>
        <w:spacing w:after="140"/>
      </w:pPr>
      <w:r>
        <w:rPr>
          <w:rFonts w:ascii="Times New Roman" w:hAnsi="Times New Roman" w:eastAsia="Noto Sans CJK SC"/>
          <w:color w:val="000000"/>
          <w:sz w:val="22"/>
          <w:lang w:val="en-US" w:eastAsia="zh-CN"/>
        </w:rPr>
        <w:t>6.2.6 Stability Testing</w:t>
      </w:r>
    </w:p>
    <w:p>
      <w:pPr>
        <w:widowControl/>
      </w:pPr>
      <w:r>
        <w:rPr>
          <w:rFonts w:ascii="Times New Roman" w:hAnsi="Times New Roman" w:eastAsia="Noto Sans CJK SC"/>
          <w:color w:val="000000"/>
          <w:sz w:val="22"/>
          <w:lang w:val="en-US" w:eastAsia="zh-CN"/>
        </w:rPr>
        <w:t>Consumer runs 118 overlapping 60-observation windows. Both own-growth lag coefficients and January remain negative; December and Retail Sales MA3 remain positive in every window.</w:t>
      </w:r>
    </w:p>
    <w:p>
      <w:pPr>
        <w:pStyle w:val="Caption"/>
        <w:keepNext/>
        <w:pageBreakBefore w:val="0"/>
        <w:spacing w:after="140"/>
      </w:pPr>
      <w:r>
        <w:rPr>
          <w:rFonts w:ascii="Times New Roman" w:hAnsi="Times New Roman" w:eastAsia="Noto Sans CJK SC"/>
          <w:color w:val="000000"/>
          <w:sz w:val="21"/>
          <w:lang w:val="en-US" w:eastAsia="zh-CN"/>
        </w:rPr>
        <w:t>Table 6.14 Consumer Rolling Coefficient Ranges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1656"/>
        <w:gridCol w:w="1656"/>
        <w:gridCol w:w="1584"/>
      </w:tblGrid>
      <w:tr>
        <w:trPr>
          <w:cantSplit/>
          <w:tblHeader/>
        </w:trPr>
        <w:tc>
          <w:tcPr>
            <w:tcW w:type="dxa" w:w="5040"/>
            <w:vAlign w:val="center"/>
            <w:tcMar>
              <w:top w:w="90" w:type="dxa"/>
              <w:bottom w:w="90" w:type="dxa"/>
              <w:left w:w="90" w:type="dxa"/>
              <w:right w:w="90" w:type="dxa"/>
            </w:tcMar>
            <w:shd w:fill="E7E6E6"/>
          </w:tcPr>
          <w:p>
            <w:pPr>
              <w:spacing w:after="40" w:line="240" w:lineRule="exact"/>
            </w:pPr>
            <w:r>
              <w:rPr>
                <w:rFonts w:ascii="Times New Roman" w:hAnsi="Times New Roman" w:eastAsia="Noto Sans CJK SC"/>
                <w:b/>
                <w:color w:val="000000"/>
                <w:sz w:val="19"/>
                <w:lang w:val="en-US" w:eastAsia="zh-CN"/>
              </w:rPr>
              <w:t>Term</w:t>
            </w:r>
          </w:p>
        </w:tc>
        <w:tc>
          <w:tcPr>
            <w:tcW w:type="dxa" w:w="1656"/>
            <w:vAlign w:val="center"/>
            <w:tcMar>
              <w:top w:w="90" w:type="dxa"/>
              <w:bottom w:w="90" w:type="dxa"/>
              <w:left w:w="90" w:type="dxa"/>
              <w:right w:w="90" w:type="dxa"/>
            </w:tcMar>
            <w:shd w:fill="E7E6E6"/>
          </w:tcPr>
          <w:p>
            <w:pPr>
              <w:spacing w:after="40" w:line="240" w:lineRule="exact"/>
            </w:pPr>
            <w:r>
              <w:rPr>
                <w:rFonts w:ascii="Times New Roman" w:hAnsi="Times New Roman" w:eastAsia="Noto Sans CJK SC"/>
                <w:b/>
                <w:color w:val="000000"/>
                <w:sz w:val="19"/>
                <w:lang w:val="en-US" w:eastAsia="zh-CN"/>
              </w:rPr>
              <w:t>Minimum</w:t>
            </w:r>
          </w:p>
        </w:tc>
        <w:tc>
          <w:tcPr>
            <w:tcW w:type="dxa" w:w="1656"/>
            <w:vAlign w:val="center"/>
            <w:tcMar>
              <w:top w:w="90" w:type="dxa"/>
              <w:bottom w:w="90" w:type="dxa"/>
              <w:left w:w="90" w:type="dxa"/>
              <w:right w:w="90" w:type="dxa"/>
            </w:tcMar>
            <w:shd w:fill="E7E6E6"/>
          </w:tcPr>
          <w:p>
            <w:pPr>
              <w:spacing w:after="40" w:line="240" w:lineRule="exact"/>
            </w:pPr>
            <w:r>
              <w:rPr>
                <w:rFonts w:ascii="Times New Roman" w:hAnsi="Times New Roman" w:eastAsia="Noto Sans CJK SC"/>
                <w:b/>
                <w:color w:val="000000"/>
                <w:sz w:val="19"/>
                <w:lang w:val="en-US" w:eastAsia="zh-CN"/>
              </w:rPr>
              <w:t>Maximum</w:t>
            </w:r>
          </w:p>
        </w:tc>
        <w:tc>
          <w:tcPr>
            <w:tcW w:type="dxa" w:w="1584"/>
            <w:vAlign w:val="center"/>
            <w:tcMar>
              <w:top w:w="90" w:type="dxa"/>
              <w:bottom w:w="90" w:type="dxa"/>
              <w:left w:w="90" w:type="dxa"/>
              <w:right w:w="90" w:type="dxa"/>
            </w:tcMar>
            <w:shd w:fill="E7E6E6"/>
          </w:tcPr>
          <w:p>
            <w:pPr>
              <w:spacing w:after="40" w:line="240" w:lineRule="exact"/>
            </w:pPr>
            <w:r>
              <w:rPr>
                <w:rFonts w:ascii="Times New Roman" w:hAnsi="Times New Roman" w:eastAsia="Noto Sans CJK SC"/>
                <w:b/>
                <w:color w:val="000000"/>
                <w:sz w:val="19"/>
                <w:lang w:val="en-US" w:eastAsia="zh-CN"/>
              </w:rPr>
              <w:t>Sign changes</w:t>
            </w:r>
          </w:p>
        </w:tc>
      </w:tr>
      <w:tr>
        <w:trPr>
          <w:cantSplit/>
        </w:trPr>
        <w:tc>
          <w:tcPr>
            <w:tcW w:type="dxa" w:w="504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Fee log growth, lag 1</w:t>
            </w:r>
          </w:p>
        </w:tc>
        <w:tc>
          <w:tcPr>
            <w:tcW w:type="dxa" w:w="1656"/>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 xml:space="preserve">-0.8737 </w:t>
            </w:r>
            <w:r>
              <w:rPr>
                <w:rFonts w:ascii="Times New Roman" w:hAnsi="Times New Roman" w:eastAsia="Noto Sans CJK SC"/>
                <w:color w:val="000000"/>
                <w:sz w:val="17"/>
                <w:lang w:val="en-US" w:eastAsia="zh-CN"/>
              </w:rPr>
              <w:t>[consumer/​rolling_​summary.csv/​row 2 col 3]</w:t>
            </w:r>
          </w:p>
        </w:tc>
        <w:tc>
          <w:tcPr>
            <w:tcW w:type="dxa" w:w="1656"/>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 xml:space="preserve">-0.1945 </w:t>
            </w:r>
            <w:r>
              <w:rPr>
                <w:rFonts w:ascii="Times New Roman" w:hAnsi="Times New Roman" w:eastAsia="Noto Sans CJK SC"/>
                <w:color w:val="000000"/>
                <w:sz w:val="17"/>
                <w:lang w:val="en-US" w:eastAsia="zh-CN"/>
              </w:rPr>
              <w:t>[consumer/​rolling_​summary.csv/​row 2 col 4]</w:t>
            </w:r>
          </w:p>
        </w:tc>
        <w:tc>
          <w:tcPr>
            <w:tcW w:type="dxa" w:w="1584"/>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 xml:space="preserve">0 </w:t>
            </w:r>
            <w:r>
              <w:rPr>
                <w:rFonts w:ascii="Times New Roman" w:hAnsi="Times New Roman" w:eastAsia="Noto Sans CJK SC"/>
                <w:color w:val="000000"/>
                <w:sz w:val="17"/>
                <w:lang w:val="en-US" w:eastAsia="zh-CN"/>
              </w:rPr>
              <w:t>[consumer/​rolling_​summary.csv/​row 2 col 7]</w:t>
            </w:r>
          </w:p>
        </w:tc>
      </w:tr>
      <w:tr>
        <w:trPr>
          <w:cantSplit/>
        </w:trPr>
        <w:tc>
          <w:tcPr>
            <w:tcW w:type="dxa" w:w="504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Fee log growth, lag 2</w:t>
            </w:r>
          </w:p>
        </w:tc>
        <w:tc>
          <w:tcPr>
            <w:tcW w:type="dxa" w:w="1656"/>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 xml:space="preserve">-0.4866 </w:t>
            </w:r>
            <w:r>
              <w:rPr>
                <w:rFonts w:ascii="Times New Roman" w:hAnsi="Times New Roman" w:eastAsia="Noto Sans CJK SC"/>
                <w:color w:val="000000"/>
                <w:sz w:val="17"/>
                <w:lang w:val="en-US" w:eastAsia="zh-CN"/>
              </w:rPr>
              <w:t>[consumer/​rolling_​summary.csv/​row 3 col 3]</w:t>
            </w:r>
          </w:p>
        </w:tc>
        <w:tc>
          <w:tcPr>
            <w:tcW w:type="dxa" w:w="1656"/>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 xml:space="preserve">-0.2739 </w:t>
            </w:r>
            <w:r>
              <w:rPr>
                <w:rFonts w:ascii="Times New Roman" w:hAnsi="Times New Roman" w:eastAsia="Noto Sans CJK SC"/>
                <w:color w:val="000000"/>
                <w:sz w:val="17"/>
                <w:lang w:val="en-US" w:eastAsia="zh-CN"/>
              </w:rPr>
              <w:t>[consumer/​rolling_​summary.csv/​row 3 col 4]</w:t>
            </w:r>
          </w:p>
        </w:tc>
        <w:tc>
          <w:tcPr>
            <w:tcW w:type="dxa" w:w="1584"/>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 xml:space="preserve">0 </w:t>
            </w:r>
            <w:r>
              <w:rPr>
                <w:rFonts w:ascii="Times New Roman" w:hAnsi="Times New Roman" w:eastAsia="Noto Sans CJK SC"/>
                <w:color w:val="000000"/>
                <w:sz w:val="17"/>
                <w:lang w:val="en-US" w:eastAsia="zh-CN"/>
              </w:rPr>
              <w:t>[consumer/​rolling_​summary.csv/​row 3 col 7]</w:t>
            </w:r>
          </w:p>
        </w:tc>
      </w:tr>
      <w:tr>
        <w:trPr>
          <w:cantSplit/>
        </w:trPr>
        <w:tc>
          <w:tcPr>
            <w:tcW w:type="dxa" w:w="504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January indicator</w:t>
            </w:r>
          </w:p>
        </w:tc>
        <w:tc>
          <w:tcPr>
            <w:tcW w:type="dxa" w:w="1656"/>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 xml:space="preserve">-19.0167 </w:t>
            </w:r>
            <w:r>
              <w:rPr>
                <w:rFonts w:ascii="Times New Roman" w:hAnsi="Times New Roman" w:eastAsia="Noto Sans CJK SC"/>
                <w:color w:val="000000"/>
                <w:sz w:val="17"/>
                <w:lang w:val="en-US" w:eastAsia="zh-CN"/>
              </w:rPr>
              <w:t>[consumer/​rolling_​summary.csv/​row 4 col 3]</w:t>
            </w:r>
          </w:p>
        </w:tc>
        <w:tc>
          <w:tcPr>
            <w:tcW w:type="dxa" w:w="1656"/>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 xml:space="preserve">-5.2670 </w:t>
            </w:r>
            <w:r>
              <w:rPr>
                <w:rFonts w:ascii="Times New Roman" w:hAnsi="Times New Roman" w:eastAsia="Noto Sans CJK SC"/>
                <w:color w:val="000000"/>
                <w:sz w:val="17"/>
                <w:lang w:val="en-US" w:eastAsia="zh-CN"/>
              </w:rPr>
              <w:t>[consumer/​rolling_​summary.csv/​row 4 col 4]</w:t>
            </w:r>
          </w:p>
        </w:tc>
        <w:tc>
          <w:tcPr>
            <w:tcW w:type="dxa" w:w="1584"/>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 xml:space="preserve">0 </w:t>
            </w:r>
            <w:r>
              <w:rPr>
                <w:rFonts w:ascii="Times New Roman" w:hAnsi="Times New Roman" w:eastAsia="Noto Sans CJK SC"/>
                <w:color w:val="000000"/>
                <w:sz w:val="17"/>
                <w:lang w:val="en-US" w:eastAsia="zh-CN"/>
              </w:rPr>
              <w:t>[consumer/​rolling_​summary.csv/​row 4 col 7]</w:t>
            </w:r>
          </w:p>
        </w:tc>
      </w:tr>
      <w:tr>
        <w:trPr>
          <w:cantSplit/>
        </w:trPr>
        <w:tc>
          <w:tcPr>
            <w:tcW w:type="dxa" w:w="504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December indicator</w:t>
            </w:r>
          </w:p>
        </w:tc>
        <w:tc>
          <w:tcPr>
            <w:tcW w:type="dxa" w:w="1656"/>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 xml:space="preserve">11.6767 </w:t>
            </w:r>
            <w:r>
              <w:rPr>
                <w:rFonts w:ascii="Times New Roman" w:hAnsi="Times New Roman" w:eastAsia="Noto Sans CJK SC"/>
                <w:color w:val="000000"/>
                <w:sz w:val="17"/>
                <w:lang w:val="en-US" w:eastAsia="zh-CN"/>
              </w:rPr>
              <w:t>[consumer/​rolling_​summary.csv/​row 5 col 3]</w:t>
            </w:r>
          </w:p>
        </w:tc>
        <w:tc>
          <w:tcPr>
            <w:tcW w:type="dxa" w:w="1656"/>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 xml:space="preserve">26.7380 </w:t>
            </w:r>
            <w:r>
              <w:rPr>
                <w:rFonts w:ascii="Times New Roman" w:hAnsi="Times New Roman" w:eastAsia="Noto Sans CJK SC"/>
                <w:color w:val="000000"/>
                <w:sz w:val="17"/>
                <w:lang w:val="en-US" w:eastAsia="zh-CN"/>
              </w:rPr>
              <w:t>[consumer/​rolling_​summary.csv/​row 5 col 4]</w:t>
            </w:r>
          </w:p>
        </w:tc>
        <w:tc>
          <w:tcPr>
            <w:tcW w:type="dxa" w:w="1584"/>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 xml:space="preserve">0 </w:t>
            </w:r>
            <w:r>
              <w:rPr>
                <w:rFonts w:ascii="Times New Roman" w:hAnsi="Times New Roman" w:eastAsia="Noto Sans CJK SC"/>
                <w:color w:val="000000"/>
                <w:sz w:val="17"/>
                <w:lang w:val="en-US" w:eastAsia="zh-CN"/>
              </w:rPr>
              <w:t>[consumer/​rolling_​summary.csv/​row 5 col 7]</w:t>
            </w:r>
          </w:p>
        </w:tc>
      </w:tr>
      <w:tr>
        <w:trPr>
          <w:cantSplit/>
        </w:trPr>
        <w:tc>
          <w:tcPr>
            <w:tcW w:type="dxa" w:w="504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Retail Sales MoM growth, MA3</w:t>
            </w:r>
          </w:p>
        </w:tc>
        <w:tc>
          <w:tcPr>
            <w:tcW w:type="dxa" w:w="1656"/>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 xml:space="preserve">1.0792 </w:t>
            </w:r>
            <w:r>
              <w:rPr>
                <w:rFonts w:ascii="Times New Roman" w:hAnsi="Times New Roman" w:eastAsia="Noto Sans CJK SC"/>
                <w:color w:val="000000"/>
                <w:sz w:val="17"/>
                <w:lang w:val="en-US" w:eastAsia="zh-CN"/>
              </w:rPr>
              <w:t>[consumer/​rolling_​summary.csv/​row 6 col 3]</w:t>
            </w:r>
          </w:p>
        </w:tc>
        <w:tc>
          <w:tcPr>
            <w:tcW w:type="dxa" w:w="1656"/>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 xml:space="preserve">5.8778 </w:t>
            </w:r>
            <w:r>
              <w:rPr>
                <w:rFonts w:ascii="Times New Roman" w:hAnsi="Times New Roman" w:eastAsia="Noto Sans CJK SC"/>
                <w:color w:val="000000"/>
                <w:sz w:val="17"/>
                <w:lang w:val="en-US" w:eastAsia="zh-CN"/>
              </w:rPr>
              <w:t>[consumer/​rolling_​summary.csv/​row 6 col 4]</w:t>
            </w:r>
          </w:p>
        </w:tc>
        <w:tc>
          <w:tcPr>
            <w:tcW w:type="dxa" w:w="1584"/>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 xml:space="preserve">0 </w:t>
            </w:r>
            <w:r>
              <w:rPr>
                <w:rFonts w:ascii="Times New Roman" w:hAnsi="Times New Roman" w:eastAsia="Noto Sans CJK SC"/>
                <w:color w:val="000000"/>
                <w:sz w:val="17"/>
                <w:lang w:val="en-US" w:eastAsia="zh-CN"/>
              </w:rPr>
              <w:t>[consumer/​rolling_​summary.csv/​row 6 col 7]</w:t>
            </w:r>
          </w:p>
        </w:tc>
      </w:tr>
    </w:tbl>
    <w:p>
      <w:pPr>
        <w:keepNext w:val="0"/>
        <w:pageBreakBefore w:val="0"/>
        <w:spacing w:after="140" w:line="230" w:lineRule="exact"/>
      </w:pPr>
      <w:r>
        <w:rPr>
          <w:rFonts w:ascii="Times New Roman" w:hAnsi="Times New Roman" w:eastAsia="Noto Sans CJK SC"/>
          <w:color w:val="000000"/>
          <w:sz w:val="17"/>
          <w:lang w:val="en-US" w:eastAsia="zh-CN"/>
          <w:lang w:val="en-US" w:eastAsia="zh-CN"/>
        </w:rPr>
        <w:t>Data sources: consumer/​rolling_​summary.csv.</w:t>
      </w:r>
    </w:p>
    <w:p>
      <w:pPr>
        <w:keepNext/>
        <w:keepLines/>
        <w:pageBreakBefore w:val="0"/>
        <w:spacing w:after="140"/>
      </w:pPr>
      <w:r>
        <w:rPr>
          <w:rFonts w:ascii="Times New Roman" w:hAnsi="Times New Roman" w:eastAsia="Noto Sans CJK SC"/>
          <w:color w:val="000000"/>
          <w:sz w:val="22"/>
          <w:lang w:val="en-US" w:eastAsia="zh-CN"/>
        </w:rPr>
        <w:t>The rolling paths retain negative coefficients for the displayed fee-growth lags and a positive coefficient for Retail Sales. Their changing magnitudes show how the estimated strength of these relationships varies across successive estimation windows.</w:t>
      </w:r>
    </w:p>
    <w:p>
      <w:pPr>
        <w:pStyle w:val="Caption"/>
        <w:keepNext/>
        <w:pageBreakBefore w:val="0"/>
        <w:spacing w:after="140"/>
      </w:pPr>
      <w:r>
        <w:rPr>
          <w:rFonts w:ascii="Times New Roman" w:hAnsi="Times New Roman" w:eastAsia="Noto Sans CJK SC"/>
          <w:color w:val="000000"/>
          <w:sz w:val="21"/>
          <w:lang w:val="en-US" w:eastAsia="zh-CN"/>
        </w:rPr>
        <w:t>Figure 6.13 Consumer Rolling Coefficient Stability</w:t>
      </w:r>
    </w:p>
    <w:p>
      <w:pPr>
        <w:keepNext/>
        <w:widowControl/>
        <w:jc w:val="center"/>
      </w:pPr>
      <w:r>
        <w:drawing>
          <wp:inline xmlns:a="http://schemas.openxmlformats.org/drawingml/2006/main" xmlns:pic="http://schemas.openxmlformats.org/drawingml/2006/picture">
            <wp:extent cx="6080760" cy="2370078"/>
            <wp:docPr id="15" name="Picture 15" descr="Figure 6.4 Consumer rolling coefficient paths"/>
            <wp:cNvGraphicFramePr>
              <a:graphicFrameLocks noChangeAspect="1"/>
            </wp:cNvGraphicFramePr>
            <a:graphic>
              <a:graphicData uri="http://schemas.openxmlformats.org/drawingml/2006/picture">
                <pic:pic>
                  <pic:nvPicPr>
                    <pic:cNvPr id="0" name="consumer_rolling.png"/>
                    <pic:cNvPicPr/>
                  </pic:nvPicPr>
                  <pic:blipFill>
                    <a:blip r:embed="rId25"/>
                    <a:stretch>
                      <a:fillRect/>
                    </a:stretch>
                  </pic:blipFill>
                  <pic:spPr>
                    <a:xfrm>
                      <a:off x="0" y="0"/>
                      <a:ext cx="6080760" cy="2370078"/>
                    </a:xfrm>
                    <a:prstGeom prst="rect"/>
                  </pic:spPr>
                </pic:pic>
              </a:graphicData>
            </a:graphic>
          </wp:inline>
        </w:drawing>
      </w:r>
    </w:p>
    <w:p>
      <w:pPr>
        <w:keepNext w:val="0"/>
        <w:pageBreakBefore w:val="0"/>
        <w:spacing w:after="140" w:line="230" w:lineRule="exact"/>
      </w:pPr>
      <w:r>
        <w:rPr>
          <w:rFonts w:ascii="Times New Roman" w:hAnsi="Times New Roman" w:eastAsia="Noto Sans CJK SC"/>
          <w:color w:val="000000"/>
          <w:sz w:val="17"/>
          <w:lang w:val="en-US" w:eastAsia="zh-CN"/>
          <w:lang w:val="en-US" w:eastAsia="zh-CN"/>
        </w:rPr>
        <w:t>Data sources: consumer/​rolling_​coefficients.csv. Sequential 60-observation estimation windows.</w:t>
      </w:r>
    </w:p>
    <w:p>
      <w:pPr>
        <w:pStyle w:val="Heading3"/>
        <w:keepNext/>
        <w:pageBreakBefore w:val="0"/>
        <w:spacing w:after="140"/>
      </w:pPr>
      <w:r>
        <w:rPr>
          <w:rFonts w:ascii="Times New Roman" w:hAnsi="Times New Roman" w:eastAsia="Noto Sans CJK SC"/>
          <w:color w:val="000000"/>
          <w:sz w:val="22"/>
          <w:lang w:val="en-US" w:eastAsia="zh-CN"/>
        </w:rPr>
        <w:t>6.2.7 Out of Time Testing Framework and Results</w:t>
      </w:r>
    </w:p>
    <w:p>
      <w:pPr>
        <w:keepNext w:val="0"/>
        <w:pageBreakBefore w:val="0"/>
        <w:spacing w:after="140"/>
      </w:pPr>
      <w:r>
        <w:rPr>
          <w:rFonts w:ascii="Times New Roman" w:hAnsi="Times New Roman" w:eastAsia="Noto Sans CJK SC"/>
          <w:color w:val="000000"/>
          <w:sz w:val="22"/>
          <w:lang w:val="en-US" w:eastAsia="zh-CN"/>
        </w:rPr>
        <w:t>Out-of-time testing uses October 2023 through December 2025 to assess forecast performance beyond the coefficient-development period. Results are compared with realized fee revenue on the original $000 scale. Static and recursive exercises are reported separately so that the role of forecast-state updating is explicit.</w:t>
      </w:r>
    </w:p>
    <w:p>
      <w:pPr>
        <w:keepNext w:val="0"/>
        <w:pageBreakBefore w:val="0"/>
        <w:spacing w:after="140"/>
      </w:pPr>
      <w:r>
        <w:rPr>
          <w:rFonts w:ascii="Times New Roman" w:hAnsi="Times New Roman" w:eastAsia="Noto Sans CJK SC"/>
          <w:color w:val="000000"/>
          <w:sz w:val="22"/>
          <w:lang w:val="en-US" w:eastAsia="zh-CN"/>
        </w:rPr>
        <w:t>The development coefficients remain fixed throughout OOT testing. Static testing uses observed prior fees and fee changes; recursive testing uses previously forecast fee states. Both exercises use historical Retail Sales inputs.</w:t>
      </w:r>
    </w:p>
    <w:p>
      <w:pPr>
        <w:pStyle w:val="Caption"/>
        <w:keepNext/>
        <w:pageBreakBefore w:val="0"/>
        <w:spacing w:after="140"/>
      </w:pPr>
      <w:r>
        <w:rPr>
          <w:rFonts w:ascii="Times New Roman" w:hAnsi="Times New Roman" w:eastAsia="Noto Sans CJK SC"/>
          <w:color w:val="000000"/>
          <w:sz w:val="21"/>
          <w:lang w:val="en-US" w:eastAsia="zh-CN"/>
        </w:rPr>
        <w:t>Table 6.15 Consumer Card OOT Forecast Accuracy</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00"/>
        <w:gridCol w:w="3168"/>
        <w:gridCol w:w="3168"/>
      </w:tblGrid>
      <w:tr>
        <w:trPr>
          <w:cantSplit/>
          <w:tblHeader/>
        </w:trPr>
        <w:tc>
          <w:tcPr>
            <w:tcW w:type="dxa" w:w="3600"/>
            <w:vAlign w:val="center"/>
            <w:tcMar>
              <w:top w:w="90" w:type="dxa"/>
              <w:bottom w:w="90" w:type="dxa"/>
              <w:left w:w="90" w:type="dxa"/>
              <w:right w:w="90" w:type="dxa"/>
            </w:tcMar>
            <w:shd w:fill="E7E6E6"/>
          </w:tcPr>
          <w:p>
            <w:pPr>
              <w:spacing w:after="40" w:line="240" w:lineRule="exact"/>
            </w:pPr>
            <w:r>
              <w:rPr>
                <w:rFonts w:ascii="Times New Roman" w:hAnsi="Times New Roman" w:eastAsia="Noto Sans CJK SC"/>
                <w:b/>
                <w:color w:val="000000"/>
                <w:sz w:val="19"/>
                <w:lang w:val="en-US" w:eastAsia="zh-CN"/>
              </w:rPr>
              <w:t>Method</w:t>
            </w:r>
          </w:p>
        </w:tc>
        <w:tc>
          <w:tcPr>
            <w:tcW w:type="dxa" w:w="3168"/>
            <w:vAlign w:val="center"/>
            <w:tcMar>
              <w:top w:w="90" w:type="dxa"/>
              <w:bottom w:w="90" w:type="dxa"/>
              <w:left w:w="90" w:type="dxa"/>
              <w:right w:w="90" w:type="dxa"/>
            </w:tcMar>
            <w:shd w:fill="E7E6E6"/>
          </w:tcPr>
          <w:p>
            <w:pPr>
              <w:spacing w:after="40" w:line="240" w:lineRule="exact"/>
            </w:pPr>
            <w:r>
              <w:rPr>
                <w:rFonts w:ascii="Times New Roman" w:hAnsi="Times New Roman" w:eastAsia="Noto Sans CJK SC"/>
                <w:b/>
                <w:color w:val="000000"/>
                <w:sz w:val="19"/>
                <w:lang w:val="en-US" w:eastAsia="zh-CN"/>
              </w:rPr>
              <w:t>MAPE (%)</w:t>
            </w:r>
          </w:p>
        </w:tc>
        <w:tc>
          <w:tcPr>
            <w:tcW w:type="dxa" w:w="3168"/>
            <w:vAlign w:val="center"/>
            <w:tcMar>
              <w:top w:w="90" w:type="dxa"/>
              <w:bottom w:w="90" w:type="dxa"/>
              <w:left w:w="90" w:type="dxa"/>
              <w:right w:w="90" w:type="dxa"/>
            </w:tcMar>
            <w:shd w:fill="E7E6E6"/>
          </w:tcPr>
          <w:p>
            <w:pPr>
              <w:spacing w:after="40" w:line="240" w:lineRule="exact"/>
            </w:pPr>
            <w:r>
              <w:rPr>
                <w:rFonts w:ascii="Times New Roman" w:hAnsi="Times New Roman" w:eastAsia="Noto Sans CJK SC"/>
                <w:b/>
                <w:color w:val="000000"/>
                <w:sz w:val="19"/>
                <w:lang w:val="en-US" w:eastAsia="zh-CN"/>
              </w:rPr>
              <w:t>RMSE ($000)</w:t>
            </w:r>
          </w:p>
        </w:tc>
      </w:tr>
      <w:tr>
        <w:trPr>
          <w:cantSplit/>
        </w:trPr>
        <w:tc>
          <w:tcPr>
            <w:tcW w:type="dxa" w:w="360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Static OOT</w:t>
            </w:r>
          </w:p>
        </w:tc>
        <w:tc>
          <w:tcPr>
            <w:tcW w:type="dxa" w:w="3168"/>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 xml:space="preserve">5.05 </w:t>
            </w:r>
            <w:r>
              <w:rPr>
                <w:rFonts w:ascii="Times New Roman" w:hAnsi="Times New Roman" w:eastAsia="Noto Sans CJK SC"/>
                <w:color w:val="000000"/>
                <w:sz w:val="17"/>
                <w:lang w:val="en-US" w:eastAsia="zh-CN"/>
              </w:rPr>
              <w:t>[consumer/​forecast_​accuracy.csv/​row 3 col 3]</w:t>
            </w:r>
          </w:p>
        </w:tc>
        <w:tc>
          <w:tcPr>
            <w:tcW w:type="dxa" w:w="3168"/>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 xml:space="preserve">45.89 </w:t>
            </w:r>
            <w:r>
              <w:rPr>
                <w:rFonts w:ascii="Times New Roman" w:hAnsi="Times New Roman" w:eastAsia="Noto Sans CJK SC"/>
                <w:color w:val="000000"/>
                <w:sz w:val="17"/>
                <w:lang w:val="en-US" w:eastAsia="zh-CN"/>
              </w:rPr>
              <w:t>[consumer/​forecast_​accuracy.csv/​row 3 col 4]</w:t>
            </w:r>
          </w:p>
        </w:tc>
      </w:tr>
      <w:tr>
        <w:trPr>
          <w:cantSplit/>
        </w:trPr>
        <w:tc>
          <w:tcPr>
            <w:tcW w:type="dxa" w:w="360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Recursive OOT</w:t>
            </w:r>
          </w:p>
        </w:tc>
        <w:tc>
          <w:tcPr>
            <w:tcW w:type="dxa" w:w="3168"/>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 xml:space="preserve">5.96 </w:t>
            </w:r>
            <w:r>
              <w:rPr>
                <w:rFonts w:ascii="Times New Roman" w:hAnsi="Times New Roman" w:eastAsia="Noto Sans CJK SC"/>
                <w:color w:val="000000"/>
                <w:sz w:val="17"/>
                <w:lang w:val="en-US" w:eastAsia="zh-CN"/>
              </w:rPr>
              <w:t>[consumer/​forecast_​accuracy.csv/​row 4 col 3]</w:t>
            </w:r>
          </w:p>
        </w:tc>
        <w:tc>
          <w:tcPr>
            <w:tcW w:type="dxa" w:w="3168"/>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 xml:space="preserve">53.34 </w:t>
            </w:r>
            <w:r>
              <w:rPr>
                <w:rFonts w:ascii="Times New Roman" w:hAnsi="Times New Roman" w:eastAsia="Noto Sans CJK SC"/>
                <w:color w:val="000000"/>
                <w:sz w:val="17"/>
                <w:lang w:val="en-US" w:eastAsia="zh-CN"/>
              </w:rPr>
              <w:t>[consumer/​forecast_​accuracy.csv/​row 4 col 4]</w:t>
            </w:r>
          </w:p>
        </w:tc>
      </w:tr>
    </w:tbl>
    <w:p>
      <w:pPr>
        <w:keepNext w:val="0"/>
        <w:pageBreakBefore w:val="0"/>
        <w:spacing w:after="140" w:line="230" w:lineRule="exact"/>
      </w:pPr>
      <w:r>
        <w:rPr>
          <w:rFonts w:ascii="Times New Roman" w:hAnsi="Times New Roman" w:eastAsia="Noto Sans CJK SC"/>
          <w:color w:val="000000"/>
          <w:sz w:val="17"/>
          <w:lang w:val="en-US" w:eastAsia="zh-CN"/>
          <w:lang w:val="en-US" w:eastAsia="zh-CN"/>
        </w:rPr>
        <w:t>Data sources: consumer/​forecast_​accuracy.csv.</w:t>
      </w:r>
    </w:p>
    <w:p>
      <w:pPr>
        <w:keepNext/>
        <w:keepLines/>
        <w:pageBreakBefore w:val="0"/>
        <w:spacing w:after="140"/>
      </w:pPr>
      <w:r>
        <w:rPr>
          <w:rFonts w:ascii="Times New Roman" w:hAnsi="Times New Roman" w:eastAsia="Noto Sans CJK SC"/>
          <w:color w:val="000000"/>
          <w:sz w:val="22"/>
          <w:lang w:val="en-US" w:eastAsia="zh-CN"/>
        </w:rPr>
        <w:t>The recursive Consumer forecast reproduces the recurring year-end peaks and subsequent declines visible in actual fees. The side-by-side paths also identify periods when the projected revenue level differs from the realized level.</w:t>
      </w:r>
    </w:p>
    <w:p>
      <w:pPr>
        <w:pStyle w:val="Caption"/>
        <w:keepNext/>
        <w:pageBreakBefore w:val="0"/>
        <w:spacing w:after="140"/>
      </w:pPr>
      <w:r>
        <w:rPr>
          <w:rFonts w:ascii="Times New Roman" w:hAnsi="Times New Roman" w:eastAsia="Noto Sans CJK SC"/>
          <w:color w:val="000000"/>
          <w:sz w:val="21"/>
          <w:lang w:val="en-US" w:eastAsia="zh-CN"/>
        </w:rPr>
        <w:t>Figure 6.14 Consumer Card OOT Forecast Results</w:t>
      </w:r>
    </w:p>
    <w:p>
      <w:pPr>
        <w:keepNext/>
        <w:widowControl/>
        <w:jc w:val="center"/>
      </w:pPr>
      <w:r>
        <w:drawing>
          <wp:inline xmlns:a="http://schemas.openxmlformats.org/drawingml/2006/main" xmlns:pic="http://schemas.openxmlformats.org/drawingml/2006/picture">
            <wp:extent cx="6080760" cy="2368296"/>
            <wp:docPr id="17" name="Picture 17" descr="Figure 6.6 Consumer recursive OOT forecast"/>
            <wp:cNvGraphicFramePr>
              <a:graphicFrameLocks noChangeAspect="1"/>
            </wp:cNvGraphicFramePr>
            <a:graphic>
              <a:graphicData uri="http://schemas.openxmlformats.org/drawingml/2006/picture">
                <pic:pic>
                  <pic:nvPicPr>
                    <pic:cNvPr id="0" name="consumer_recursive_oot.png"/>
                    <pic:cNvPicPr/>
                  </pic:nvPicPr>
                  <pic:blipFill>
                    <a:blip r:embed="rId27"/>
                    <a:stretch>
                      <a:fillRect/>
                    </a:stretch>
                  </pic:blipFill>
                  <pic:spPr>
                    <a:xfrm>
                      <a:off x="0" y="0"/>
                      <a:ext cx="6080760" cy="2368296"/>
                    </a:xfrm>
                    <a:prstGeom prst="rect"/>
                  </pic:spPr>
                </pic:pic>
              </a:graphicData>
            </a:graphic>
          </wp:inline>
        </w:drawing>
      </w:r>
    </w:p>
    <w:p>
      <w:pPr>
        <w:keepNext w:val="0"/>
        <w:pageBreakBefore w:val="0"/>
        <w:spacing w:after="140" w:line="230" w:lineRule="exact"/>
      </w:pPr>
      <w:r>
        <w:rPr>
          <w:rFonts w:ascii="Times New Roman" w:hAnsi="Times New Roman" w:eastAsia="Noto Sans CJK SC"/>
          <w:color w:val="000000"/>
          <w:sz w:val="17"/>
          <w:lang w:val="en-US" w:eastAsia="zh-CN"/>
          <w:lang w:val="en-US" w:eastAsia="zh-CN"/>
        </w:rPr>
        <w:t>Data sources: consumer/​recursive_​oot.csv. Development coefficients; recursive fee states.</w:t>
      </w:r>
    </w:p>
    <w:p>
      <w:pPr>
        <w:keepNext/>
        <w:keepLines/>
        <w:pageBreakBefore w:val="0"/>
        <w:spacing w:after="140"/>
      </w:pPr>
      <w:r>
        <w:rPr>
          <w:rFonts w:ascii="Times New Roman" w:hAnsi="Times New Roman" w:eastAsia="Noto Sans CJK SC"/>
          <w:color w:val="000000"/>
          <w:sz w:val="22"/>
          <w:lang w:val="en-US" w:eastAsia="zh-CN"/>
        </w:rPr>
        <w:t>The error series show both positive and negative deviations under static and recursive Consumer testing. Comparing the two lines identifies when updating the lagged fee states with forecasts changes the direction or magnitude of the error.</w:t>
      </w:r>
    </w:p>
    <w:p>
      <w:pPr>
        <w:pStyle w:val="Caption"/>
        <w:keepNext/>
        <w:pageBreakBefore w:val="0"/>
        <w:spacing w:after="140"/>
      </w:pPr>
      <w:r>
        <w:rPr>
          <w:rFonts w:ascii="Times New Roman" w:hAnsi="Times New Roman" w:eastAsia="Noto Sans CJK SC"/>
          <w:color w:val="000000"/>
          <w:sz w:val="21"/>
          <w:lang w:val="en-US" w:eastAsia="zh-CN"/>
        </w:rPr>
        <w:t>Figure 6.15 Consumer Card OOT Prediction Errors</w:t>
      </w:r>
    </w:p>
    <w:p>
      <w:pPr>
        <w:keepNext/>
        <w:pageBreakBefore w:val="0"/>
        <w:spacing w:after="140"/>
      </w:pPr>
      <w:r>
        <w:drawing>
          <wp:inline xmlns:a="http://schemas.openxmlformats.org/drawingml/2006/main" xmlns:pic="http://schemas.openxmlformats.org/drawingml/2006/picture">
            <wp:extent cx="6172200" cy="2727251"/>
            <wp:docPr id="27" name="Picture 27"/>
            <wp:cNvGraphicFramePr>
              <a:graphicFrameLocks noChangeAspect="1"/>
            </wp:cNvGraphicFramePr>
            <a:graphic>
              <a:graphicData uri="http://schemas.openxmlformats.org/drawingml/2006/picture">
                <pic:pic>
                  <pic:nvPicPr>
                    <pic:cNvPr id="0" name="consumer_errors.png"/>
                    <pic:cNvPicPr/>
                  </pic:nvPicPr>
                  <pic:blipFill>
                    <a:blip r:embed="rId42"/>
                    <a:stretch>
                      <a:fillRect/>
                    </a:stretch>
                  </pic:blipFill>
                  <pic:spPr>
                    <a:xfrm>
                      <a:off x="0" y="0"/>
                      <a:ext cx="6172200" cy="2727251"/>
                    </a:xfrm>
                    <a:prstGeom prst="rect"/>
                  </pic:spPr>
                </pic:pic>
              </a:graphicData>
            </a:graphic>
          </wp:inline>
        </w:drawing>
      </w:r>
    </w:p>
    <w:p>
      <w:pPr>
        <w:keepNext w:val="0"/>
        <w:pageBreakBefore w:val="0"/>
        <w:spacing w:after="140" w:line="230" w:lineRule="exact"/>
      </w:pPr>
      <w:r>
        <w:rPr>
          <w:rFonts w:ascii="Times New Roman" w:hAnsi="Times New Roman" w:eastAsia="Noto Sans CJK SC"/>
          <w:color w:val="000000"/>
          <w:sz w:val="17"/>
          <w:lang w:val="en-US" w:eastAsia="zh-CN"/>
          <w:lang w:val="en-US" w:eastAsia="zh-CN"/>
        </w:rPr>
        <w:t>Data sources: consumer/​static_​oot.csv; consumer/​recursive_​oot.csv. Signed percentage error = 100 × (predicted fee /​ actual fee − 1).</w:t>
      </w:r>
    </w:p>
    <w:p>
      <w:pPr>
        <w:pStyle w:val="Heading3"/>
        <w:keepNext/>
        <w:pageBreakBefore w:val="0"/>
        <w:spacing w:after="140"/>
      </w:pPr>
      <w:r>
        <w:rPr>
          <w:rFonts w:ascii="Times New Roman" w:hAnsi="Times New Roman" w:eastAsia="Noto Sans CJK SC"/>
          <w:color w:val="000000"/>
          <w:sz w:val="22"/>
          <w:lang w:val="en-US" w:eastAsia="zh-CN"/>
        </w:rPr>
        <w:t>6.2.8 Root Cause Assessment</w:t>
      </w:r>
    </w:p>
    <w:p>
      <w:pPr>
        <w:keepNext w:val="0"/>
        <w:pageBreakBefore w:val="0"/>
        <w:spacing w:after="140"/>
      </w:pPr>
      <w:r>
        <w:rPr>
          <w:rFonts w:ascii="Times New Roman" w:hAnsi="Times New Roman" w:eastAsia="Noto Sans CJK SC"/>
          <w:color w:val="000000"/>
          <w:sz w:val="22"/>
          <w:lang w:val="en-US" w:eastAsia="zh-CN"/>
        </w:rPr>
        <w:t>Root-cause review evaluates forecast deviations alongside fee history, model inputs, lagged states and relevant business developments. Review considers pricing, customer mix, product and service changes, and the timing of economic drivers. Static and recursive results help identify how forecast-state updates affect the observed error pattern.</w:t>
      </w:r>
    </w:p>
    <w:p>
      <w:pPr>
        <w:keepNext w:val="0"/>
        <w:pageBreakBefore w:val="0"/>
        <w:spacing w:after="140"/>
      </w:pPr>
      <w:r>
        <w:rPr>
          <w:rFonts w:ascii="Times New Roman" w:hAnsi="Times New Roman" w:eastAsia="Noto Sans CJK SC"/>
          <w:color w:val="000000"/>
          <w:sz w:val="22"/>
          <w:lang w:val="en-US" w:eastAsia="zh-CN"/>
        </w:rPr>
        <w:t>Consumer analysis focuses on calendar effects, Retail Sales dynamics and the distinction between observed and forecast prior-fee states. The selected structure is retained in the production refit, allowing updated historical information to inform subsequent scenario forecasts.</w:t>
      </w:r>
    </w:p>
    <w:p>
      <w:pPr>
        <w:pStyle w:val="Heading3"/>
        <w:keepNext/>
        <w:pageBreakBefore w:val="0"/>
        <w:spacing w:after="140"/>
      </w:pPr>
      <w:r>
        <w:rPr>
          <w:rFonts w:ascii="Times New Roman" w:hAnsi="Times New Roman" w:eastAsia="Noto Sans CJK SC"/>
          <w:color w:val="000000"/>
          <w:sz w:val="22"/>
          <w:lang w:val="en-US" w:eastAsia="zh-CN"/>
        </w:rPr>
        <w:t>6.2.9 Overlay Support Analysis</w:t>
      </w:r>
    </w:p>
    <w:p>
      <w:pPr>
        <w:keepNext w:val="0"/>
        <w:pageBreakBefore w:val="0"/>
        <w:spacing w:after="140"/>
      </w:pPr>
      <w:r>
        <w:rPr>
          <w:rFonts w:ascii="Times New Roman" w:hAnsi="Times New Roman" w:eastAsia="Noto Sans CJK SC"/>
          <w:color w:val="000000"/>
          <w:sz w:val="22"/>
          <w:lang w:val="en-US" w:eastAsia="zh-CN"/>
        </w:rPr>
        <w:t>No separate management overlay is applied to the Consumer Card forecasts in the current implementation. The January and December indicators are estimated explanatory variables, and the production refit updates model coefficients within the retained specification.</w:t>
      </w:r>
    </w:p>
    <w:p>
      <w:pPr>
        <w:pStyle w:val="Heading3"/>
        <w:keepNext/>
        <w:pageBreakBefore w:val="0"/>
        <w:spacing w:after="140"/>
      </w:pPr>
      <w:r>
        <w:rPr>
          <w:rFonts w:ascii="Times New Roman" w:hAnsi="Times New Roman" w:eastAsia="Noto Sans CJK SC"/>
          <w:color w:val="000000"/>
          <w:sz w:val="22"/>
          <w:lang w:val="en-US" w:eastAsia="zh-CN"/>
        </w:rPr>
        <w:t>6.2.10 Scenario Testing and Reasonableness Assessment</w:t>
      </w:r>
    </w:p>
    <w:p>
      <w:pPr>
        <w:keepNext w:val="0"/>
        <w:pageBreakBefore w:val="0"/>
        <w:spacing w:after="140"/>
      </w:pPr>
      <w:r>
        <w:rPr>
          <w:rFonts w:ascii="Times New Roman" w:hAnsi="Times New Roman" w:eastAsia="Noto Sans CJK SC"/>
          <w:color w:val="000000"/>
          <w:sz w:val="22"/>
          <w:lang w:val="en-US" w:eastAsia="zh-CN"/>
        </w:rPr>
        <w:t>Scenario testing evaluates forecast direction, magnitude and persistence through March 2028. Baseline and S4 runs share the same historical fee anchor, transformations and model structure. Monthly forecast revenue is also aggregated into calendar quarters for planning review.</w:t>
      </w:r>
    </w:p>
    <w:p>
      <w:pPr>
        <w:keepNext w:val="0"/>
        <w:pageBreakBefore w:val="0"/>
        <w:spacing w:after="140"/>
      </w:pPr>
      <w:r>
        <w:rPr>
          <w:rFonts w:ascii="Times New Roman" w:hAnsi="Times New Roman" w:eastAsia="Noto Sans CJK SC"/>
          <w:color w:val="000000"/>
          <w:sz w:val="22"/>
          <w:lang w:val="en-US" w:eastAsia="zh-CN"/>
        </w:rPr>
        <w:t>Consumer scenarios vary Retail Sales while using the production-refit coefficients. Retail Sales monthly growth and its trailing three-month mean are recalculated, and fee revenue is projected recursively from the actual December 2025 level.</w:t>
      </w:r>
    </w:p>
    <w:p>
      <w:pPr>
        <w:keepNext/>
        <w:keepLines/>
        <w:pageBreakBefore w:val="0"/>
        <w:spacing w:after="140"/>
      </w:pPr>
      <w:r>
        <w:rPr>
          <w:rFonts w:ascii="Times New Roman" w:hAnsi="Times New Roman" w:eastAsia="Noto Sans CJK SC"/>
          <w:color w:val="000000"/>
          <w:sz w:val="22"/>
          <w:lang w:val="en-US" w:eastAsia="zh-CN"/>
        </w:rPr>
        <w:t>Retail Sales rises along the Baseline path, while S4 declines after its initial increase and later recovers modestly. These differing level paths generate the monthly growth and moving-average inputs used in the Consumer forecasts.</w:t>
      </w:r>
    </w:p>
    <w:p>
      <w:pPr>
        <w:pStyle w:val="Caption"/>
        <w:keepNext/>
        <w:pageBreakBefore w:val="0"/>
        <w:spacing w:after="140"/>
      </w:pPr>
      <w:r>
        <w:rPr>
          <w:rFonts w:ascii="Times New Roman" w:hAnsi="Times New Roman" w:eastAsia="Noto Sans CJK SC"/>
          <w:color w:val="000000"/>
          <w:sz w:val="21"/>
          <w:lang w:val="en-US" w:eastAsia="zh-CN"/>
        </w:rPr>
        <w:t>Figure 6.16 Consumer Card Scenario Inputs</w:t>
      </w:r>
    </w:p>
    <w:p>
      <w:pPr>
        <w:keepNext/>
        <w:pageBreakBefore w:val="0"/>
        <w:spacing w:after="140"/>
      </w:pPr>
      <w:r>
        <w:drawing>
          <wp:inline xmlns:a="http://schemas.openxmlformats.org/drawingml/2006/main" xmlns:pic="http://schemas.openxmlformats.org/drawingml/2006/picture">
            <wp:extent cx="6172200" cy="2296633"/>
            <wp:docPr id="28" name="Picture 28"/>
            <wp:cNvGraphicFramePr>
              <a:graphicFrameLocks noChangeAspect="1"/>
            </wp:cNvGraphicFramePr>
            <a:graphic>
              <a:graphicData uri="http://schemas.openxmlformats.org/drawingml/2006/picture">
                <pic:pic>
                  <pic:nvPicPr>
                    <pic:cNvPr id="0" name="consumer_scenario_inputs.png"/>
                    <pic:cNvPicPr/>
                  </pic:nvPicPr>
                  <pic:blipFill>
                    <a:blip r:embed="rId43"/>
                    <a:stretch>
                      <a:fillRect/>
                    </a:stretch>
                  </pic:blipFill>
                  <pic:spPr>
                    <a:xfrm>
                      <a:off x="0" y="0"/>
                      <a:ext cx="6172200" cy="2296633"/>
                    </a:xfrm>
                    <a:prstGeom prst="rect"/>
                  </pic:spPr>
                </pic:pic>
              </a:graphicData>
            </a:graphic>
          </wp:inline>
        </w:drawing>
      </w:r>
    </w:p>
    <w:p>
      <w:pPr>
        <w:keepNext w:val="0"/>
        <w:pageBreakBefore w:val="0"/>
        <w:spacing w:after="140" w:line="230" w:lineRule="exact"/>
      </w:pPr>
      <w:r>
        <w:rPr>
          <w:rFonts w:ascii="Times New Roman" w:hAnsi="Times New Roman" w:eastAsia="Noto Sans CJK SC"/>
          <w:color w:val="000000"/>
          <w:sz w:val="17"/>
          <w:lang w:val="en-US" w:eastAsia="zh-CN"/>
          <w:lang w:val="en-US" w:eastAsia="zh-CN"/>
        </w:rPr>
        <w:t>Data sources: consumer/​data/​macro_​baseline.csv; consumer/​data/​macro_​s4.csv. Original source units.</w:t>
      </w:r>
    </w:p>
    <w:p>
      <w:pPr>
        <w:keepNext/>
        <w:keepLines/>
        <w:pageBreakBefore w:val="0"/>
        <w:spacing w:after="140"/>
      </w:pPr>
      <w:r>
        <w:rPr>
          <w:rFonts w:ascii="Times New Roman" w:hAnsi="Times New Roman" w:eastAsia="Noto Sans CJK SC"/>
          <w:color w:val="000000"/>
          <w:sz w:val="22"/>
          <w:lang w:val="en-US" w:eastAsia="zh-CN"/>
        </w:rPr>
        <w:t>Both Consumer scenario paths retain the recurring calendar pattern implied by the model. S4 moves below Baseline as weaker Retail Sales feeds through the smoothed spending driver and recursive fee dynamics.</w:t>
      </w:r>
    </w:p>
    <w:p>
      <w:pPr>
        <w:pStyle w:val="Caption"/>
        <w:keepNext/>
        <w:pageBreakBefore w:val="0"/>
        <w:spacing w:after="140"/>
      </w:pPr>
      <w:r>
        <w:rPr>
          <w:rFonts w:ascii="Times New Roman" w:hAnsi="Times New Roman" w:eastAsia="Noto Sans CJK SC"/>
          <w:color w:val="000000"/>
          <w:sz w:val="21"/>
          <w:lang w:val="en-US" w:eastAsia="zh-CN"/>
        </w:rPr>
        <w:t>Figure 6.17 Consumer Card Baseline and S4 Forecast Paths</w:t>
      </w:r>
    </w:p>
    <w:p>
      <w:pPr>
        <w:keepNext/>
        <w:widowControl/>
        <w:jc w:val="center"/>
      </w:pPr>
      <w:r>
        <w:drawing>
          <wp:inline xmlns:a="http://schemas.openxmlformats.org/drawingml/2006/main" xmlns:pic="http://schemas.openxmlformats.org/drawingml/2006/picture">
            <wp:extent cx="6080760" cy="2368296"/>
            <wp:docPr id="22" name="Picture 22" descr="Figure 6.8 Consumer Baseline and S4 paths"/>
            <wp:cNvGraphicFramePr>
              <a:graphicFrameLocks noChangeAspect="1"/>
            </wp:cNvGraphicFramePr>
            <a:graphic>
              <a:graphicData uri="http://schemas.openxmlformats.org/drawingml/2006/picture">
                <pic:pic>
                  <pic:nvPicPr>
                    <pic:cNvPr id="0" name="consumer_forecast_monthly.png"/>
                    <pic:cNvPicPr/>
                  </pic:nvPicPr>
                  <pic:blipFill>
                    <a:blip r:embed="rId32"/>
                    <a:stretch>
                      <a:fillRect/>
                    </a:stretch>
                  </pic:blipFill>
                  <pic:spPr>
                    <a:xfrm>
                      <a:off x="0" y="0"/>
                      <a:ext cx="6080760" cy="2368296"/>
                    </a:xfrm>
                    <a:prstGeom prst="rect"/>
                  </pic:spPr>
                </pic:pic>
              </a:graphicData>
            </a:graphic>
          </wp:inline>
        </w:drawing>
      </w:r>
    </w:p>
    <w:p>
      <w:pPr>
        <w:keepNext w:val="0"/>
        <w:pageBreakBefore w:val="0"/>
        <w:spacing w:after="140" w:line="230" w:lineRule="exact"/>
      </w:pPr>
      <w:r>
        <w:rPr>
          <w:rFonts w:ascii="Times New Roman" w:hAnsi="Times New Roman" w:eastAsia="Noto Sans CJK SC"/>
          <w:color w:val="000000"/>
          <w:sz w:val="17"/>
          <w:lang w:val="en-US" w:eastAsia="zh-CN"/>
          <w:lang w:val="en-US" w:eastAsia="zh-CN"/>
        </w:rPr>
        <w:t>Data sources: consumer/​forecast_​monthly.csv. Fee revenue in $000.</w:t>
      </w:r>
    </w:p>
    <w:p>
      <w:pPr>
        <w:keepNext/>
        <w:keepLines/>
        <w:pageBreakBefore w:val="0"/>
        <w:spacing w:after="140"/>
      </w:pPr>
      <w:r>
        <w:rPr>
          <w:rFonts w:ascii="Times New Roman" w:hAnsi="Times New Roman" w:eastAsia="Noto Sans CJK SC"/>
          <w:color w:val="000000"/>
          <w:sz w:val="22"/>
          <w:lang w:val="en-US" w:eastAsia="zh-CN"/>
        </w:rPr>
        <w:t>The revenue totals summarize the cumulative Consumer scenario difference over the first year and the full projection horizon. The wider full-horizon shortfall is consistent with the persistent separation of the monthly S4 and Baseline paths.</w:t>
      </w:r>
    </w:p>
    <w:p>
      <w:pPr>
        <w:pStyle w:val="Caption"/>
        <w:keepNext/>
        <w:pageBreakBefore w:val="0"/>
        <w:spacing w:after="140"/>
      </w:pPr>
      <w:r>
        <w:rPr>
          <w:rFonts w:ascii="Times New Roman" w:hAnsi="Times New Roman" w:eastAsia="Noto Sans CJK SC"/>
          <w:color w:val="000000"/>
          <w:sz w:val="21"/>
          <w:lang w:val="en-US" w:eastAsia="zh-CN"/>
        </w:rPr>
        <w:t>Table 6.16 Consumer Card Scenario Revenue Totals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38"/>
        <w:gridCol w:w="2333"/>
        <w:gridCol w:w="2333"/>
        <w:gridCol w:w="2333"/>
      </w:tblGrid>
      <w:tr>
        <w:trPr>
          <w:cantSplit/>
          <w:tblHeader/>
        </w:trPr>
        <w:tc>
          <w:tcPr>
            <w:tcW w:type="dxa" w:w="2938"/>
            <w:vAlign w:val="center"/>
            <w:tcMar>
              <w:top w:w="90" w:type="dxa"/>
              <w:bottom w:w="90" w:type="dxa"/>
              <w:left w:w="90" w:type="dxa"/>
              <w:right w:w="90" w:type="dxa"/>
            </w:tcMar>
            <w:shd w:fill="E7E6E6"/>
          </w:tcPr>
          <w:p>
            <w:pPr>
              <w:spacing w:after="40" w:line="240" w:lineRule="exact"/>
            </w:pPr>
            <w:r>
              <w:rPr>
                <w:rFonts w:ascii="Times New Roman" w:hAnsi="Times New Roman" w:eastAsia="Noto Sans CJK SC"/>
                <w:b/>
                <w:color w:val="000000"/>
                <w:sz w:val="19"/>
                <w:lang w:val="en-US" w:eastAsia="zh-CN"/>
              </w:rPr>
              <w:t>Period</w:t>
            </w:r>
          </w:p>
        </w:tc>
        <w:tc>
          <w:tcPr>
            <w:tcW w:type="dxa" w:w="2333"/>
            <w:vAlign w:val="center"/>
            <w:tcMar>
              <w:top w:w="90" w:type="dxa"/>
              <w:bottom w:w="90" w:type="dxa"/>
              <w:left w:w="90" w:type="dxa"/>
              <w:right w:w="90" w:type="dxa"/>
            </w:tcMar>
            <w:shd w:fill="E7E6E6"/>
          </w:tcPr>
          <w:p>
            <w:pPr>
              <w:spacing w:after="40" w:line="240" w:lineRule="exact"/>
            </w:pPr>
            <w:r>
              <w:rPr>
                <w:rFonts w:ascii="Times New Roman" w:hAnsi="Times New Roman" w:eastAsia="Noto Sans CJK SC"/>
                <w:b/>
                <w:color w:val="000000"/>
                <w:sz w:val="19"/>
                <w:lang w:val="en-US" w:eastAsia="zh-CN"/>
              </w:rPr>
              <w:t>Baseline ($000)</w:t>
            </w:r>
          </w:p>
        </w:tc>
        <w:tc>
          <w:tcPr>
            <w:tcW w:type="dxa" w:w="2333"/>
            <w:vAlign w:val="center"/>
            <w:tcMar>
              <w:top w:w="90" w:type="dxa"/>
              <w:bottom w:w="90" w:type="dxa"/>
              <w:left w:w="90" w:type="dxa"/>
              <w:right w:w="90" w:type="dxa"/>
            </w:tcMar>
            <w:shd w:fill="E7E6E6"/>
          </w:tcPr>
          <w:p>
            <w:pPr>
              <w:spacing w:after="40" w:line="240" w:lineRule="exact"/>
            </w:pPr>
            <w:r>
              <w:rPr>
                <w:rFonts w:ascii="Times New Roman" w:hAnsi="Times New Roman" w:eastAsia="Noto Sans CJK SC"/>
                <w:b/>
                <w:color w:val="000000"/>
                <w:sz w:val="19"/>
                <w:lang w:val="en-US" w:eastAsia="zh-CN"/>
              </w:rPr>
              <w:t>S4 ($000)</w:t>
            </w:r>
          </w:p>
        </w:tc>
        <w:tc>
          <w:tcPr>
            <w:tcW w:type="dxa" w:w="2333"/>
            <w:vAlign w:val="center"/>
            <w:tcMar>
              <w:top w:w="90" w:type="dxa"/>
              <w:bottom w:w="90" w:type="dxa"/>
              <w:left w:w="90" w:type="dxa"/>
              <w:right w:w="90" w:type="dxa"/>
            </w:tcMar>
            <w:shd w:fill="E7E6E6"/>
          </w:tcPr>
          <w:p>
            <w:pPr>
              <w:spacing w:after="40" w:line="240" w:lineRule="exact"/>
            </w:pPr>
            <w:r>
              <w:rPr>
                <w:rFonts w:ascii="Times New Roman" w:hAnsi="Times New Roman" w:eastAsia="Noto Sans CJK SC"/>
                <w:b/>
                <w:color w:val="000000"/>
                <w:sz w:val="19"/>
                <w:lang w:val="en-US" w:eastAsia="zh-CN"/>
              </w:rPr>
              <w:t>S4 vs Base</w:t>
            </w:r>
          </w:p>
        </w:tc>
      </w:tr>
      <w:tr>
        <w:trPr>
          <w:cantSplit/>
        </w:trPr>
        <w:tc>
          <w:tcPr>
            <w:tcW w:type="dxa" w:w="2938"/>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2026 total</w:t>
            </w:r>
          </w:p>
        </w:tc>
        <w:tc>
          <w:tcPr>
            <w:tcW w:type="dxa" w:w="2333"/>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9,234.65</w:t>
            </w:r>
          </w:p>
        </w:tc>
        <w:tc>
          <w:tcPr>
            <w:tcW w:type="dxa" w:w="2333"/>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8,998.87</w:t>
            </w:r>
          </w:p>
        </w:tc>
        <w:tc>
          <w:tcPr>
            <w:tcW w:type="dxa" w:w="2333"/>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-2.55%</w:t>
            </w:r>
          </w:p>
        </w:tc>
      </w:tr>
      <w:tr>
        <w:trPr>
          <w:cantSplit/>
        </w:trPr>
        <w:tc>
          <w:tcPr>
            <w:tcW w:type="dxa" w:w="2938"/>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9-quarter total</w:t>
            </w:r>
          </w:p>
        </w:tc>
        <w:tc>
          <w:tcPr>
            <w:tcW w:type="dxa" w:w="2333"/>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20,307.65</w:t>
            </w:r>
          </w:p>
        </w:tc>
        <w:tc>
          <w:tcPr>
            <w:tcW w:type="dxa" w:w="2333"/>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18,649.22</w:t>
            </w:r>
          </w:p>
        </w:tc>
        <w:tc>
          <w:tcPr>
            <w:tcW w:type="dxa" w:w="2333"/>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-8.17%</w:t>
            </w:r>
          </w:p>
        </w:tc>
      </w:tr>
    </w:tbl>
    <w:p>
      <w:pPr>
        <w:keepNext w:val="0"/>
        <w:pageBreakBefore w:val="0"/>
        <w:spacing w:after="140" w:line="230" w:lineRule="exact"/>
      </w:pPr>
      <w:r>
        <w:rPr>
          <w:rFonts w:ascii="Times New Roman" w:hAnsi="Times New Roman" w:eastAsia="Noto Sans CJK SC"/>
          <w:color w:val="000000"/>
          <w:sz w:val="17"/>
          <w:lang w:val="en-US" w:eastAsia="zh-CN"/>
          <w:lang w:val="en-US" w:eastAsia="zh-CN"/>
        </w:rPr>
        <w:t>Data sources: consumer/​forecast_​quarterly_​summary.csv.</w:t>
      </w:r>
    </w:p>
    <w:p>
      <w:pPr>
        <w:pStyle w:val="Heading3"/>
        <w:keepNext/>
        <w:pageBreakBefore w:val="0"/>
        <w:spacing w:after="140"/>
      </w:pPr>
      <w:r>
        <w:rPr>
          <w:rFonts w:ascii="Times New Roman" w:hAnsi="Times New Roman" w:eastAsia="Noto Sans CJK SC"/>
          <w:color w:val="000000"/>
          <w:sz w:val="22"/>
          <w:lang w:val="en-US" w:eastAsia="zh-CN"/>
        </w:rPr>
        <w:t>6.2.11 Model Development Progression</w:t>
      </w:r>
    </w:p>
    <w:p>
      <w:pPr>
        <w:widowControl/>
      </w:pPr>
      <w:r>
        <w:rPr>
          <w:rFonts w:ascii="Times New Roman" w:hAnsi="Times New Roman" w:eastAsia="Noto Sans CJK SC"/>
          <w:color w:val="000000"/>
          <w:sz w:val="22"/>
          <w:lang w:val="en-US" w:eastAsia="zh-CN"/>
        </w:rPr>
        <w:t>The Consumer model was developed from a base equation that included fee log-growth from one and two months earlier, together with January and December indicators. Retail Sales monthly-growth MA3 was then added to capture changes in consumer spending. This became the selected development model. The same specification was subsequently refitted using history through December 2025 to produce the coefficients used for future forecasts.</w:t>
      </w:r>
    </w:p>
    <w:p>
      <w:pPr>
        <w:pStyle w:val="Caption"/>
        <w:keepNext/>
        <w:pageBreakBefore w:val="0"/>
        <w:spacing w:after="140"/>
      </w:pPr>
      <w:r>
        <w:rPr>
          <w:rFonts w:ascii="Times New Roman" w:hAnsi="Times New Roman" w:eastAsia="Noto Sans CJK SC"/>
          <w:color w:val="000000"/>
          <w:sz w:val="21"/>
          <w:lang w:val="en-US" w:eastAsia="zh-CN"/>
        </w:rPr>
        <w:t>Table 6.17 Consumer Model Development Progression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5400"/>
        <w:gridCol w:w="2736"/>
      </w:tblGrid>
      <w:tr>
        <w:trPr>
          <w:cantSplit/>
          <w:tblHeader/>
        </w:trPr>
        <w:tc>
          <w:tcPr>
            <w:tcW w:type="dxa" w:w="1800"/>
            <w:vAlign w:val="center"/>
            <w:tcMar>
              <w:top w:w="90" w:type="dxa"/>
              <w:bottom w:w="90" w:type="dxa"/>
              <w:left w:w="90" w:type="dxa"/>
              <w:right w:w="90" w:type="dxa"/>
            </w:tcMar>
            <w:shd w:fill="E7E6E6"/>
          </w:tcPr>
          <w:p>
            <w:pPr>
              <w:keepNext/>
              <w:keepLines w:val="0"/>
              <w:spacing w:after="40" w:line="240" w:lineRule="exact"/>
              <w:jc w:val="left"/>
            </w:pPr>
            <w:r>
              <w:rPr>
                <w:rFonts w:ascii="Times New Roman" w:hAnsi="Times New Roman" w:eastAsia="Noto Sans CJK SC"/>
                <w:b/>
                <w:color w:val="000000"/>
                <w:sz w:val="20"/>
                <w:lang w:val="en-US" w:eastAsia="zh-CN"/>
              </w:rPr>
              <w:t>Model Stage</w:t>
            </w:r>
          </w:p>
        </w:tc>
        <w:tc>
          <w:tcPr>
            <w:tcW w:type="dxa" w:w="5400"/>
            <w:vAlign w:val="center"/>
            <w:tcMar>
              <w:top w:w="90" w:type="dxa"/>
              <w:bottom w:w="90" w:type="dxa"/>
              <w:left w:w="90" w:type="dxa"/>
              <w:right w:w="90" w:type="dxa"/>
            </w:tcMar>
            <w:shd w:fill="E7E6E6"/>
          </w:tcPr>
          <w:p>
            <w:pPr>
              <w:keepNext/>
              <w:keepLines w:val="0"/>
              <w:spacing w:after="40" w:line="240" w:lineRule="exact"/>
              <w:jc w:val="left"/>
            </w:pPr>
            <w:r>
              <w:rPr>
                <w:rFonts w:ascii="Times New Roman" w:hAnsi="Times New Roman" w:eastAsia="Noto Sans CJK SC"/>
                <w:b/>
                <w:color w:val="000000"/>
                <w:sz w:val="20"/>
                <w:lang w:val="en-US" w:eastAsia="zh-CN"/>
              </w:rPr>
              <w:t>Variables Included</w:t>
            </w:r>
          </w:p>
        </w:tc>
        <w:tc>
          <w:tcPr>
            <w:tcW w:type="dxa" w:w="2736"/>
            <w:vAlign w:val="center"/>
            <w:tcMar>
              <w:top w:w="90" w:type="dxa"/>
              <w:bottom w:w="90" w:type="dxa"/>
              <w:left w:w="90" w:type="dxa"/>
              <w:right w:w="90" w:type="dxa"/>
            </w:tcMar>
            <w:shd w:fill="E7E6E6"/>
          </w:tcPr>
          <w:p>
            <w:pPr>
              <w:keepNext/>
              <w:keepLines w:val="0"/>
              <w:spacing w:after="40" w:line="240" w:lineRule="exact"/>
              <w:jc w:val="center"/>
            </w:pPr>
            <w:r>
              <w:rPr>
                <w:rFonts w:ascii="Times New Roman" w:hAnsi="Times New Roman" w:eastAsia="Noto Sans CJK SC"/>
                <w:b/>
                <w:color w:val="000000"/>
                <w:sz w:val="20"/>
                <w:lang w:val="en-US" w:eastAsia="zh-CN"/>
              </w:rPr>
              <w:t>Adjusted R²</w:t>
            </w:r>
          </w:p>
        </w:tc>
      </w:tr>
      <w:tr>
        <w:trPr>
          <w:cantSplit/>
        </w:trPr>
        <w:tc>
          <w:tcPr>
            <w:tcW w:type="dxa" w:w="1800"/>
            <w:vAlign w:val="center"/>
            <w:tcMar>
              <w:top w:w="90" w:type="dxa"/>
              <w:bottom w:w="90" w:type="dxa"/>
              <w:left w:w="90" w:type="dxa"/>
              <w:right w:w="90" w:type="dxa"/>
            </w:tcMar>
          </w:tcPr>
          <w:p>
            <w:pPr>
              <w:keepNext/>
              <w:keepLines w:val="0"/>
              <w:spacing w:after="40" w:line="240" w:lineRule="exact"/>
              <w:jc w:val="left"/>
            </w:pPr>
            <w:r>
              <w:rPr>
                <w:rFonts w:ascii="Times New Roman" w:hAnsi="Times New Roman" w:eastAsia="Noto Sans CJK SC"/>
                <w:b w:val="0"/>
                <w:color w:val="000000"/>
                <w:sz w:val="20"/>
                <w:lang w:val="en-US" w:eastAsia="zh-CN"/>
              </w:rPr>
              <w:t>Base Model</w:t>
            </w:r>
          </w:p>
        </w:tc>
        <w:tc>
          <w:tcPr>
            <w:tcW w:type="dxa" w:w="5400"/>
            <w:vAlign w:val="center"/>
            <w:tcMar>
              <w:top w:w="90" w:type="dxa"/>
              <w:bottom w:w="90" w:type="dxa"/>
              <w:left w:w="90" w:type="dxa"/>
              <w:right w:w="90" w:type="dxa"/>
            </w:tcMar>
          </w:tcPr>
          <w:p>
            <w:pPr>
              <w:keepNext/>
              <w:keepLines w:val="0"/>
              <w:spacing w:after="40" w:line="240" w:lineRule="exact"/>
              <w:jc w:val="left"/>
            </w:pPr>
            <w:r>
              <w:rPr>
                <w:rFonts w:ascii="Times New Roman" w:hAnsi="Times New Roman" w:eastAsia="Noto Sans CJK SC"/>
                <w:b w:val="0"/>
                <w:color w:val="000000"/>
                <w:sz w:val="20"/>
                <w:lang w:val="en-US" w:eastAsia="zh-CN"/>
              </w:rPr>
              <w:t>Fee log-growth, lags 1 and 2 + January and December indicators</w:t>
            </w:r>
          </w:p>
        </w:tc>
        <w:tc>
          <w:tcPr>
            <w:tcW w:type="dxa" w:w="2736"/>
            <w:vAlign w:val="center"/>
            <w:tcMar>
              <w:top w:w="90" w:type="dxa"/>
              <w:bottom w:w="90" w:type="dxa"/>
              <w:left w:w="90" w:type="dxa"/>
              <w:right w:w="90" w:type="dxa"/>
            </w:tcMar>
          </w:tcPr>
          <w:p>
            <w:pPr>
              <w:keepNext/>
              <w:keepLines w:val="0"/>
              <w:spacing w:after="40" w:line="240" w:lineRule="exact"/>
              <w:jc w:val="center"/>
            </w:pPr>
            <w:r>
              <w:rPr>
                <w:rFonts w:ascii="Times New Roman" w:hAnsi="Times New Roman" w:eastAsia="Noto Sans CJK SC"/>
                <w:b w:val="0"/>
                <w:color w:val="000000"/>
                <w:sz w:val="20"/>
                <w:lang w:val="en-US" w:eastAsia="zh-CN"/>
              </w:rPr>
              <w:t>56.95% [consumer/​model_​diagnostics.csv/​row 2 col 6]</w:t>
            </w:r>
          </w:p>
        </w:tc>
      </w:tr>
      <w:tr>
        <w:trPr>
          <w:cantSplit/>
        </w:trPr>
        <w:tc>
          <w:tcPr>
            <w:tcW w:type="dxa" w:w="1800"/>
            <w:vAlign w:val="center"/>
            <w:tcMar>
              <w:top w:w="90" w:type="dxa"/>
              <w:bottom w:w="90" w:type="dxa"/>
              <w:left w:w="90" w:type="dxa"/>
              <w:right w:w="90" w:type="dxa"/>
            </w:tcMar>
          </w:tcPr>
          <w:p>
            <w:pPr>
              <w:keepNext/>
              <w:keepLines w:val="0"/>
              <w:spacing w:after="40" w:line="240" w:lineRule="exact"/>
              <w:jc w:val="left"/>
            </w:pPr>
            <w:r>
              <w:rPr>
                <w:rFonts w:ascii="Times New Roman" w:hAnsi="Times New Roman" w:eastAsia="Noto Sans CJK SC"/>
                <w:b w:val="0"/>
                <w:color w:val="000000"/>
                <w:sz w:val="20"/>
                <w:lang w:val="en-US" w:eastAsia="zh-CN"/>
              </w:rPr>
              <w:t>Selected Development Model</w:t>
            </w:r>
          </w:p>
        </w:tc>
        <w:tc>
          <w:tcPr>
            <w:tcW w:type="dxa" w:w="5400"/>
            <w:vAlign w:val="center"/>
            <w:tcMar>
              <w:top w:w="90" w:type="dxa"/>
              <w:bottom w:w="90" w:type="dxa"/>
              <w:left w:w="90" w:type="dxa"/>
              <w:right w:w="90" w:type="dxa"/>
            </w:tcMar>
          </w:tcPr>
          <w:p>
            <w:pPr>
              <w:keepNext/>
              <w:keepLines w:val="0"/>
              <w:spacing w:after="40" w:line="240" w:lineRule="exact"/>
              <w:jc w:val="left"/>
            </w:pPr>
            <w:r>
              <w:rPr>
                <w:rFonts w:ascii="Times New Roman" w:hAnsi="Times New Roman" w:eastAsia="Noto Sans CJK SC"/>
                <w:b w:val="0"/>
                <w:color w:val="000000"/>
                <w:sz w:val="20"/>
                <w:lang w:val="en-US" w:eastAsia="zh-CN"/>
              </w:rPr>
              <w:t>Fee log-growth, lags 1 and 2 + January and December indicators + Retail Sales monthly-growth MA3</w:t>
            </w:r>
          </w:p>
        </w:tc>
        <w:tc>
          <w:tcPr>
            <w:tcW w:type="dxa" w:w="2736"/>
            <w:vAlign w:val="center"/>
            <w:tcMar>
              <w:top w:w="90" w:type="dxa"/>
              <w:bottom w:w="90" w:type="dxa"/>
              <w:left w:w="90" w:type="dxa"/>
              <w:right w:w="90" w:type="dxa"/>
            </w:tcMar>
          </w:tcPr>
          <w:p>
            <w:pPr>
              <w:keepNext/>
              <w:keepLines w:val="0"/>
              <w:spacing w:after="40" w:line="240" w:lineRule="exact"/>
              <w:jc w:val="center"/>
            </w:pPr>
            <w:r>
              <w:rPr>
                <w:rFonts w:ascii="Times New Roman" w:hAnsi="Times New Roman" w:eastAsia="Noto Sans CJK SC"/>
                <w:b w:val="0"/>
                <w:color w:val="000000"/>
                <w:sz w:val="20"/>
                <w:lang w:val="en-US" w:eastAsia="zh-CN"/>
              </w:rPr>
              <w:t>61.14% [consumer/​model_​diagnostics.csv/​row 3 col 6]</w:t>
            </w:r>
          </w:p>
        </w:tc>
      </w:tr>
      <w:tr>
        <w:trPr>
          <w:cantSplit/>
        </w:trPr>
        <w:tc>
          <w:tcPr>
            <w:tcW w:type="dxa" w:w="1800"/>
            <w:vAlign w:val="center"/>
            <w:tcMar>
              <w:top w:w="90" w:type="dxa"/>
              <w:bottom w:w="90" w:type="dxa"/>
              <w:left w:w="90" w:type="dxa"/>
              <w:right w:w="90" w:type="dxa"/>
            </w:tcMar>
          </w:tcPr>
          <w:p>
            <w:pPr>
              <w:keepNext/>
              <w:keepLines w:val="0"/>
              <w:spacing w:after="40" w:line="240" w:lineRule="exact"/>
              <w:jc w:val="left"/>
            </w:pPr>
            <w:r>
              <w:rPr>
                <w:rFonts w:ascii="Times New Roman" w:hAnsi="Times New Roman" w:eastAsia="Noto Sans CJK SC"/>
                <w:b w:val="0"/>
                <w:color w:val="000000"/>
                <w:sz w:val="20"/>
                <w:lang w:val="en-US" w:eastAsia="zh-CN"/>
              </w:rPr>
              <w:t>Production Refit</w:t>
            </w:r>
          </w:p>
        </w:tc>
        <w:tc>
          <w:tcPr>
            <w:tcW w:type="dxa" w:w="5400"/>
            <w:vAlign w:val="center"/>
            <w:tcMar>
              <w:top w:w="90" w:type="dxa"/>
              <w:bottom w:w="90" w:type="dxa"/>
              <w:left w:w="90" w:type="dxa"/>
              <w:right w:w="90" w:type="dxa"/>
            </w:tcMar>
          </w:tcPr>
          <w:p>
            <w:pPr>
              <w:keepNext/>
              <w:keepLines w:val="0"/>
              <w:spacing w:after="40" w:line="240" w:lineRule="exact"/>
              <w:jc w:val="left"/>
            </w:pPr>
            <w:r>
              <w:rPr>
                <w:rFonts w:ascii="Times New Roman" w:hAnsi="Times New Roman" w:eastAsia="Noto Sans CJK SC"/>
                <w:b w:val="0"/>
                <w:color w:val="000000"/>
                <w:sz w:val="20"/>
                <w:lang w:val="en-US" w:eastAsia="zh-CN"/>
              </w:rPr>
              <w:t>Fee log-growth, lags 1 and 2 + January and December indicators + Retail Sales monthly-growth MA3</w:t>
            </w:r>
          </w:p>
        </w:tc>
        <w:tc>
          <w:tcPr>
            <w:tcW w:type="dxa" w:w="2736"/>
            <w:vAlign w:val="center"/>
            <w:tcMar>
              <w:top w:w="90" w:type="dxa"/>
              <w:bottom w:w="90" w:type="dxa"/>
              <w:left w:w="90" w:type="dxa"/>
              <w:right w:w="90" w:type="dxa"/>
            </w:tcMar>
          </w:tcPr>
          <w:p>
            <w:pPr>
              <w:keepNext/>
              <w:keepLines w:val="0"/>
              <w:spacing w:after="40" w:line="240" w:lineRule="exact"/>
              <w:jc w:val="center"/>
            </w:pPr>
            <w:r>
              <w:rPr>
                <w:rFonts w:ascii="Times New Roman" w:hAnsi="Times New Roman" w:eastAsia="Noto Sans CJK SC"/>
                <w:b w:val="0"/>
                <w:color w:val="000000"/>
                <w:sz w:val="20"/>
                <w:lang w:val="en-US" w:eastAsia="zh-CN"/>
              </w:rPr>
              <w:t>60.91% [consumer/​model_​diagnostics.csv/​row 4 col 6]</w:t>
            </w:r>
          </w:p>
        </w:tc>
      </w:tr>
    </w:tbl>
    <w:p>
      <w:pPr>
        <w:keepNext w:val="0"/>
        <w:keepLines/>
        <w:pageBreakBefore w:val="0"/>
        <w:widowControl/>
        <w:spacing w:before="100"/>
      </w:pPr>
      <w:r>
        <w:rPr>
          <w:rFonts w:ascii="Times New Roman" w:hAnsi="Times New Roman" w:eastAsia="Noto Sans CJK SC"/>
          <w:color w:val="000000"/>
          <w:sz w:val="22"/>
          <w:lang w:val="en-US" w:eastAsia="zh-CN"/>
        </w:rPr>
        <w:t>Table 6.17 shows the Consumer base model, selected development model and production refit. The base and selected development models use the same effective sample. The production refit retains the selected variables and extends the estimation period through December 2025. All specifications include an intercept.</w:t>
      </w:r>
    </w:p>
    <w:p>
      <w:pPr>
        <w:keepNext w:val="0"/>
        <w:pageBreakBefore w:val="0"/>
        <w:spacing w:after="140" w:line="230" w:lineRule="exact"/>
      </w:pPr>
      <w:r>
        <w:rPr>
          <w:rFonts w:ascii="Times New Roman" w:hAnsi="Times New Roman" w:eastAsia="Noto Sans CJK SC"/>
          <w:color w:val="000000"/>
          <w:sz w:val="17"/>
          <w:lang w:val="en-US" w:eastAsia="zh-CN"/>
          <w:lang w:val="en-US" w:eastAsia="zh-CN"/>
        </w:rPr>
        <w:t>Data sources: consumer/​model_​diagnostics.csv; consumer/​consumer_​card_​model.py.</w:t>
      </w:r>
    </w:p>
    <w:p>
      <w:pPr>
        <w:pStyle w:val="Heading3"/>
        <w:keepNext/>
        <w:pageBreakBefore w:val="0"/>
        <w:spacing w:after="140"/>
      </w:pPr>
      <w:r>
        <w:rPr>
          <w:rFonts w:ascii="Times New Roman" w:hAnsi="Times New Roman" w:eastAsia="Noto Sans CJK SC"/>
          <w:color w:val="000000"/>
          <w:sz w:val="22"/>
          <w:lang w:val="en-US" w:eastAsia="zh-CN"/>
        </w:rPr>
        <w:t>6.2.12 User Review and Acceptance</w:t>
      </w:r>
    </w:p>
    <w:p>
      <w:pPr>
        <w:widowControl/>
      </w:pPr>
      <w:r>
        <w:rPr>
          <w:rFonts w:ascii="Times New Roman" w:hAnsi="Times New Roman" w:eastAsia="Noto Sans CJK SC"/>
          <w:color w:val="000000"/>
          <w:sz w:val="22"/>
          <w:lang w:val="en-US" w:eastAsia="zh-CN"/>
        </w:rPr>
        <w:t>Model results, assumptions, forecast behavior, and testing outcomes were reviewed with Strategic Finance and relevant lines of business during model development. Review sessions focused on economic intuition, reasonableness of the selected drivers, forecast behavior under changing economic conditions, and consistency with observed business performance. Feedback from these reviews supported the conclusion that the model appropriately captures the primary drivers of Consumer Card Fee Revenue and produces forecasts that are directionally consistent with business expectations.</w:t>
      </w:r>
    </w:p>
    <w:p>
      <w:pPr>
        <w:widowControl/>
      </w:pPr>
      <w:r>
        <w:rPr>
          <w:rFonts w:ascii="Times New Roman" w:hAnsi="Times New Roman" w:eastAsia="Noto Sans CJK SC"/>
          <w:color w:val="000000"/>
          <w:sz w:val="22"/>
          <w:lang w:val="en-US" w:eastAsia="zh-CN"/>
        </w:rPr>
        <w:t>Because the model has not yet been deployed into a production forecasting environment, final User Acceptance Testing (UAT) has not been completed. Prior to production implementation, final UAT will be performed to verify that the implemented model reproduces approved development results, correctly incorporates required inputs, generates expected outputs, and operates in accordance with documented procedures and governance requirements.</w:t>
      </w:r>
    </w:p>
    <w:p>
      <w:pPr>
        <w:pStyle w:val="Heading3"/>
        <w:keepNext/>
        <w:pageBreakBefore w:val="0"/>
        <w:spacing w:after="140"/>
      </w:pPr>
      <w:r>
        <w:rPr>
          <w:rFonts w:ascii="Times New Roman" w:hAnsi="Times New Roman" w:eastAsia="Noto Sans CJK SC"/>
          <w:color w:val="000000"/>
          <w:sz w:val="22"/>
          <w:lang w:val="en-US" w:eastAsia="zh-CN"/>
        </w:rPr>
        <w:t>6.2.13 Sensitivity Analysis</w:t>
      </w:r>
    </w:p>
    <w:p>
      <w:pPr>
        <w:widowControl/>
      </w:pPr>
      <w:r>
        <w:rPr>
          <w:rFonts w:ascii="Times New Roman" w:hAnsi="Times New Roman"/>
          <w:color w:val="000000"/>
        </w:rPr>
        <w:t>Consumer adds -1.0, -0.5, +0.5 or +1.0 percentage points to monthly Retail Sales growth for 3, 6 or 12 months, beginning January 2026. It rebuilds future levels from the unchanged December 2025 anchor, recomputes monthly growth and MA3, and runs the fixed production equation recursively. Growth returns to Baseline after the active shock, but accumulated Retail Sales and fee-level differences are not reset. All 12 cases are reported. These code-default grids are analytical assumptions; approval as business stress standards remains outstanding.</w:t>
      </w:r>
    </w:p>
    <w:p>
      <w:pPr>
        <w:pStyle w:val="Caption"/>
        <w:keepNext/>
        <w:pageBreakBefore w:val="0"/>
        <w:spacing w:after="140"/>
      </w:pPr>
      <w:r>
        <w:rPr>
          <w:rFonts w:ascii="Times New Roman" w:hAnsi="Times New Roman" w:eastAsia="Noto Sans CJK SC"/>
          <w:color w:val="000000"/>
          <w:sz w:val="21"/>
          <w:lang w:val="en-US" w:eastAsia="zh-CN"/>
        </w:rPr>
        <w:t>Table 6.18 Consumer Retail Sales Growth Sensitivities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1584"/>
        <w:gridCol w:w="2160"/>
        <w:gridCol w:w="2160"/>
        <w:gridCol w:w="2304"/>
      </w:tblGrid>
      <w:tr>
        <w:trPr>
          <w:cantSplit/>
          <w:tblHeader/>
        </w:trPr>
        <w:tc>
          <w:tcPr>
            <w:tcW w:type="dxa" w:w="1728"/>
            <w:vAlign w:val="center"/>
            <w:tcMar>
              <w:top w:w="90" w:type="dxa"/>
              <w:bottom w:w="90" w:type="dxa"/>
              <w:left w:w="90" w:type="dxa"/>
              <w:right w:w="90" w:type="dxa"/>
            </w:tcMar>
            <w:shd w:fill="E7E6E6"/>
          </w:tcPr>
          <w:p>
            <w:pPr>
              <w:spacing w:after="40" w:line="240" w:lineRule="exact"/>
            </w:pPr>
            <w:r>
              <w:rPr>
                <w:rFonts w:ascii="Times New Roman" w:hAnsi="Times New Roman" w:eastAsia="Noto Sans CJK SC"/>
                <w:b/>
                <w:color w:val="000000"/>
                <w:sz w:val="19"/>
                <w:lang w:val="en-US" w:eastAsia="zh-CN"/>
              </w:rPr>
              <w:t>MoM shock</w:t>
            </w:r>
          </w:p>
        </w:tc>
        <w:tc>
          <w:tcPr>
            <w:tcW w:type="dxa" w:w="1584"/>
            <w:vAlign w:val="center"/>
            <w:tcMar>
              <w:top w:w="90" w:type="dxa"/>
              <w:bottom w:w="90" w:type="dxa"/>
              <w:left w:w="90" w:type="dxa"/>
              <w:right w:w="90" w:type="dxa"/>
            </w:tcMar>
            <w:shd w:fill="E7E6E6"/>
          </w:tcPr>
          <w:p>
            <w:pPr>
              <w:spacing w:after="40" w:line="240" w:lineRule="exact"/>
            </w:pPr>
            <w:r>
              <w:rPr>
                <w:rFonts w:ascii="Times New Roman" w:hAnsi="Times New Roman" w:eastAsia="Noto Sans CJK SC"/>
                <w:b/>
                <w:color w:val="000000"/>
                <w:sz w:val="19"/>
                <w:lang w:val="en-US" w:eastAsia="zh-CN"/>
              </w:rPr>
              <w:t>Duration</w:t>
            </w:r>
          </w:p>
        </w:tc>
        <w:tc>
          <w:tcPr>
            <w:tcW w:type="dxa" w:w="2160"/>
            <w:vAlign w:val="center"/>
            <w:tcMar>
              <w:top w:w="90" w:type="dxa"/>
              <w:bottom w:w="90" w:type="dxa"/>
              <w:left w:w="90" w:type="dxa"/>
              <w:right w:w="90" w:type="dxa"/>
            </w:tcMar>
            <w:shd w:fill="E7E6E6"/>
          </w:tcPr>
          <w:p>
            <w:pPr>
              <w:spacing w:after="40" w:line="240" w:lineRule="exact"/>
            </w:pPr>
            <w:r>
              <w:rPr>
                <w:rFonts w:ascii="Times New Roman" w:hAnsi="Times New Roman" w:eastAsia="Noto Sans CJK SC"/>
                <w:b/>
                <w:color w:val="000000"/>
                <w:sz w:val="19"/>
                <w:lang w:val="en-US" w:eastAsia="zh-CN"/>
              </w:rPr>
              <w:t>Year impact</w:t>
            </w:r>
          </w:p>
        </w:tc>
        <w:tc>
          <w:tcPr>
            <w:tcW w:type="dxa" w:w="2160"/>
            <w:vAlign w:val="center"/>
            <w:tcMar>
              <w:top w:w="90" w:type="dxa"/>
              <w:bottom w:w="90" w:type="dxa"/>
              <w:left w:w="90" w:type="dxa"/>
              <w:right w:w="90" w:type="dxa"/>
            </w:tcMar>
            <w:shd w:fill="E7E6E6"/>
          </w:tcPr>
          <w:p>
            <w:pPr>
              <w:spacing w:after="40" w:line="240" w:lineRule="exact"/>
            </w:pPr>
            <w:r>
              <w:rPr>
                <w:rFonts w:ascii="Times New Roman" w:hAnsi="Times New Roman" w:eastAsia="Noto Sans CJK SC"/>
                <w:b/>
                <w:color w:val="000000"/>
                <w:sz w:val="19"/>
                <w:lang w:val="en-US" w:eastAsia="zh-CN"/>
              </w:rPr>
              <w:t>Horizon impact</w:t>
            </w:r>
          </w:p>
        </w:tc>
        <w:tc>
          <w:tcPr>
            <w:tcW w:type="dxa" w:w="2304"/>
            <w:vAlign w:val="center"/>
            <w:tcMar>
              <w:top w:w="90" w:type="dxa"/>
              <w:bottom w:w="90" w:type="dxa"/>
              <w:left w:w="90" w:type="dxa"/>
              <w:right w:w="90" w:type="dxa"/>
            </w:tcMar>
            <w:shd w:fill="E7E6E6"/>
          </w:tcPr>
          <w:p>
            <w:pPr>
              <w:spacing w:after="40" w:line="240" w:lineRule="exact"/>
            </w:pPr>
            <w:r>
              <w:rPr>
                <w:rFonts w:ascii="Times New Roman" w:hAnsi="Times New Roman" w:eastAsia="Noto Sans CJK SC"/>
                <w:b/>
                <w:color w:val="000000"/>
                <w:sz w:val="19"/>
                <w:lang w:val="en-US" w:eastAsia="zh-CN"/>
              </w:rPr>
              <w:t>Terminal impact</w:t>
            </w:r>
          </w:p>
        </w:tc>
      </w:tr>
      <w:tr>
        <w:trPr>
          <w:cantSplit/>
        </w:trPr>
        <w:tc>
          <w:tcPr>
            <w:tcW w:type="dxa" w:w="1728"/>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-1 pp</w:t>
            </w:r>
          </w:p>
        </w:tc>
        <w:tc>
          <w:tcPr>
            <w:tcW w:type="dxa" w:w="1584"/>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3 months</w:t>
            </w:r>
          </w:p>
        </w:tc>
        <w:tc>
          <w:tcPr>
            <w:tcW w:type="dxa" w:w="216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-3.40%</w:t>
            </w:r>
          </w:p>
        </w:tc>
        <w:tc>
          <w:tcPr>
            <w:tcW w:type="dxa" w:w="216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-3.62%</w:t>
            </w:r>
          </w:p>
        </w:tc>
        <w:tc>
          <w:tcPr>
            <w:tcW w:type="dxa" w:w="2304"/>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-3.80%</w:t>
            </w:r>
          </w:p>
        </w:tc>
      </w:tr>
      <w:tr>
        <w:trPr>
          <w:cantSplit/>
        </w:trPr>
        <w:tc>
          <w:tcPr>
            <w:tcW w:type="dxa" w:w="1728"/>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-1 pp</w:t>
            </w:r>
          </w:p>
        </w:tc>
        <w:tc>
          <w:tcPr>
            <w:tcW w:type="dxa" w:w="1584"/>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6 months</w:t>
            </w:r>
          </w:p>
        </w:tc>
        <w:tc>
          <w:tcPr>
            <w:tcW w:type="dxa" w:w="216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-5.76%</w:t>
            </w:r>
          </w:p>
        </w:tc>
        <w:tc>
          <w:tcPr>
            <w:tcW w:type="dxa" w:w="216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-6.68%</w:t>
            </w:r>
          </w:p>
        </w:tc>
        <w:tc>
          <w:tcPr>
            <w:tcW w:type="dxa" w:w="2304"/>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-7.45%</w:t>
            </w:r>
          </w:p>
        </w:tc>
      </w:tr>
      <w:tr>
        <w:trPr>
          <w:cantSplit/>
        </w:trPr>
        <w:tc>
          <w:tcPr>
            <w:tcW w:type="dxa" w:w="1728"/>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-1 pp</w:t>
            </w:r>
          </w:p>
        </w:tc>
        <w:tc>
          <w:tcPr>
            <w:tcW w:type="dxa" w:w="1584"/>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12 months</w:t>
            </w:r>
          </w:p>
        </w:tc>
        <w:tc>
          <w:tcPr>
            <w:tcW w:type="dxa" w:w="216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-7.64%</w:t>
            </w:r>
          </w:p>
        </w:tc>
        <w:tc>
          <w:tcPr>
            <w:tcW w:type="dxa" w:w="216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-11.30%</w:t>
            </w:r>
          </w:p>
        </w:tc>
        <w:tc>
          <w:tcPr>
            <w:tcW w:type="dxa" w:w="2304"/>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-14.35%</w:t>
            </w:r>
          </w:p>
        </w:tc>
      </w:tr>
      <w:tr>
        <w:trPr>
          <w:cantSplit/>
        </w:trPr>
        <w:tc>
          <w:tcPr>
            <w:tcW w:type="dxa" w:w="1728"/>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-0.5 pp</w:t>
            </w:r>
          </w:p>
        </w:tc>
        <w:tc>
          <w:tcPr>
            <w:tcW w:type="dxa" w:w="1584"/>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3 months</w:t>
            </w:r>
          </w:p>
        </w:tc>
        <w:tc>
          <w:tcPr>
            <w:tcW w:type="dxa" w:w="216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-1.72%</w:t>
            </w:r>
          </w:p>
        </w:tc>
        <w:tc>
          <w:tcPr>
            <w:tcW w:type="dxa" w:w="216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-1.83%</w:t>
            </w:r>
          </w:p>
        </w:tc>
        <w:tc>
          <w:tcPr>
            <w:tcW w:type="dxa" w:w="2304"/>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-1.92%</w:t>
            </w:r>
          </w:p>
        </w:tc>
      </w:tr>
      <w:tr>
        <w:trPr>
          <w:cantSplit/>
        </w:trPr>
        <w:tc>
          <w:tcPr>
            <w:tcW w:type="dxa" w:w="1728"/>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-0.5 pp</w:t>
            </w:r>
          </w:p>
        </w:tc>
        <w:tc>
          <w:tcPr>
            <w:tcW w:type="dxa" w:w="1584"/>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6 months</w:t>
            </w:r>
          </w:p>
        </w:tc>
        <w:tc>
          <w:tcPr>
            <w:tcW w:type="dxa" w:w="216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-2.93%</w:t>
            </w:r>
          </w:p>
        </w:tc>
        <w:tc>
          <w:tcPr>
            <w:tcW w:type="dxa" w:w="216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-3.40%</w:t>
            </w:r>
          </w:p>
        </w:tc>
        <w:tc>
          <w:tcPr>
            <w:tcW w:type="dxa" w:w="2304"/>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-3.80%</w:t>
            </w:r>
          </w:p>
        </w:tc>
      </w:tr>
      <w:tr>
        <w:trPr>
          <w:cantSplit/>
        </w:trPr>
        <w:tc>
          <w:tcPr>
            <w:tcW w:type="dxa" w:w="1728"/>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-0.5 pp</w:t>
            </w:r>
          </w:p>
        </w:tc>
        <w:tc>
          <w:tcPr>
            <w:tcW w:type="dxa" w:w="1584"/>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12 months</w:t>
            </w:r>
          </w:p>
        </w:tc>
        <w:tc>
          <w:tcPr>
            <w:tcW w:type="dxa" w:w="216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-3.92%</w:t>
            </w:r>
          </w:p>
        </w:tc>
        <w:tc>
          <w:tcPr>
            <w:tcW w:type="dxa" w:w="216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-5.85%</w:t>
            </w:r>
          </w:p>
        </w:tc>
        <w:tc>
          <w:tcPr>
            <w:tcW w:type="dxa" w:w="2304"/>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-7.45%</w:t>
            </w:r>
          </w:p>
        </w:tc>
      </w:tr>
      <w:tr>
        <w:trPr>
          <w:cantSplit/>
        </w:trPr>
        <w:tc>
          <w:tcPr>
            <w:tcW w:type="dxa" w:w="1728"/>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+0.5 pp</w:t>
            </w:r>
          </w:p>
        </w:tc>
        <w:tc>
          <w:tcPr>
            <w:tcW w:type="dxa" w:w="1584"/>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3 months</w:t>
            </w:r>
          </w:p>
        </w:tc>
        <w:tc>
          <w:tcPr>
            <w:tcW w:type="dxa" w:w="216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1.75%</w:t>
            </w:r>
          </w:p>
        </w:tc>
        <w:tc>
          <w:tcPr>
            <w:tcW w:type="dxa" w:w="216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1.86%</w:t>
            </w:r>
          </w:p>
        </w:tc>
        <w:tc>
          <w:tcPr>
            <w:tcW w:type="dxa" w:w="2304"/>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1.95%</w:t>
            </w:r>
          </w:p>
        </w:tc>
      </w:tr>
      <w:tr>
        <w:trPr>
          <w:cantSplit/>
        </w:trPr>
        <w:tc>
          <w:tcPr>
            <w:tcW w:type="dxa" w:w="1728"/>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+0.5 pp</w:t>
            </w:r>
          </w:p>
        </w:tc>
        <w:tc>
          <w:tcPr>
            <w:tcW w:type="dxa" w:w="1584"/>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6 months</w:t>
            </w:r>
          </w:p>
        </w:tc>
        <w:tc>
          <w:tcPr>
            <w:tcW w:type="dxa" w:w="216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3.03%</w:t>
            </w:r>
          </w:p>
        </w:tc>
        <w:tc>
          <w:tcPr>
            <w:tcW w:type="dxa" w:w="216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3.53%</w:t>
            </w:r>
          </w:p>
        </w:tc>
        <w:tc>
          <w:tcPr>
            <w:tcW w:type="dxa" w:w="2304"/>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3.95%</w:t>
            </w:r>
          </w:p>
        </w:tc>
      </w:tr>
      <w:tr>
        <w:trPr>
          <w:cantSplit/>
        </w:trPr>
        <w:tc>
          <w:tcPr>
            <w:tcW w:type="dxa" w:w="1728"/>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+0.5 pp</w:t>
            </w:r>
          </w:p>
        </w:tc>
        <w:tc>
          <w:tcPr>
            <w:tcW w:type="dxa" w:w="1584"/>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12 months</w:t>
            </w:r>
          </w:p>
        </w:tc>
        <w:tc>
          <w:tcPr>
            <w:tcW w:type="dxa" w:w="216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4.13%</w:t>
            </w:r>
          </w:p>
        </w:tc>
        <w:tc>
          <w:tcPr>
            <w:tcW w:type="dxa" w:w="216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6.27%</w:t>
            </w:r>
          </w:p>
        </w:tc>
        <w:tc>
          <w:tcPr>
            <w:tcW w:type="dxa" w:w="2304"/>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8.05%</w:t>
            </w:r>
          </w:p>
        </w:tc>
      </w:tr>
      <w:tr>
        <w:trPr>
          <w:cantSplit/>
        </w:trPr>
        <w:tc>
          <w:tcPr>
            <w:tcW w:type="dxa" w:w="1728"/>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+1 pp</w:t>
            </w:r>
          </w:p>
        </w:tc>
        <w:tc>
          <w:tcPr>
            <w:tcW w:type="dxa" w:w="1584"/>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3 months</w:t>
            </w:r>
          </w:p>
        </w:tc>
        <w:tc>
          <w:tcPr>
            <w:tcW w:type="dxa" w:w="216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3.53%</w:t>
            </w:r>
          </w:p>
        </w:tc>
        <w:tc>
          <w:tcPr>
            <w:tcW w:type="dxa" w:w="216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3.76%</w:t>
            </w:r>
          </w:p>
        </w:tc>
        <w:tc>
          <w:tcPr>
            <w:tcW w:type="dxa" w:w="2304"/>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3.95%</w:t>
            </w:r>
          </w:p>
        </w:tc>
      </w:tr>
      <w:tr>
        <w:trPr>
          <w:cantSplit/>
        </w:trPr>
        <w:tc>
          <w:tcPr>
            <w:tcW w:type="dxa" w:w="1728"/>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+1 pp</w:t>
            </w:r>
          </w:p>
        </w:tc>
        <w:tc>
          <w:tcPr>
            <w:tcW w:type="dxa" w:w="1584"/>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6 months</w:t>
            </w:r>
          </w:p>
        </w:tc>
        <w:tc>
          <w:tcPr>
            <w:tcW w:type="dxa" w:w="216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6.17%</w:t>
            </w:r>
          </w:p>
        </w:tc>
        <w:tc>
          <w:tcPr>
            <w:tcW w:type="dxa" w:w="216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7.20%</w:t>
            </w:r>
          </w:p>
        </w:tc>
        <w:tc>
          <w:tcPr>
            <w:tcW w:type="dxa" w:w="2304"/>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8.05%</w:t>
            </w:r>
          </w:p>
        </w:tc>
      </w:tr>
      <w:tr>
        <w:trPr>
          <w:cantSplit/>
        </w:trPr>
        <w:tc>
          <w:tcPr>
            <w:tcW w:type="dxa" w:w="1728"/>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+1 pp</w:t>
            </w:r>
          </w:p>
        </w:tc>
        <w:tc>
          <w:tcPr>
            <w:tcW w:type="dxa" w:w="1584"/>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12 months</w:t>
            </w:r>
          </w:p>
        </w:tc>
        <w:tc>
          <w:tcPr>
            <w:tcW w:type="dxa" w:w="216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8.49%</w:t>
            </w:r>
          </w:p>
        </w:tc>
        <w:tc>
          <w:tcPr>
            <w:tcW w:type="dxa" w:w="216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13.00%</w:t>
            </w:r>
          </w:p>
        </w:tc>
        <w:tc>
          <w:tcPr>
            <w:tcW w:type="dxa" w:w="2304"/>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16.75%</w:t>
            </w:r>
          </w:p>
        </w:tc>
      </w:tr>
    </w:tbl>
    <w:p>
      <w:pPr>
        <w:keepNext w:val="0"/>
        <w:pageBreakBefore w:val="0"/>
        <w:spacing w:after="140" w:line="230" w:lineRule="exact"/>
      </w:pPr>
      <w:r>
        <w:rPr>
          <w:rFonts w:ascii="Times New Roman" w:hAnsi="Times New Roman" w:eastAsia="Noto Sans CJK SC"/>
          <w:color w:val="000000"/>
          <w:sz w:val="17"/>
          <w:lang w:val="en-US" w:eastAsia="zh-CN"/>
          <w:lang w:val="en-US" w:eastAsia="zh-CN"/>
        </w:rPr>
        <w:t>Data sources: consumer/​sensitivity_​summary.csv.</w:t>
      </w:r>
    </w:p>
    <w:p>
      <w:pPr>
        <w:keepNext/>
        <w:keepLines/>
        <w:pageBreakBefore w:val="0"/>
        <w:spacing w:after="140"/>
      </w:pPr>
      <w:r>
        <w:rPr>
          <w:rFonts w:ascii="Times New Roman" w:hAnsi="Times New Roman" w:eastAsia="Noto Sans CJK SC"/>
          <w:color w:val="000000"/>
          <w:sz w:val="22"/>
          <w:lang w:val="en-US" w:eastAsia="zh-CN"/>
        </w:rPr>
        <w:t>The bars show that larger or longer-lasting Retail Sales growth shocks produce greater cumulative Consumer revenue changes. Positive and negative shocks move revenue in the expected directions, with effects persisting through the recursive fee-level calculation.</w:t>
      </w:r>
    </w:p>
    <w:p>
      <w:pPr>
        <w:pStyle w:val="Caption"/>
        <w:keepNext/>
        <w:pageBreakBefore w:val="0"/>
        <w:spacing w:after="140"/>
      </w:pPr>
      <w:r>
        <w:rPr>
          <w:rFonts w:ascii="Times New Roman" w:hAnsi="Times New Roman" w:eastAsia="Noto Sans CJK SC"/>
          <w:color w:val="000000"/>
          <w:sz w:val="21"/>
          <w:lang w:val="en-US" w:eastAsia="zh-CN"/>
        </w:rPr>
        <w:t>Figure 6.18 Consumer Sensitivity Impacts</w:t>
      </w:r>
    </w:p>
    <w:p>
      <w:pPr>
        <w:keepNext/>
        <w:widowControl/>
        <w:jc w:val="center"/>
      </w:pPr>
      <w:r>
        <w:drawing>
          <wp:inline xmlns:a="http://schemas.openxmlformats.org/drawingml/2006/main" xmlns:pic="http://schemas.openxmlformats.org/drawingml/2006/picture">
            <wp:extent cx="6080760" cy="3220838"/>
            <wp:docPr id="25" name="Picture 25" descr="Figure 6.11 Consumer sensitivity impacts"/>
            <wp:cNvGraphicFramePr>
              <a:graphicFrameLocks noChangeAspect="1"/>
            </wp:cNvGraphicFramePr>
            <a:graphic>
              <a:graphicData uri="http://schemas.openxmlformats.org/drawingml/2006/picture">
                <pic:pic>
                  <pic:nvPicPr>
                    <pic:cNvPr id="0" name="consumer_sensitivity.png"/>
                    <pic:cNvPicPr/>
                  </pic:nvPicPr>
                  <pic:blipFill>
                    <a:blip r:embed="rId35"/>
                    <a:stretch>
                      <a:fillRect/>
                    </a:stretch>
                  </pic:blipFill>
                  <pic:spPr>
                    <a:xfrm>
                      <a:off x="0" y="0"/>
                      <a:ext cx="6080760" cy="3220838"/>
                    </a:xfrm>
                    <a:prstGeom prst="rect"/>
                  </pic:spPr>
                </pic:pic>
              </a:graphicData>
            </a:graphic>
          </wp:inline>
        </w:drawing>
      </w:r>
    </w:p>
    <w:p>
      <w:pPr>
        <w:keepNext w:val="0"/>
        <w:pageBreakBefore w:val="0"/>
        <w:spacing w:after="140" w:line="230" w:lineRule="exact"/>
      </w:pPr>
      <w:r>
        <w:rPr>
          <w:rFonts w:ascii="Times New Roman" w:hAnsi="Times New Roman" w:eastAsia="Noto Sans CJK SC"/>
          <w:color w:val="000000"/>
          <w:sz w:val="17"/>
          <w:lang w:val="en-US" w:eastAsia="zh-CN"/>
          <w:lang w:val="en-US" w:eastAsia="zh-CN"/>
        </w:rPr>
        <w:t>Data sources: consumer/​sensitivity_​summary.csv. Additive percentage-point shocks to Retail Sales monthly growth.</w:t>
      </w:r>
    </w:p>
    <w:p>
      <w:pPr>
        <w:pStyle w:val="Heading3"/>
        <w:keepNext/>
        <w:pageBreakBefore w:val="0"/>
        <w:spacing w:after="140"/>
      </w:pPr>
      <w:r>
        <w:rPr>
          <w:rFonts w:ascii="Times New Roman" w:hAnsi="Times New Roman" w:eastAsia="Noto Sans CJK SC"/>
          <w:color w:val="000000"/>
          <w:sz w:val="22"/>
          <w:lang w:val="en-US" w:eastAsia="zh-CN"/>
        </w:rPr>
        <w:t>6.2.14 Testing Conclusions</w:t>
      </w:r>
    </w:p>
    <w:p>
      <w:pPr>
        <w:keepNext w:val="0"/>
        <w:pageBreakBefore w:val="0"/>
        <w:spacing w:after="140"/>
      </w:pPr>
      <w:r>
        <w:rPr>
          <w:rFonts w:ascii="Times New Roman" w:hAnsi="Times New Roman" w:eastAsia="Noto Sans CJK SC"/>
          <w:color w:val="000000"/>
          <w:sz w:val="22"/>
          <w:lang w:val="en-US" w:eastAsia="zh-CN"/>
        </w:rPr>
        <w:t>The testing results support the selected Consumer Card specification. The Retail Sales addition improves development fit relative to the autoregressive-seasonal base, rolling coefficients retain consistent signs, and static and recursive OOT tests quantify forecasting performance. Scenario and sensitivity testing document the response to alternative spending conditions. These results support the model’s planning and stress-testing applications and its ongoing monitoring framework.</w:t>
      </w:r>
    </w:p>
    <w:p>
      <w:pPr>
        <w:pStyle w:val="Heading2"/>
        <w:keepNext/>
        <w:pageBreakBefore w:val="0"/>
        <w:spacing w:after="140"/>
      </w:pPr>
      <w:r>
        <w:rPr>
          <w:rFonts w:ascii="Times New Roman" w:hAnsi="Times New Roman" w:eastAsia="Noto Sans CJK SC"/>
          <w:color w:val="000000"/>
          <w:sz w:val="26"/>
          <w:lang w:val="en-US" w:eastAsia="zh-CN"/>
        </w:rPr>
        <w:t>6.3 Debit Card Model Testing</w:t>
      </w:r>
    </w:p>
    <w:p>
      <w:pPr>
        <w:pStyle w:val="Heading3"/>
        <w:keepNext/>
        <w:pageBreakBefore w:val="0"/>
        <w:spacing w:after="140"/>
      </w:pPr>
      <w:r>
        <w:rPr>
          <w:rFonts w:ascii="Times New Roman" w:hAnsi="Times New Roman" w:eastAsia="Noto Sans CJK SC"/>
          <w:color w:val="000000"/>
          <w:sz w:val="22"/>
          <w:lang w:val="en-US" w:eastAsia="zh-CN"/>
        </w:rPr>
        <w:t>6.3.1 Historical Calibration and Regression Review</w:t>
      </w:r>
    </w:p>
    <w:p>
      <w:pPr>
        <w:keepNext w:val="0"/>
        <w:pageBreakBefore w:val="0"/>
        <w:spacing w:after="140"/>
      </w:pPr>
      <w:r>
        <w:rPr>
          <w:rFonts w:ascii="Times New Roman" w:hAnsi="Times New Roman" w:eastAsia="Noto Sans CJK SC"/>
          <w:color w:val="000000"/>
          <w:sz w:val="22"/>
          <w:lang w:val="en-US" w:eastAsia="zh-CN"/>
        </w:rPr>
        <w:t>Debit testing reviews the retained regression-screening outcomes and verifies the adopted historical calibration. Baseline uses the latest eight complete actual quarters; the stress floor uses the post-2015 mean less twice the sample standard deviation. The calibration is reproducible from the adjusted monthly and complete-quarter revenue outputs.</w:t>
      </w:r>
    </w:p>
    <w:p>
      <w:pPr>
        <w:keepNext/>
        <w:keepLines/>
        <w:pageBreakBefore w:val="0"/>
        <w:spacing w:after="140"/>
      </w:pPr>
      <w:r>
        <w:rPr>
          <w:rFonts w:ascii="Times New Roman" w:hAnsi="Times New Roman" w:eastAsia="Noto Sans CJK SC"/>
          <w:color w:val="000000"/>
          <w:sz w:val="22"/>
          <w:lang w:val="en-US" w:eastAsia="zh-CN"/>
        </w:rPr>
        <w:t>This table consolidates the Debit regression-screening outcomes across the tested target and frequency treatments. The absence of an accepted specification explains why Debit testing evaluates the historical calibration instead of a final regression equation.</w:t>
      </w:r>
    </w:p>
    <w:p>
      <w:pPr>
        <w:pStyle w:val="Caption"/>
        <w:keepNext/>
        <w:pageBreakBefore w:val="0"/>
        <w:spacing w:after="140"/>
      </w:pPr>
      <w:r>
        <w:rPr>
          <w:rFonts w:ascii="Times New Roman" w:hAnsi="Times New Roman" w:eastAsia="Noto Sans CJK SC"/>
          <w:color w:val="000000"/>
          <w:sz w:val="21"/>
          <w:lang w:val="en-US" w:eastAsia="zh-CN"/>
        </w:rPr>
        <w:t>Table 6.19 Debit Regression Screening Outcomes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1440"/>
        <w:gridCol w:w="1440"/>
        <w:gridCol w:w="1800"/>
        <w:gridCol w:w="1800"/>
      </w:tblGrid>
      <w:tr>
        <w:trPr>
          <w:cantSplit/>
          <w:tblHeader/>
        </w:trPr>
        <w:tc>
          <w:tcPr>
            <w:tcW w:type="dxa" w:w="3456"/>
            <w:vAlign w:val="center"/>
            <w:tcMar>
              <w:top w:w="90" w:type="dxa"/>
              <w:bottom w:w="90" w:type="dxa"/>
              <w:left w:w="90" w:type="dxa"/>
              <w:right w:w="90" w:type="dxa"/>
            </w:tcMar>
            <w:shd w:fill="E7E6E6"/>
          </w:tcPr>
          <w:p>
            <w:pPr>
              <w:spacing w:after="40" w:line="240" w:lineRule="exact"/>
            </w:pPr>
            <w:r>
              <w:rPr>
                <w:rFonts w:ascii="Times New Roman" w:hAnsi="Times New Roman" w:eastAsia="Noto Sans CJK SC"/>
                <w:b/>
                <w:color w:val="000000"/>
                <w:sz w:val="19"/>
                <w:lang w:val="en-US" w:eastAsia="zh-CN"/>
              </w:rPr>
              <w:t>Approach</w:t>
            </w:r>
          </w:p>
        </w:tc>
        <w:tc>
          <w:tcPr>
            <w:tcW w:type="dxa" w:w="1440"/>
            <w:vAlign w:val="center"/>
            <w:tcMar>
              <w:top w:w="90" w:type="dxa"/>
              <w:bottom w:w="90" w:type="dxa"/>
              <w:left w:w="90" w:type="dxa"/>
              <w:right w:w="90" w:type="dxa"/>
            </w:tcMar>
            <w:shd w:fill="E7E6E6"/>
          </w:tcPr>
          <w:p>
            <w:pPr>
              <w:spacing w:after="40" w:line="240" w:lineRule="exact"/>
            </w:pPr>
            <w:r>
              <w:rPr>
                <w:rFonts w:ascii="Times New Roman" w:hAnsi="Times New Roman" w:eastAsia="Noto Sans CJK SC"/>
                <w:b/>
                <w:color w:val="000000"/>
                <w:sz w:val="19"/>
                <w:lang w:val="en-US" w:eastAsia="zh-CN"/>
              </w:rPr>
              <w:t>Effective n</w:t>
            </w:r>
          </w:p>
        </w:tc>
        <w:tc>
          <w:tcPr>
            <w:tcW w:type="dxa" w:w="1440"/>
            <w:vAlign w:val="center"/>
            <w:tcMar>
              <w:top w:w="90" w:type="dxa"/>
              <w:bottom w:w="90" w:type="dxa"/>
              <w:left w:w="90" w:type="dxa"/>
              <w:right w:w="90" w:type="dxa"/>
            </w:tcMar>
            <w:shd w:fill="E7E6E6"/>
          </w:tcPr>
          <w:p>
            <w:pPr>
              <w:spacing w:after="40" w:line="240" w:lineRule="exact"/>
            </w:pPr>
            <w:r>
              <w:rPr>
                <w:rFonts w:ascii="Times New Roman" w:hAnsi="Times New Roman" w:eastAsia="Noto Sans CJK SC"/>
                <w:b/>
                <w:color w:val="000000"/>
                <w:sz w:val="19"/>
                <w:lang w:val="en-US" w:eastAsia="zh-CN"/>
              </w:rPr>
              <w:t>Candidates</w:t>
            </w:r>
          </w:p>
        </w:tc>
        <w:tc>
          <w:tcPr>
            <w:tcW w:type="dxa" w:w="1800"/>
            <w:vAlign w:val="center"/>
            <w:tcMar>
              <w:top w:w="90" w:type="dxa"/>
              <w:bottom w:w="90" w:type="dxa"/>
              <w:left w:w="90" w:type="dxa"/>
              <w:right w:w="90" w:type="dxa"/>
            </w:tcMar>
            <w:shd w:fill="E7E6E6"/>
          </w:tcPr>
          <w:p>
            <w:pPr>
              <w:spacing w:after="40" w:line="240" w:lineRule="exact"/>
            </w:pPr>
            <w:r>
              <w:rPr>
                <w:rFonts w:ascii="Times New Roman" w:hAnsi="Times New Roman" w:eastAsia="Noto Sans CJK SC"/>
                <w:b/>
                <w:color w:val="000000"/>
                <w:sz w:val="19"/>
                <w:lang w:val="en-US" w:eastAsia="zh-CN"/>
              </w:rPr>
              <w:t>All gates passed</w:t>
            </w:r>
          </w:p>
        </w:tc>
        <w:tc>
          <w:tcPr>
            <w:tcW w:type="dxa" w:w="1800"/>
            <w:vAlign w:val="center"/>
            <w:tcMar>
              <w:top w:w="90" w:type="dxa"/>
              <w:bottom w:w="90" w:type="dxa"/>
              <w:left w:w="90" w:type="dxa"/>
              <w:right w:w="90" w:type="dxa"/>
            </w:tcMar>
            <w:shd w:fill="E7E6E6"/>
          </w:tcPr>
          <w:p>
            <w:pPr>
              <w:spacing w:after="40" w:line="240" w:lineRule="exact"/>
            </w:pPr>
            <w:r>
              <w:rPr>
                <w:rFonts w:ascii="Times New Roman" w:hAnsi="Times New Roman" w:eastAsia="Noto Sans CJK SC"/>
                <w:b/>
                <w:color w:val="000000"/>
                <w:sz w:val="19"/>
                <w:lang w:val="en-US" w:eastAsia="zh-CN"/>
              </w:rPr>
              <w:t>Accepted model</w:t>
            </w:r>
          </w:p>
        </w:tc>
      </w:tr>
      <w:tr>
        <w:trPr>
          <w:cantSplit/>
        </w:trPr>
        <w:tc>
          <w:tcPr>
            <w:tcW w:type="dxa" w:w="3456"/>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Level</w:t>
            </w:r>
          </w:p>
        </w:tc>
        <w:tc>
          <w:tcPr>
            <w:tcW w:type="dxa" w:w="144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129</w:t>
            </w:r>
          </w:p>
        </w:tc>
        <w:tc>
          <w:tcPr>
            <w:tcW w:type="dxa" w:w="144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194</w:t>
            </w:r>
          </w:p>
        </w:tc>
        <w:tc>
          <w:tcPr>
            <w:tcW w:type="dxa" w:w="180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0</w:t>
            </w:r>
          </w:p>
        </w:tc>
        <w:tc>
          <w:tcPr>
            <w:tcW w:type="dxa" w:w="180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No</w:t>
            </w:r>
          </w:p>
        </w:tc>
      </w:tr>
      <w:tr>
        <w:trPr>
          <w:cantSplit/>
        </w:trPr>
        <w:tc>
          <w:tcPr>
            <w:tcW w:type="dxa" w:w="3456"/>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YoY_​static_​screen</w:t>
            </w:r>
          </w:p>
        </w:tc>
        <w:tc>
          <w:tcPr>
            <w:tcW w:type="dxa" w:w="144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129</w:t>
            </w:r>
          </w:p>
        </w:tc>
        <w:tc>
          <w:tcPr>
            <w:tcW w:type="dxa" w:w="144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14</w:t>
            </w:r>
          </w:p>
        </w:tc>
        <w:tc>
          <w:tcPr>
            <w:tcW w:type="dxa" w:w="180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0</w:t>
            </w:r>
          </w:p>
        </w:tc>
        <w:tc>
          <w:tcPr>
            <w:tcW w:type="dxa" w:w="180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No</w:t>
            </w:r>
          </w:p>
        </w:tc>
      </w:tr>
      <w:tr>
        <w:trPr>
          <w:cantSplit/>
        </w:trPr>
        <w:tc>
          <w:tcPr>
            <w:tcW w:type="dxa" w:w="3456"/>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MoM</w:t>
            </w:r>
          </w:p>
        </w:tc>
        <w:tc>
          <w:tcPr>
            <w:tcW w:type="dxa" w:w="144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128</w:t>
            </w:r>
          </w:p>
        </w:tc>
        <w:tc>
          <w:tcPr>
            <w:tcW w:type="dxa" w:w="144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194</w:t>
            </w:r>
          </w:p>
        </w:tc>
        <w:tc>
          <w:tcPr>
            <w:tcW w:type="dxa" w:w="180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0</w:t>
            </w:r>
          </w:p>
        </w:tc>
        <w:tc>
          <w:tcPr>
            <w:tcW w:type="dxa" w:w="180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No</w:t>
            </w:r>
          </w:p>
        </w:tc>
      </w:tr>
      <w:tr>
        <w:trPr>
          <w:cantSplit/>
        </w:trPr>
        <w:tc>
          <w:tcPr>
            <w:tcW w:type="dxa" w:w="3456"/>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QoQ_​quarterly</w:t>
            </w:r>
          </w:p>
        </w:tc>
        <w:tc>
          <w:tcPr>
            <w:tcW w:type="dxa" w:w="144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42</w:t>
            </w:r>
          </w:p>
        </w:tc>
        <w:tc>
          <w:tcPr>
            <w:tcW w:type="dxa" w:w="144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74</w:t>
            </w:r>
          </w:p>
        </w:tc>
        <w:tc>
          <w:tcPr>
            <w:tcW w:type="dxa" w:w="180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0</w:t>
            </w:r>
          </w:p>
        </w:tc>
        <w:tc>
          <w:tcPr>
            <w:tcW w:type="dxa" w:w="180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No</w:t>
            </w:r>
          </w:p>
        </w:tc>
      </w:tr>
    </w:tbl>
    <w:p>
      <w:pPr>
        <w:keepNext w:val="0"/>
        <w:pageBreakBefore w:val="0"/>
        <w:spacing w:after="140" w:line="230" w:lineRule="exact"/>
      </w:pPr>
      <w:r>
        <w:rPr>
          <w:rFonts w:ascii="Times New Roman" w:hAnsi="Times New Roman" w:eastAsia="Noto Sans CJK SC"/>
          <w:color w:val="000000"/>
          <w:sz w:val="17"/>
          <w:lang w:val="en-US" w:eastAsia="zh-CN"/>
          <w:lang w:val="en-US" w:eastAsia="zh-CN"/>
        </w:rPr>
        <w:t>Data sources: debit/​regression_​summary.csv.</w:t>
      </w:r>
    </w:p>
    <w:p>
      <w:pPr>
        <w:keepNext/>
        <w:keepLines/>
        <w:pageBreakBefore w:val="0"/>
        <w:spacing w:after="140"/>
      </w:pPr>
      <w:r>
        <w:rPr>
          <w:rFonts w:ascii="Times New Roman" w:hAnsi="Times New Roman" w:eastAsia="Noto Sans CJK SC"/>
          <w:color w:val="000000"/>
          <w:sz w:val="22"/>
          <w:lang w:val="en-US" w:eastAsia="zh-CN"/>
        </w:rPr>
        <w:t>The baseline summarizes the recent quarterly run rate, while the stress floor provides the separately calibrated downside reference. The reported decline measures the distance between these two quarterly calibration levels.</w:t>
      </w:r>
    </w:p>
    <w:p>
      <w:pPr>
        <w:pStyle w:val="Caption"/>
        <w:keepNext/>
        <w:pageBreakBefore w:val="0"/>
        <w:spacing w:after="140"/>
      </w:pPr>
      <w:r>
        <w:rPr>
          <w:rFonts w:ascii="Times New Roman" w:hAnsi="Times New Roman" w:eastAsia="Noto Sans CJK SC"/>
          <w:color w:val="000000"/>
          <w:sz w:val="21"/>
          <w:lang w:val="en-US" w:eastAsia="zh-CN"/>
        </w:rPr>
        <w:t>Table 6.20 Debit Historical Calibration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918"/>
        <w:gridCol w:w="3018"/>
      </w:tblGrid>
      <w:tr>
        <w:trPr>
          <w:cantSplit/>
          <w:tblHeader/>
        </w:trPr>
        <w:tc>
          <w:tcPr>
            <w:tcW w:type="dxa" w:w="6918"/>
            <w:vAlign w:val="center"/>
            <w:tcMar>
              <w:top w:w="90" w:type="dxa"/>
              <w:bottom w:w="90" w:type="dxa"/>
              <w:left w:w="90" w:type="dxa"/>
              <w:right w:w="90" w:type="dxa"/>
            </w:tcMar>
            <w:shd w:fill="E7E6E6"/>
          </w:tcPr>
          <w:p>
            <w:pPr>
              <w:spacing w:after="40" w:line="240" w:lineRule="exact"/>
            </w:pPr>
            <w:r>
              <w:rPr>
                <w:rFonts w:ascii="Times New Roman" w:hAnsi="Times New Roman" w:eastAsia="Noto Sans CJK SC"/>
                <w:b/>
                <w:color w:val="000000"/>
                <w:sz w:val="19"/>
                <w:lang w:val="en-US" w:eastAsia="zh-CN"/>
              </w:rPr>
              <w:t>Measure</w:t>
            </w:r>
          </w:p>
        </w:tc>
        <w:tc>
          <w:tcPr>
            <w:tcW w:type="dxa" w:w="3018"/>
            <w:vAlign w:val="center"/>
            <w:tcMar>
              <w:top w:w="90" w:type="dxa"/>
              <w:bottom w:w="90" w:type="dxa"/>
              <w:left w:w="90" w:type="dxa"/>
              <w:right w:w="90" w:type="dxa"/>
            </w:tcMar>
            <w:shd w:fill="E7E6E6"/>
          </w:tcPr>
          <w:p>
            <w:pPr>
              <w:spacing w:after="40" w:line="240" w:lineRule="exact"/>
            </w:pPr>
            <w:r>
              <w:rPr>
                <w:rFonts w:ascii="Times New Roman" w:hAnsi="Times New Roman" w:eastAsia="Noto Sans CJK SC"/>
                <w:b/>
                <w:color w:val="000000"/>
                <w:sz w:val="19"/>
                <w:lang w:val="en-US" w:eastAsia="zh-CN"/>
              </w:rPr>
              <w:t>Value</w:t>
            </w:r>
          </w:p>
        </w:tc>
      </w:tr>
      <w:tr>
        <w:trPr>
          <w:cantSplit/>
        </w:trPr>
        <w:tc>
          <w:tcPr>
            <w:tcW w:type="dxa" w:w="6918"/>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Quarterly baseline revenue ($000)</w:t>
            </w:r>
          </w:p>
        </w:tc>
        <w:tc>
          <w:tcPr>
            <w:tcW w:type="dxa" w:w="3018"/>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4,747.625</w:t>
            </w:r>
          </w:p>
        </w:tc>
      </w:tr>
      <w:tr>
        <w:trPr>
          <w:cantSplit/>
        </w:trPr>
        <w:tc>
          <w:tcPr>
            <w:tcW w:type="dxa" w:w="6918"/>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Quarterly stress floor ($000)</w:t>
            </w:r>
          </w:p>
        </w:tc>
        <w:tc>
          <w:tcPr>
            <w:tcW w:type="dxa" w:w="3018"/>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3,813.653</w:t>
            </w:r>
          </w:p>
        </w:tc>
      </w:tr>
      <w:tr>
        <w:trPr>
          <w:cantSplit/>
        </w:trPr>
        <w:tc>
          <w:tcPr>
            <w:tcW w:type="dxa" w:w="6918"/>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Decline from baseline to stress floor</w:t>
            </w:r>
          </w:p>
        </w:tc>
        <w:tc>
          <w:tcPr>
            <w:tcW w:type="dxa" w:w="3018"/>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19.67%</w:t>
            </w:r>
          </w:p>
        </w:tc>
      </w:tr>
    </w:tbl>
    <w:p>
      <w:pPr>
        <w:keepNext w:val="0"/>
        <w:pageBreakBefore w:val="0"/>
        <w:spacing w:after="140" w:line="230" w:lineRule="exact"/>
      </w:pPr>
      <w:r>
        <w:rPr>
          <w:rFonts w:ascii="Times New Roman" w:hAnsi="Times New Roman" w:eastAsia="Noto Sans CJK SC"/>
          <w:color w:val="000000"/>
          <w:sz w:val="17"/>
          <w:lang w:val="en-US" w:eastAsia="zh-CN"/>
          <w:lang w:val="en-US" w:eastAsia="zh-CN"/>
        </w:rPr>
        <w:t>Data sources: debit/​qualitative_​scenarios.csv; debit/​historical_​statistics.csv.</w:t>
      </w:r>
    </w:p>
    <w:p>
      <w:pPr>
        <w:pStyle w:val="Heading3"/>
        <w:keepNext/>
        <w:pageBreakBefore w:val="0"/>
        <w:spacing w:after="140"/>
      </w:pPr>
      <w:r>
        <w:rPr>
          <w:rFonts w:ascii="Times New Roman" w:hAnsi="Times New Roman" w:eastAsia="Noto Sans CJK SC"/>
          <w:color w:val="000000"/>
          <w:sz w:val="22"/>
          <w:lang w:val="en-US" w:eastAsia="zh-CN"/>
        </w:rPr>
        <w:t>6.3.2 Scenario Reasonableness</w:t>
      </w:r>
    </w:p>
    <w:p>
      <w:pPr>
        <w:widowControl/>
      </w:pPr>
      <w:r>
        <w:rPr>
          <w:rFonts w:ascii="Times New Roman" w:hAnsi="Times New Roman" w:eastAsia="Noto Sans CJK SC"/>
          <w:color w:val="000000"/>
          <w:sz w:val="22"/>
          <w:lang w:val="en-US" w:eastAsia="zh-CN"/>
        </w:rPr>
        <w:t>The quarterly Baseline of 4,747.63 and Stress floor of 3,813.65 imply a 19.67% decline. The observed 2020Q2 decline from the average of 2019Q3 and 2019Q4 is approximately 6.88%, so the rule is more severe on that comparison. The floor is below the minimum observed post-2015 quarter, 3,954.00. The Shapiro–Wilk p-value for the post-2015 sample is approximately 0.0534 [debit/​historical_​statistics.csv/​row 14 col 2].</w:t>
      </w:r>
    </w:p>
    <w:p>
      <w:pPr>
        <w:pStyle w:val="Caption"/>
        <w:keepNext/>
        <w:pageBreakBefore w:val="0"/>
        <w:spacing w:after="140"/>
      </w:pPr>
      <w:r>
        <w:rPr>
          <w:rFonts w:ascii="Times New Roman" w:hAnsi="Times New Roman" w:eastAsia="Noto Sans CJK SC"/>
          <w:color w:val="000000"/>
          <w:sz w:val="21"/>
          <w:lang w:val="en-US" w:eastAsia="zh-CN"/>
        </w:rPr>
        <w:t>Figure 6.19 Debit Quarterly History and Calibration Levels</w:t>
      </w:r>
    </w:p>
    <w:p>
      <w:pPr>
        <w:keepNext/>
        <w:widowControl/>
        <w:jc w:val="center"/>
      </w:pPr>
      <w:r>
        <w:drawing>
          <wp:inline xmlns:a="http://schemas.openxmlformats.org/drawingml/2006/main" xmlns:pic="http://schemas.openxmlformats.org/drawingml/2006/picture">
            <wp:extent cx="6080760" cy="2364740"/>
            <wp:docPr id="23" name="Picture 23" descr="Figure 6.9 Debit quarterly history and calibration levels"/>
            <wp:cNvGraphicFramePr>
              <a:graphicFrameLocks noChangeAspect="1"/>
            </wp:cNvGraphicFramePr>
            <a:graphic>
              <a:graphicData uri="http://schemas.openxmlformats.org/drawingml/2006/picture">
                <pic:pic>
                  <pic:nvPicPr>
                    <pic:cNvPr id="0" name="debit_history.png"/>
                    <pic:cNvPicPr/>
                  </pic:nvPicPr>
                  <pic:blipFill>
                    <a:blip r:embed="rId33"/>
                    <a:stretch>
                      <a:fillRect/>
                    </a:stretch>
                  </pic:blipFill>
                  <pic:spPr>
                    <a:xfrm>
                      <a:off x="0" y="0"/>
                      <a:ext cx="6080760" cy="2364740"/>
                    </a:xfrm>
                    <a:prstGeom prst="rect"/>
                  </pic:spPr>
                </pic:pic>
              </a:graphicData>
            </a:graphic>
          </wp:inline>
        </w:drawing>
      </w:r>
    </w:p>
    <w:p>
      <w:pPr>
        <w:keepNext w:val="0"/>
        <w:pageBreakBefore w:val="0"/>
        <w:spacing w:after="140" w:line="230" w:lineRule="exact"/>
      </w:pPr>
      <w:r>
        <w:rPr>
          <w:rFonts w:ascii="Times New Roman" w:hAnsi="Times New Roman" w:eastAsia="Noto Sans CJK SC"/>
          <w:color w:val="000000"/>
          <w:sz w:val="17"/>
          <w:lang w:val="en-US" w:eastAsia="zh-CN"/>
          <w:lang w:val="en-US" w:eastAsia="zh-CN"/>
        </w:rPr>
        <w:t>Data sources: debit/​quarterly_​revenue.csv; debit/​qualitative_​scenarios.csv. Calibration levels, not dated forward forecasts.</w:t>
      </w:r>
    </w:p>
    <w:p>
      <w:pPr>
        <w:pStyle w:val="Heading3"/>
        <w:keepNext/>
        <w:pageBreakBefore w:val="0"/>
        <w:spacing w:after="140"/>
      </w:pPr>
      <w:r>
        <w:rPr>
          <w:rFonts w:ascii="Times New Roman" w:hAnsi="Times New Roman" w:eastAsia="Noto Sans CJK SC"/>
          <w:color w:val="000000"/>
          <w:sz w:val="22"/>
          <w:lang w:val="en-US" w:eastAsia="zh-CN"/>
        </w:rPr>
        <w:t>6.3.3 Sensitivity and Assumption Review</w:t>
      </w:r>
    </w:p>
    <w:p>
      <w:pPr>
        <w:widowControl/>
      </w:pPr>
      <w:r>
        <w:rPr>
          <w:rFonts w:ascii="Times New Roman" w:hAnsi="Times New Roman" w:eastAsia="Noto Sans CJK SC"/>
          <w:color w:val="000000"/>
          <w:sz w:val="22"/>
          <w:lang w:val="en-US" w:eastAsia="zh-CN"/>
        </w:rPr>
        <w:t>Debit sensitivity review focuses on the recent-quarter baseline, the stress-calibration window and the standard-deviation multiplier. These are the key assumptions governing its historical calibration. Review of any dated forecast application also considers transition and recovery assumptions.</w:t>
      </w:r>
    </w:p>
    <w:p>
      <w:pPr>
        <w:pStyle w:val="Heading3"/>
        <w:keepNext/>
        <w:pageBreakBefore w:val="0"/>
        <w:spacing w:after="140"/>
      </w:pPr>
      <w:r>
        <w:rPr>
          <w:rFonts w:ascii="Times New Roman" w:hAnsi="Times New Roman" w:eastAsia="Noto Sans CJK SC"/>
          <w:color w:val="000000"/>
          <w:sz w:val="22"/>
          <w:lang w:val="en-US" w:eastAsia="zh-CN"/>
        </w:rPr>
        <w:t>6.3.4 Out of Time Testing</w:t>
      </w:r>
    </w:p>
    <w:p>
      <w:pPr>
        <w:keepNext w:val="0"/>
        <w:pageBreakBefore w:val="0"/>
        <w:spacing w:after="140"/>
      </w:pPr>
      <w:r>
        <w:rPr>
          <w:rFonts w:ascii="Times New Roman" w:hAnsi="Times New Roman" w:eastAsia="Noto Sans CJK SC"/>
          <w:color w:val="000000"/>
          <w:sz w:val="22"/>
          <w:lang w:val="en-US" w:eastAsia="zh-CN"/>
        </w:rPr>
        <w:t>OOT testing is not applicable to the adopted Debit Card historical calibration method.</w:t>
      </w:r>
    </w:p>
    <w:p>
      <w:pPr>
        <w:pStyle w:val="Heading3"/>
        <w:keepNext/>
        <w:pageBreakBefore w:val="0"/>
        <w:spacing w:after="140"/>
      </w:pPr>
      <w:r>
        <w:rPr>
          <w:rFonts w:ascii="Times New Roman" w:hAnsi="Times New Roman" w:eastAsia="Noto Sans CJK SC"/>
          <w:color w:val="000000"/>
          <w:sz w:val="22"/>
          <w:lang w:val="en-US" w:eastAsia="zh-CN"/>
        </w:rPr>
        <w:t>6.3.5 User Review and Acceptance</w:t>
      </w:r>
    </w:p>
    <w:p>
      <w:pPr>
        <w:widowControl/>
      </w:pPr>
      <w:r>
        <w:rPr>
          <w:rFonts w:ascii="Times New Roman" w:hAnsi="Times New Roman" w:eastAsia="Noto Sans CJK SC"/>
          <w:color w:val="000000"/>
          <w:sz w:val="22"/>
          <w:lang w:val="en-US" w:eastAsia="zh-CN"/>
        </w:rPr>
        <w:t>Model results, assumptions, baseline and stress calibration levels, and testing outcomes were reviewed with Strategic Finance and relevant lines of business during model development. Review sessions focused on economic intuition, reasonableness of the historical calibration assumptions, baseline and stress behavior under changing economic conditions, and consistency with observed business performance. Feedback from these reviews supported the conclusion that the model appropriately reflects historical Debit Card Fee Revenue behavior and provides baseline and stress calibration levels that are consistent with business expectations.</w:t>
      </w:r>
    </w:p>
    <w:p>
      <w:pPr>
        <w:widowControl/>
      </w:pPr>
      <w:r>
        <w:rPr>
          <w:rFonts w:ascii="Times New Roman" w:hAnsi="Times New Roman" w:eastAsia="Noto Sans CJK SC"/>
          <w:color w:val="000000"/>
          <w:sz w:val="22"/>
          <w:lang w:val="en-US" w:eastAsia="zh-CN"/>
        </w:rPr>
        <w:t>Because the model has not yet been deployed into a production forecasting environment, final User Acceptance Testing (UAT) has not been completed. Prior to production implementation, final UAT will be performed to verify that the implemented model reproduces approved development results, correctly incorporates required inputs, generates expected outputs, and operates in accordance with documented procedures and governance requirements.</w:t>
      </w:r>
    </w:p>
    <w:p>
      <w:pPr>
        <w:pStyle w:val="Heading3"/>
        <w:keepNext/>
        <w:pageBreakBefore w:val="0"/>
        <w:spacing w:after="140"/>
      </w:pPr>
      <w:r>
        <w:rPr>
          <w:rFonts w:ascii="Times New Roman" w:hAnsi="Times New Roman" w:eastAsia="Noto Sans CJK SC"/>
          <w:color w:val="000000"/>
          <w:sz w:val="22"/>
          <w:lang w:val="en-US" w:eastAsia="zh-CN"/>
        </w:rPr>
        <w:t>6.3.6 Testing Conclusions</w:t>
      </w:r>
    </w:p>
    <w:p>
      <w:pPr>
        <w:keepNext w:val="0"/>
        <w:pageBreakBefore w:val="0"/>
        <w:spacing w:after="140"/>
      </w:pPr>
      <w:r>
        <w:rPr>
          <w:rFonts w:ascii="Times New Roman" w:hAnsi="Times New Roman" w:eastAsia="Noto Sans CJK SC"/>
          <w:color w:val="000000"/>
          <w:sz w:val="22"/>
          <w:lang w:val="en-US" w:eastAsia="zh-CN"/>
        </w:rPr>
        <w:t>The retained historical statistics and scenario calculations support a transparent calibration framework for Debit Card. Monitoring focuses on the recent quarterly run rate, the relevance of the stress-calibration population and dispersion, and the approved application of the baseline and stress levels.</w:t>
      </w:r>
    </w:p>
    <w:p>
      <w:pPr>
        <w:pStyle w:val="Heading1"/>
        <w:keepNext/>
        <w:pageBreakBefore/>
      </w:pPr>
      <w:commentRangeStart w:id="6"/>
      <w:r>
        <w:t>7. Model Implementation</w:t>
      </w:r>
      <w:commentRangeEnd w:id="6"/>
      <w:r>
        <w:rPr>
          <w:rStyle w:val="CommentReference"/>
        </w:rPr>
        <w:commentReference w:id="6"/>
      </w:r>
    </w:p>
    <w:p>
      <w:pPr>
        <w:pStyle w:val="Heading1"/>
        <w:keepNext/>
        <w:pageBreakBefore/>
        <w:spacing w:after="140"/>
      </w:pPr>
      <w:r>
        <w:rPr>
          <w:rFonts w:ascii="Times New Roman" w:hAnsi="Times New Roman" w:eastAsia="Noto Sans CJK SC"/>
          <w:color w:val="000000"/>
          <w:sz w:val="32"/>
          <w:lang w:val="en-US" w:eastAsia="zh-CN"/>
        </w:rPr>
        <w:t>8. Model Monitoring</w:t>
      </w:r>
    </w:p>
    <w:p>
      <w:pPr>
        <w:pStyle w:val="Heading2"/>
        <w:keepNext/>
        <w:pageBreakBefore w:val="0"/>
        <w:spacing w:after="140"/>
      </w:pPr>
      <w:r>
        <w:rPr>
          <w:rFonts w:ascii="Times New Roman" w:hAnsi="Times New Roman" w:eastAsia="Noto Sans CJK SC"/>
          <w:color w:val="000000"/>
          <w:sz w:val="26"/>
          <w:lang w:val="en-US" w:eastAsia="zh-CN"/>
        </w:rPr>
        <w:t>8.1 Purpose of Monitoring</w:t>
      </w:r>
    </w:p>
    <w:p>
      <w:pPr>
        <w:keepNext w:val="0"/>
        <w:pageBreakBefore w:val="0"/>
        <w:spacing w:after="140"/>
      </w:pPr>
      <w:r>
        <w:rPr>
          <w:rFonts w:ascii="Times New Roman" w:hAnsi="Times New Roman" w:eastAsia="Noto Sans CJK SC"/>
          <w:color w:val="000000"/>
          <w:sz w:val="22"/>
          <w:lang w:val="en-US" w:eastAsia="zh-CN"/>
        </w:rPr>
        <w:t>The purpose of ongoing model monitoring is to ensure the Card Fee Model continues to perform as intended after implementation and remains appropriate for its stated use in CCAR forecasting, stress testing, capital planning, and PPNR forecasting.</w:t>
      </w:r>
    </w:p>
    <w:p>
      <w:pPr>
        <w:keepNext w:val="0"/>
        <w:pageBreakBefore w:val="0"/>
        <w:spacing w:after="140"/>
      </w:pPr>
      <w:r>
        <w:rPr>
          <w:rFonts w:ascii="Times New Roman" w:hAnsi="Times New Roman" w:eastAsia="Noto Sans CJK SC"/>
          <w:color w:val="000000"/>
          <w:sz w:val="22"/>
          <w:lang w:val="en-US" w:eastAsia="zh-CN"/>
        </w:rPr>
        <w:t>Monitoring is intended to identify model deterioration, changes in business conditions, shifts in underlying revenue drivers, breaches of key assumptions, implementation issues, forecast bias, and other factors that could materially affect model outputs.</w:t>
      </w:r>
    </w:p>
    <w:p>
      <w:pPr>
        <w:keepNext w:val="0"/>
        <w:pageBreakBefore w:val="0"/>
        <w:spacing w:after="140"/>
      </w:pPr>
      <w:r>
        <w:rPr>
          <w:rFonts w:ascii="Times New Roman" w:hAnsi="Times New Roman" w:eastAsia="Noto Sans CJK SC"/>
          <w:color w:val="000000"/>
          <w:sz w:val="22"/>
          <w:lang w:val="en-US" w:eastAsia="zh-CN"/>
        </w:rPr>
        <w:t>Monitoring activities evaluate the continued appropriateness of model inputs, assumptions, methodologies, outputs, overlays, and operational processes. Results are used to determine whether the model remains fit for purpose, requires recalibration, requires modification of overlay assumptions, or requires redevelopment.</w:t>
      </w:r>
    </w:p>
    <w:p>
      <w:pPr>
        <w:pStyle w:val="Heading2"/>
        <w:keepNext/>
        <w:pageBreakBefore w:val="0"/>
        <w:spacing w:after="140"/>
      </w:pPr>
      <w:r>
        <w:rPr>
          <w:rFonts w:ascii="Times New Roman" w:hAnsi="Times New Roman" w:eastAsia="Noto Sans CJK SC"/>
          <w:color w:val="000000"/>
          <w:sz w:val="26"/>
          <w:lang w:val="en-US" w:eastAsia="zh-CN"/>
        </w:rPr>
        <w:t>8.2 Monitoring Philosophy</w:t>
      </w:r>
    </w:p>
    <w:p>
      <w:pPr>
        <w:keepNext w:val="0"/>
        <w:pageBreakBefore w:val="0"/>
        <w:spacing w:after="140"/>
      </w:pPr>
      <w:r>
        <w:rPr>
          <w:rFonts w:ascii="Times New Roman" w:hAnsi="Times New Roman" w:eastAsia="Noto Sans CJK SC"/>
          <w:color w:val="000000"/>
          <w:sz w:val="22"/>
          <w:lang w:val="en-US" w:eastAsia="zh-CN"/>
        </w:rPr>
        <w:t>The Card Fee Model combines statistically estimated relationships for Commercial Card and Small Business and Consumer Card with a historical calibration framework for Debit Card. Commercial forecasts also incorporate an EC trend adjustment. Because card fee revenue is influenced by changing customer behavior, spending activity, service utilization, pricing decisions, business initiatives, and other factors that may evolve over time, monitoring focuses on:</w:t>
      </w:r>
    </w:p>
    <w:p>
      <w:pPr>
        <w:pStyle w:val="ListBullet"/>
        <w:keepNext w:val="0"/>
        <w:pageBreakBefore w:val="0"/>
        <w:spacing w:after="140"/>
      </w:pPr>
      <w:r>
        <w:rPr>
          <w:rFonts w:ascii="Times New Roman" w:hAnsi="Times New Roman" w:eastAsia="Noto Sans CJK SC"/>
          <w:color w:val="000000"/>
          <w:sz w:val="22"/>
          <w:lang w:val="en-US" w:eastAsia="zh-CN"/>
        </w:rPr>
        <w:t>Stability and quality of inputs.</w:t>
      </w:r>
    </w:p>
    <w:p>
      <w:pPr>
        <w:pStyle w:val="ListBullet"/>
        <w:keepNext w:val="0"/>
        <w:pageBreakBefore w:val="0"/>
        <w:spacing w:after="140"/>
      </w:pPr>
      <w:r>
        <w:rPr>
          <w:rFonts w:ascii="Times New Roman" w:hAnsi="Times New Roman" w:eastAsia="Noto Sans CJK SC"/>
          <w:color w:val="000000"/>
          <w:sz w:val="22"/>
          <w:lang w:val="en-US" w:eastAsia="zh-CN"/>
        </w:rPr>
        <w:t>Accuracy and reasonableness of projected Card Fee Revenue forecasts.</w:t>
      </w:r>
    </w:p>
    <w:p>
      <w:pPr>
        <w:pStyle w:val="ListBullet"/>
        <w:keepNext w:val="0"/>
        <w:pageBreakBefore w:val="0"/>
        <w:spacing w:after="140"/>
      </w:pPr>
      <w:r>
        <w:rPr>
          <w:rFonts w:ascii="Times New Roman" w:hAnsi="Times New Roman" w:eastAsia="Noto Sans CJK SC"/>
          <w:color w:val="000000"/>
          <w:sz w:val="22"/>
          <w:lang w:val="en-US" w:eastAsia="zh-CN"/>
        </w:rPr>
        <w:t>Continued validity of key assumptions.</w:t>
      </w:r>
    </w:p>
    <w:p>
      <w:pPr>
        <w:pStyle w:val="ListBullet"/>
        <w:keepNext w:val="0"/>
        <w:pageBreakBefore w:val="0"/>
        <w:spacing w:after="140"/>
      </w:pPr>
      <w:r>
        <w:rPr>
          <w:rFonts w:ascii="Times New Roman" w:hAnsi="Times New Roman" w:eastAsia="Noto Sans CJK SC"/>
          <w:color w:val="000000"/>
          <w:sz w:val="22"/>
          <w:lang w:val="en-US" w:eastAsia="zh-CN"/>
        </w:rPr>
        <w:t>Stability of model coefficients and underlying relationships.</w:t>
      </w:r>
    </w:p>
    <w:p>
      <w:pPr>
        <w:pStyle w:val="ListBullet"/>
        <w:keepNext w:val="0"/>
        <w:pageBreakBefore w:val="0"/>
        <w:spacing w:after="140"/>
      </w:pPr>
      <w:r>
        <w:rPr>
          <w:rFonts w:ascii="Times New Roman" w:hAnsi="Times New Roman" w:eastAsia="Noto Sans CJK SC"/>
          <w:color w:val="000000"/>
          <w:sz w:val="22"/>
          <w:lang w:val="en-US" w:eastAsia="zh-CN"/>
        </w:rPr>
        <w:t>Evaluation of model limitations.</w:t>
      </w:r>
    </w:p>
    <w:p>
      <w:pPr>
        <w:pStyle w:val="ListBullet"/>
        <w:keepNext w:val="0"/>
        <w:pageBreakBefore w:val="0"/>
        <w:spacing w:after="140"/>
      </w:pPr>
      <w:r>
        <w:rPr>
          <w:rFonts w:ascii="Times New Roman" w:hAnsi="Times New Roman" w:eastAsia="Noto Sans CJK SC"/>
          <w:color w:val="000000"/>
          <w:sz w:val="22"/>
          <w:lang w:val="en-US" w:eastAsia="zh-CN"/>
        </w:rPr>
        <w:t>Review of overlays and expert judgment.</w:t>
      </w:r>
    </w:p>
    <w:p>
      <w:pPr>
        <w:keepNext w:val="0"/>
        <w:pageBreakBefore w:val="0"/>
        <w:spacing w:after="140"/>
      </w:pPr>
      <w:r>
        <w:rPr>
          <w:rFonts w:ascii="Times New Roman" w:hAnsi="Times New Roman" w:eastAsia="Noto Sans CJK SC"/>
          <w:color w:val="000000"/>
          <w:sz w:val="22"/>
          <w:lang w:val="en-US" w:eastAsia="zh-CN"/>
        </w:rPr>
        <w:t>Monitoring seeks to identify both gradual deterioration and sudden structural changes in business conditions. Particular attention will be given to:</w:t>
      </w:r>
    </w:p>
    <w:p>
      <w:pPr>
        <w:pStyle w:val="ListBullet"/>
        <w:keepNext w:val="0"/>
        <w:pageBreakBefore w:val="0"/>
        <w:spacing w:after="140"/>
      </w:pPr>
      <w:r>
        <w:rPr>
          <w:rFonts w:ascii="Times New Roman" w:hAnsi="Times New Roman" w:eastAsia="Noto Sans CJK SC"/>
          <w:color w:val="000000"/>
          <w:sz w:val="22"/>
          <w:lang w:val="en-US" w:eastAsia="zh-CN"/>
        </w:rPr>
        <w:t>Changes in Commercial Card and Small Business fee growth, the CPI reference, Corporate Profits growth and the adjusted EC state.</w:t>
      </w:r>
    </w:p>
    <w:p>
      <w:pPr>
        <w:pStyle w:val="ListBullet"/>
        <w:keepNext w:val="0"/>
        <w:pageBreakBefore w:val="0"/>
        <w:spacing w:after="140"/>
      </w:pPr>
      <w:r>
        <w:rPr>
          <w:rFonts w:ascii="Times New Roman" w:hAnsi="Times New Roman" w:eastAsia="Noto Sans CJK SC"/>
          <w:color w:val="000000"/>
          <w:sz w:val="22"/>
          <w:lang w:val="en-US" w:eastAsia="zh-CN"/>
        </w:rPr>
        <w:t>Changes in Consumer Card fee dynamics, Retail Sales growth and calendar effects.</w:t>
      </w:r>
    </w:p>
    <w:p>
      <w:pPr>
        <w:pStyle w:val="ListBullet"/>
        <w:keepNext w:val="0"/>
        <w:pageBreakBefore w:val="0"/>
        <w:spacing w:after="140"/>
      </w:pPr>
      <w:r>
        <w:rPr>
          <w:rFonts w:ascii="Times New Roman" w:hAnsi="Times New Roman" w:eastAsia="Noto Sans CJK SC"/>
          <w:color w:val="000000"/>
          <w:sz w:val="22"/>
          <w:lang w:val="en-US" w:eastAsia="zh-CN"/>
        </w:rPr>
        <w:t>Changes in Debit Card quarterly revenue, the recent baseline and post-2015 dispersion.</w:t>
      </w:r>
    </w:p>
    <w:p>
      <w:pPr>
        <w:pStyle w:val="ListBullet"/>
        <w:keepNext w:val="0"/>
        <w:pageBreakBefore w:val="0"/>
        <w:spacing w:after="140"/>
      </w:pPr>
      <w:r>
        <w:rPr>
          <w:rFonts w:ascii="Times New Roman" w:hAnsi="Times New Roman" w:eastAsia="Noto Sans CJK SC"/>
          <w:color w:val="000000"/>
          <w:sz w:val="22"/>
          <w:lang w:val="en-US" w:eastAsia="zh-CN"/>
        </w:rPr>
        <w:t>Structural shifts in pricing practices, products and service offerings.</w:t>
      </w:r>
    </w:p>
    <w:p>
      <w:pPr>
        <w:pStyle w:val="ListBullet"/>
        <w:keepNext w:val="0"/>
        <w:pageBreakBefore w:val="0"/>
        <w:spacing w:after="140"/>
      </w:pPr>
      <w:r>
        <w:rPr>
          <w:rFonts w:ascii="Times New Roman" w:hAnsi="Times New Roman" w:eastAsia="Noto Sans CJK SC"/>
          <w:color w:val="000000"/>
          <w:sz w:val="22"/>
          <w:lang w:val="en-US" w:eastAsia="zh-CN"/>
        </w:rPr>
        <w:t>Material deviations between projected and realized Card Fee Revenue.</w:t>
      </w:r>
    </w:p>
    <w:p>
      <w:pPr>
        <w:pStyle w:val="ListBullet"/>
        <w:keepNext w:val="0"/>
        <w:pageBreakBefore w:val="0"/>
        <w:spacing w:after="140"/>
      </w:pPr>
      <w:r>
        <w:rPr>
          <w:rFonts w:ascii="Times New Roman" w:hAnsi="Times New Roman" w:eastAsia="Noto Sans CJK SC"/>
          <w:color w:val="000000"/>
          <w:sz w:val="22"/>
          <w:lang w:val="en-US" w:eastAsia="zh-CN"/>
        </w:rPr>
        <w:t>Persistent forecast bias.</w:t>
      </w:r>
    </w:p>
    <w:p>
      <w:pPr>
        <w:pStyle w:val="ListBullet"/>
        <w:keepNext w:val="0"/>
        <w:pageBreakBefore w:val="0"/>
        <w:spacing w:after="140"/>
      </w:pPr>
      <w:r>
        <w:rPr>
          <w:rFonts w:ascii="Times New Roman" w:hAnsi="Times New Roman" w:eastAsia="Noto Sans CJK SC"/>
          <w:color w:val="000000"/>
          <w:sz w:val="22"/>
          <w:lang w:val="en-US" w:eastAsia="zh-CN"/>
        </w:rPr>
        <w:t>Significant changes in customer behavior affecting fee generation.</w:t>
      </w:r>
    </w:p>
    <w:p>
      <w:pPr>
        <w:pStyle w:val="Heading2"/>
        <w:keepNext/>
        <w:pageBreakBefore w:val="0"/>
        <w:spacing w:after="140"/>
      </w:pPr>
      <w:r>
        <w:rPr>
          <w:rFonts w:ascii="Times New Roman" w:hAnsi="Times New Roman" w:eastAsia="Noto Sans CJK SC"/>
          <w:color w:val="000000"/>
          <w:sz w:val="26"/>
          <w:lang w:val="en-US" w:eastAsia="zh-CN"/>
        </w:rPr>
        <w:t>8.3 Monitoring Roles and Responsibilities</w:t>
      </w:r>
    </w:p>
    <w:p>
      <w:pPr>
        <w:pStyle w:val="Heading3"/>
        <w:keepNext/>
        <w:pageBreakBefore w:val="0"/>
        <w:spacing w:after="140"/>
      </w:pPr>
      <w:r>
        <w:rPr>
          <w:rFonts w:ascii="Times New Roman" w:hAnsi="Times New Roman" w:eastAsia="Noto Sans CJK SC"/>
          <w:color w:val="000000"/>
          <w:sz w:val="22"/>
          <w:lang w:val="en-US" w:eastAsia="zh-CN"/>
        </w:rPr>
        <w:t>Model Owner</w:t>
      </w:r>
    </w:p>
    <w:p>
      <w:pPr>
        <w:keepNext w:val="0"/>
        <w:pageBreakBefore w:val="0"/>
        <w:spacing w:after="140"/>
      </w:pPr>
      <w:r>
        <w:rPr>
          <w:rFonts w:ascii="Times New Roman" w:hAnsi="Times New Roman" w:eastAsia="Noto Sans CJK SC"/>
          <w:color w:val="000000"/>
          <w:sz w:val="22"/>
          <w:lang w:val="en-US" w:eastAsia="zh-CN"/>
        </w:rPr>
        <w:t>The Model Owner is responsible for overall model performance oversight and ensuring monitoring activities are completed timely.</w:t>
      </w:r>
    </w:p>
    <w:p>
      <w:pPr>
        <w:keepNext w:val="0"/>
        <w:pageBreakBefore w:val="0"/>
        <w:spacing w:after="140"/>
      </w:pPr>
      <w:r>
        <w:rPr>
          <w:rFonts w:ascii="Times New Roman" w:hAnsi="Times New Roman" w:eastAsia="Noto Sans CJK SC"/>
          <w:color w:val="000000"/>
          <w:sz w:val="22"/>
          <w:lang w:val="en-US" w:eastAsia="zh-CN"/>
        </w:rPr>
        <w:t>Responsibilities include:</w:t>
      </w:r>
    </w:p>
    <w:p>
      <w:pPr>
        <w:pStyle w:val="ListBullet"/>
        <w:keepNext w:val="0"/>
        <w:pageBreakBefore w:val="0"/>
        <w:spacing w:after="140"/>
      </w:pPr>
      <w:r>
        <w:rPr>
          <w:rFonts w:ascii="Times New Roman" w:hAnsi="Times New Roman" w:eastAsia="Noto Sans CJK SC"/>
          <w:color w:val="000000"/>
          <w:sz w:val="22"/>
          <w:lang w:val="en-US" w:eastAsia="zh-CN"/>
        </w:rPr>
        <w:t>Reviewing monitoring results.</w:t>
      </w:r>
    </w:p>
    <w:p>
      <w:pPr>
        <w:pStyle w:val="ListBullet"/>
        <w:keepNext w:val="0"/>
        <w:pageBreakBefore w:val="0"/>
        <w:spacing w:after="140"/>
      </w:pPr>
      <w:r>
        <w:rPr>
          <w:rFonts w:ascii="Times New Roman" w:hAnsi="Times New Roman" w:eastAsia="Noto Sans CJK SC"/>
          <w:color w:val="000000"/>
          <w:sz w:val="22"/>
          <w:lang w:val="en-US" w:eastAsia="zh-CN"/>
        </w:rPr>
        <w:t>Assessing significance of identified issues.</w:t>
      </w:r>
    </w:p>
    <w:p>
      <w:pPr>
        <w:pStyle w:val="ListBullet"/>
        <w:keepNext w:val="0"/>
        <w:pageBreakBefore w:val="0"/>
        <w:spacing w:after="140"/>
      </w:pPr>
      <w:r>
        <w:rPr>
          <w:rFonts w:ascii="Times New Roman" w:hAnsi="Times New Roman" w:eastAsia="Noto Sans CJK SC"/>
          <w:color w:val="000000"/>
          <w:sz w:val="22"/>
          <w:lang w:val="en-US" w:eastAsia="zh-CN"/>
        </w:rPr>
        <w:t>Approving remediation actions.</w:t>
      </w:r>
    </w:p>
    <w:p>
      <w:pPr>
        <w:pStyle w:val="ListBullet"/>
        <w:keepNext w:val="0"/>
        <w:pageBreakBefore w:val="0"/>
        <w:spacing w:after="140"/>
      </w:pPr>
      <w:r>
        <w:rPr>
          <w:rFonts w:ascii="Times New Roman" w:hAnsi="Times New Roman" w:eastAsia="Noto Sans CJK SC"/>
          <w:color w:val="000000"/>
          <w:sz w:val="22"/>
          <w:lang w:val="en-US" w:eastAsia="zh-CN"/>
        </w:rPr>
        <w:t>Maintaining model documentation.</w:t>
      </w:r>
    </w:p>
    <w:p>
      <w:pPr>
        <w:pStyle w:val="ListBullet"/>
        <w:keepNext w:val="0"/>
        <w:pageBreakBefore w:val="0"/>
        <w:spacing w:after="140"/>
      </w:pPr>
      <w:r>
        <w:rPr>
          <w:rFonts w:ascii="Times New Roman" w:hAnsi="Times New Roman" w:eastAsia="Noto Sans CJK SC"/>
          <w:color w:val="000000"/>
          <w:sz w:val="22"/>
          <w:lang w:val="en-US" w:eastAsia="zh-CN"/>
        </w:rPr>
        <w:t>Escalating material issues to management and MRM.</w:t>
      </w:r>
    </w:p>
    <w:p>
      <w:pPr>
        <w:pStyle w:val="Heading3"/>
        <w:keepNext/>
        <w:pageBreakBefore w:val="0"/>
        <w:spacing w:after="140"/>
      </w:pPr>
      <w:r>
        <w:rPr>
          <w:rFonts w:ascii="Times New Roman" w:hAnsi="Times New Roman" w:eastAsia="Noto Sans CJK SC"/>
          <w:color w:val="000000"/>
          <w:sz w:val="22"/>
          <w:lang w:val="en-US" w:eastAsia="zh-CN"/>
        </w:rPr>
        <w:t>Model Developer</w:t>
      </w:r>
    </w:p>
    <w:p>
      <w:pPr>
        <w:keepNext w:val="0"/>
        <w:pageBreakBefore w:val="0"/>
        <w:spacing w:after="140"/>
      </w:pPr>
      <w:r>
        <w:rPr>
          <w:rFonts w:ascii="Times New Roman" w:hAnsi="Times New Roman" w:eastAsia="Noto Sans CJK SC"/>
          <w:color w:val="000000"/>
          <w:sz w:val="22"/>
          <w:lang w:val="en-US" w:eastAsia="zh-CN"/>
        </w:rPr>
        <w:t>The Model Developer is responsible for performing the monitoring activities and producing monitoring reports.</w:t>
      </w:r>
    </w:p>
    <w:p>
      <w:pPr>
        <w:keepNext w:val="0"/>
        <w:pageBreakBefore w:val="0"/>
        <w:spacing w:after="140"/>
      </w:pPr>
      <w:r>
        <w:rPr>
          <w:rFonts w:ascii="Times New Roman" w:hAnsi="Times New Roman" w:eastAsia="Noto Sans CJK SC"/>
          <w:color w:val="000000"/>
          <w:sz w:val="22"/>
          <w:lang w:val="en-US" w:eastAsia="zh-CN"/>
        </w:rPr>
        <w:t>Responsibilities include:</w:t>
      </w:r>
    </w:p>
    <w:p>
      <w:pPr>
        <w:pStyle w:val="ListBullet"/>
        <w:keepNext w:val="0"/>
        <w:pageBreakBefore w:val="0"/>
        <w:spacing w:after="140"/>
      </w:pPr>
      <w:r>
        <w:rPr>
          <w:rFonts w:ascii="Times New Roman" w:hAnsi="Times New Roman" w:eastAsia="Noto Sans CJK SC"/>
          <w:color w:val="000000"/>
          <w:sz w:val="22"/>
          <w:lang w:val="en-US" w:eastAsia="zh-CN"/>
        </w:rPr>
        <w:t>Collecting monitoring data.</w:t>
      </w:r>
    </w:p>
    <w:p>
      <w:pPr>
        <w:pStyle w:val="ListBullet"/>
        <w:keepNext w:val="0"/>
        <w:pageBreakBefore w:val="0"/>
        <w:spacing w:after="140"/>
      </w:pPr>
      <w:r>
        <w:rPr>
          <w:rFonts w:ascii="Times New Roman" w:hAnsi="Times New Roman" w:eastAsia="Noto Sans CJK SC"/>
          <w:color w:val="000000"/>
          <w:sz w:val="22"/>
          <w:lang w:val="en-US" w:eastAsia="zh-CN"/>
        </w:rPr>
        <w:t>Performing monitoring calculations and tests.</w:t>
      </w:r>
    </w:p>
    <w:p>
      <w:pPr>
        <w:pStyle w:val="ListBullet"/>
        <w:keepNext w:val="0"/>
        <w:pageBreakBefore w:val="0"/>
        <w:spacing w:after="140"/>
      </w:pPr>
      <w:r>
        <w:rPr>
          <w:rFonts w:ascii="Times New Roman" w:hAnsi="Times New Roman" w:eastAsia="Noto Sans CJK SC"/>
          <w:color w:val="000000"/>
          <w:sz w:val="22"/>
          <w:lang w:val="en-US" w:eastAsia="zh-CN"/>
        </w:rPr>
        <w:t>Investigating threshold breaches.</w:t>
      </w:r>
    </w:p>
    <w:p>
      <w:pPr>
        <w:pStyle w:val="ListBullet"/>
        <w:keepNext w:val="0"/>
        <w:pageBreakBefore w:val="0"/>
        <w:spacing w:after="140"/>
      </w:pPr>
      <w:r>
        <w:rPr>
          <w:rFonts w:ascii="Times New Roman" w:hAnsi="Times New Roman" w:eastAsia="Noto Sans CJK SC"/>
          <w:color w:val="000000"/>
          <w:sz w:val="22"/>
          <w:lang w:val="en-US" w:eastAsia="zh-CN"/>
        </w:rPr>
        <w:t>Recommending remediation actions.</w:t>
      </w:r>
    </w:p>
    <w:p>
      <w:pPr>
        <w:pStyle w:val="ListBullet"/>
        <w:keepNext w:val="0"/>
        <w:pageBreakBefore w:val="0"/>
        <w:spacing w:after="140"/>
      </w:pPr>
      <w:r>
        <w:rPr>
          <w:rFonts w:ascii="Times New Roman" w:hAnsi="Times New Roman" w:eastAsia="Noto Sans CJK SC"/>
          <w:color w:val="000000"/>
          <w:sz w:val="22"/>
          <w:lang w:val="en-US" w:eastAsia="zh-CN"/>
        </w:rPr>
        <w:t>Updating model assumptions when appropriate.</w:t>
      </w:r>
    </w:p>
    <w:p>
      <w:pPr>
        <w:pStyle w:val="ListBullet"/>
        <w:keepNext w:val="0"/>
        <w:pageBreakBefore w:val="0"/>
        <w:spacing w:after="140"/>
      </w:pPr>
      <w:r>
        <w:rPr>
          <w:rFonts w:ascii="Times New Roman" w:hAnsi="Times New Roman" w:eastAsia="Noto Sans CJK SC"/>
          <w:color w:val="000000"/>
          <w:sz w:val="22"/>
          <w:lang w:val="en-US" w:eastAsia="zh-CN"/>
        </w:rPr>
        <w:t>Reporting any observed data, processing, or output anomalies.</w:t>
      </w:r>
    </w:p>
    <w:p>
      <w:pPr>
        <w:pStyle w:val="Heading3"/>
        <w:keepNext/>
        <w:pageBreakBefore w:val="0"/>
        <w:spacing w:after="140"/>
      </w:pPr>
      <w:r>
        <w:rPr>
          <w:rFonts w:ascii="Times New Roman" w:hAnsi="Times New Roman" w:eastAsia="Noto Sans CJK SC"/>
          <w:color w:val="000000"/>
          <w:sz w:val="22"/>
          <w:lang w:val="en-US" w:eastAsia="zh-CN"/>
        </w:rPr>
        <w:t>Model User</w:t>
      </w:r>
    </w:p>
    <w:p>
      <w:pPr>
        <w:keepNext w:val="0"/>
        <w:pageBreakBefore w:val="0"/>
        <w:spacing w:after="140"/>
      </w:pPr>
      <w:r>
        <w:rPr>
          <w:rFonts w:ascii="Times New Roman" w:hAnsi="Times New Roman" w:eastAsia="Noto Sans CJK SC"/>
          <w:color w:val="000000"/>
          <w:sz w:val="22"/>
          <w:lang w:val="en-US" w:eastAsia="zh-CN"/>
        </w:rPr>
        <w:t>Strategic Finance and Capital Planning are responsible for reviewing monitoring results.</w:t>
      </w:r>
    </w:p>
    <w:p>
      <w:pPr>
        <w:pStyle w:val="Heading3"/>
        <w:keepNext/>
        <w:pageBreakBefore w:val="0"/>
        <w:spacing w:after="140"/>
      </w:pPr>
      <w:r>
        <w:rPr>
          <w:rFonts w:ascii="Times New Roman" w:hAnsi="Times New Roman" w:eastAsia="Noto Sans CJK SC"/>
          <w:color w:val="000000"/>
          <w:sz w:val="22"/>
          <w:lang w:val="en-US" w:eastAsia="zh-CN"/>
        </w:rPr>
        <w:t>Independent Reviewer</w:t>
      </w:r>
    </w:p>
    <w:p>
      <w:pPr>
        <w:keepNext w:val="0"/>
        <w:pageBreakBefore w:val="0"/>
        <w:spacing w:after="140"/>
      </w:pPr>
      <w:r>
        <w:rPr>
          <w:rFonts w:ascii="Times New Roman" w:hAnsi="Times New Roman" w:eastAsia="Noto Sans CJK SC"/>
          <w:color w:val="000000"/>
          <w:sz w:val="22"/>
          <w:lang w:val="en-US" w:eastAsia="zh-CN"/>
        </w:rPr>
        <w:t>Model Risk Management (MRM) is responsible for reviewing monitoring results and evaluating whether the model remains fit for purpose.</w:t>
      </w:r>
    </w:p>
    <w:p>
      <w:pPr>
        <w:keepNext/>
        <w:keepLines/>
        <w:pageBreakBefore w:val="0"/>
        <w:spacing w:after="140"/>
      </w:pPr>
      <w:r>
        <w:rPr>
          <w:rFonts w:ascii="Times New Roman" w:hAnsi="Times New Roman" w:eastAsia="Noto Sans CJK SC"/>
          <w:color w:val="000000"/>
          <w:sz w:val="22"/>
          <w:lang w:val="en-US" w:eastAsia="zh-CN"/>
        </w:rPr>
        <w:t>The matrix distinguishes responsibility for producing monitoring results from responsibility for ownership, business review and independent challenge. This allocation supports a documented review and escalation process.</w:t>
      </w:r>
    </w:p>
    <w:p>
      <w:pPr>
        <w:pStyle w:val="Caption"/>
        <w:keepNext/>
        <w:pageBreakBefore w:val="0"/>
        <w:spacing w:after="140"/>
      </w:pPr>
      <w:r>
        <w:rPr>
          <w:rFonts w:ascii="Times New Roman" w:hAnsi="Times New Roman" w:eastAsia="Noto Sans CJK SC"/>
          <w:color w:val="000000"/>
          <w:sz w:val="21"/>
          <w:lang w:val="en-US" w:eastAsia="zh-CN"/>
        </w:rPr>
        <w:t>Table 8.1 Roles and Responsibilities Matrix</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7632"/>
      </w:tblGrid>
      <w:tr>
        <w:trPr>
          <w:cantSplit/>
          <w:tblHeader/>
        </w:trPr>
        <w:tc>
          <w:tcPr>
            <w:tcW w:type="dxa" w:w="2304"/>
            <w:vAlign w:val="center"/>
            <w:tcMar>
              <w:top w:w="90" w:type="dxa"/>
              <w:bottom w:w="90" w:type="dxa"/>
              <w:left w:w="90" w:type="dxa"/>
              <w:right w:w="90" w:type="dxa"/>
            </w:tcMar>
            <w:shd w:fill="E7E6E6"/>
          </w:tcPr>
          <w:p>
            <w:pPr>
              <w:spacing w:after="40" w:line="240" w:lineRule="exact"/>
            </w:pPr>
            <w:r>
              <w:rPr>
                <w:rFonts w:ascii="Times New Roman" w:hAnsi="Times New Roman" w:eastAsia="Noto Sans CJK SC"/>
                <w:b/>
                <w:color w:val="000000"/>
                <w:sz w:val="19"/>
                <w:lang w:val="en-US" w:eastAsia="zh-CN"/>
              </w:rPr>
              <w:t>Role</w:t>
            </w:r>
          </w:p>
        </w:tc>
        <w:tc>
          <w:tcPr>
            <w:tcW w:type="dxa" w:w="7632"/>
            <w:vAlign w:val="center"/>
            <w:tcMar>
              <w:top w:w="90" w:type="dxa"/>
              <w:bottom w:w="90" w:type="dxa"/>
              <w:left w:w="90" w:type="dxa"/>
              <w:right w:w="90" w:type="dxa"/>
            </w:tcMar>
            <w:shd w:fill="E7E6E6"/>
          </w:tcPr>
          <w:p>
            <w:pPr>
              <w:spacing w:after="40" w:line="240" w:lineRule="exact"/>
            </w:pPr>
            <w:r>
              <w:rPr>
                <w:rFonts w:ascii="Times New Roman" w:hAnsi="Times New Roman" w:eastAsia="Noto Sans CJK SC"/>
                <w:b/>
                <w:color w:val="000000"/>
                <w:sz w:val="19"/>
                <w:lang w:val="en-US" w:eastAsia="zh-CN"/>
              </w:rPr>
              <w:t>Responsibilities</w:t>
            </w:r>
          </w:p>
        </w:tc>
      </w:tr>
      <w:tr>
        <w:trPr>
          <w:cantSplit/>
        </w:trPr>
        <w:tc>
          <w:tcPr>
            <w:tcW w:type="dxa" w:w="2304"/>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Model Owner</w:t>
            </w:r>
          </w:p>
        </w:tc>
        <w:tc>
          <w:tcPr>
            <w:tcW w:type="dxa" w:w="7632"/>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Ensures monitoring activities are performed, documented, and completed in accordance with governance requirements.</w:t>
            </w:r>
          </w:p>
        </w:tc>
      </w:tr>
      <w:tr>
        <w:trPr>
          <w:cantSplit/>
        </w:trPr>
        <w:tc>
          <w:tcPr>
            <w:tcW w:type="dxa" w:w="2304"/>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Model Developer</w:t>
            </w:r>
          </w:p>
        </w:tc>
        <w:tc>
          <w:tcPr>
            <w:tcW w:type="dxa" w:w="7632"/>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Produces monitoring analyses, maintains supporting documentation, investigates performance anomalies, and recommends remediation when necessary.</w:t>
            </w:r>
          </w:p>
        </w:tc>
      </w:tr>
      <w:tr>
        <w:trPr>
          <w:cantSplit/>
        </w:trPr>
        <w:tc>
          <w:tcPr>
            <w:tcW w:type="dxa" w:w="2304"/>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Model User (Strategic Finance)</w:t>
            </w:r>
          </w:p>
        </w:tc>
        <w:tc>
          <w:tcPr>
            <w:tcW w:type="dxa" w:w="7632"/>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Reviews monitoring results and determines whether governance actions are required.</w:t>
            </w:r>
          </w:p>
        </w:tc>
      </w:tr>
      <w:tr>
        <w:trPr>
          <w:cantSplit/>
        </w:trPr>
        <w:tc>
          <w:tcPr>
            <w:tcW w:type="dxa" w:w="2304"/>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MRM</w:t>
            </w:r>
          </w:p>
        </w:tc>
        <w:tc>
          <w:tcPr>
            <w:tcW w:type="dxa" w:w="7632"/>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Independently reviews monitoring results and continued fitness for purpose.</w:t>
            </w:r>
          </w:p>
        </w:tc>
      </w:tr>
    </w:tbl>
    <w:p>
      <w:pPr>
        <w:pStyle w:val="Heading2"/>
        <w:keepNext/>
        <w:pageBreakBefore w:val="0"/>
        <w:spacing w:after="140"/>
      </w:pPr>
      <w:r>
        <w:rPr>
          <w:rFonts w:ascii="Times New Roman" w:hAnsi="Times New Roman" w:eastAsia="Noto Sans CJK SC"/>
          <w:color w:val="000000"/>
          <w:sz w:val="26"/>
          <w:lang w:val="en-US" w:eastAsia="zh-CN"/>
        </w:rPr>
        <w:t>8.4 Monitoring Frequency</w:t>
      </w:r>
    </w:p>
    <w:p>
      <w:pPr>
        <w:keepNext w:val="0"/>
        <w:pageBreakBefore w:val="0"/>
        <w:spacing w:after="140"/>
      </w:pPr>
      <w:r>
        <w:rPr>
          <w:rFonts w:ascii="Times New Roman" w:hAnsi="Times New Roman" w:eastAsia="Noto Sans CJK SC"/>
          <w:color w:val="000000"/>
          <w:sz w:val="22"/>
          <w:lang w:val="en-US" w:eastAsia="zh-CN"/>
        </w:rPr>
        <w:t>Monitoring will be performed at least semi-annually.</w:t>
      </w:r>
    </w:p>
    <w:p>
      <w:pPr>
        <w:keepNext w:val="0"/>
        <w:pageBreakBefore w:val="0"/>
        <w:spacing w:after="140"/>
      </w:pPr>
      <w:r>
        <w:rPr>
          <w:rFonts w:ascii="Times New Roman" w:hAnsi="Times New Roman" w:eastAsia="Noto Sans CJK SC"/>
          <w:color w:val="000000"/>
          <w:sz w:val="22"/>
          <w:lang w:val="en-US" w:eastAsia="zh-CN"/>
        </w:rPr>
        <w:t>Certain monitoring activities may be performed more frequently when new CCAR forecasts are produced or when material economic, business, or operational changes occur.</w:t>
      </w:r>
    </w:p>
    <w:p>
      <w:pPr>
        <w:keepNext w:val="0"/>
        <w:pageBreakBefore w:val="0"/>
        <w:spacing w:after="140"/>
      </w:pPr>
      <w:r>
        <w:rPr>
          <w:rFonts w:ascii="Times New Roman" w:hAnsi="Times New Roman" w:eastAsia="Noto Sans CJK SC"/>
          <w:color w:val="000000"/>
          <w:sz w:val="22"/>
          <w:lang w:val="en-US" w:eastAsia="zh-CN"/>
        </w:rPr>
        <w:t>The standard monitoring cycle consists of:</w:t>
      </w:r>
    </w:p>
    <w:p>
      <w:pPr>
        <w:pStyle w:val="ListBullet"/>
        <w:keepNext w:val="0"/>
        <w:pageBreakBefore w:val="0"/>
        <w:spacing w:after="140"/>
      </w:pPr>
      <w:r>
        <w:rPr>
          <w:rFonts w:ascii="Times New Roman" w:hAnsi="Times New Roman" w:eastAsia="Noto Sans CJK SC"/>
          <w:color w:val="000000"/>
          <w:sz w:val="22"/>
          <w:lang w:val="en-US" w:eastAsia="zh-CN"/>
        </w:rPr>
        <w:t>Semi-annual monitoring review.</w:t>
      </w:r>
    </w:p>
    <w:p>
      <w:pPr>
        <w:pStyle w:val="ListBullet"/>
        <w:keepNext w:val="0"/>
        <w:pageBreakBefore w:val="0"/>
        <w:spacing w:after="140"/>
      </w:pPr>
      <w:r>
        <w:rPr>
          <w:rFonts w:ascii="Times New Roman" w:hAnsi="Times New Roman" w:eastAsia="Noto Sans CJK SC"/>
          <w:color w:val="000000"/>
          <w:sz w:val="22"/>
          <w:lang w:val="en-US" w:eastAsia="zh-CN"/>
        </w:rPr>
        <w:t>Annual comprehensive monitoring assessment.</w:t>
      </w:r>
    </w:p>
    <w:p>
      <w:pPr>
        <w:pStyle w:val="ListBullet"/>
        <w:keepNext w:val="0"/>
        <w:pageBreakBefore w:val="0"/>
        <w:spacing w:after="140"/>
      </w:pPr>
      <w:r>
        <w:rPr>
          <w:rFonts w:ascii="Times New Roman" w:hAnsi="Times New Roman" w:eastAsia="Noto Sans CJK SC"/>
          <w:color w:val="000000"/>
          <w:sz w:val="22"/>
          <w:lang w:val="en-US" w:eastAsia="zh-CN"/>
        </w:rPr>
        <w:t>Ad hoc reviews following material business, regulatory, data, methodology, or overlay changes.</w:t>
      </w:r>
    </w:p>
    <w:p>
      <w:pPr>
        <w:keepNext w:val="0"/>
        <w:pageBreakBefore w:val="0"/>
        <w:spacing w:after="140"/>
      </w:pPr>
      <w:r>
        <w:rPr>
          <w:rFonts w:ascii="Times New Roman" w:hAnsi="Times New Roman" w:eastAsia="Noto Sans CJK SC"/>
          <w:color w:val="000000"/>
          <w:sz w:val="22"/>
          <w:lang w:val="en-US" w:eastAsia="zh-CN"/>
        </w:rPr>
        <w:t>Monitoring results will be documented and retained in accordance with Model Risk Management standards.</w:t>
      </w:r>
    </w:p>
    <w:p>
      <w:pPr>
        <w:pStyle w:val="Heading2"/>
        <w:keepNext/>
        <w:pageBreakBefore w:val="0"/>
        <w:spacing w:after="140"/>
      </w:pPr>
      <w:r>
        <w:rPr>
          <w:rFonts w:ascii="Times New Roman" w:hAnsi="Times New Roman" w:eastAsia="Noto Sans CJK SC"/>
          <w:color w:val="000000"/>
          <w:sz w:val="26"/>
          <w:lang w:val="en-US" w:eastAsia="zh-CN"/>
        </w:rPr>
        <w:t>8.5 Components of Monitoring</w:t>
      </w:r>
    </w:p>
    <w:p>
      <w:pPr>
        <w:keepNext w:val="0"/>
        <w:pageBreakBefore w:val="0"/>
        <w:spacing w:after="140"/>
      </w:pPr>
      <w:r>
        <w:rPr>
          <w:rFonts w:ascii="Times New Roman" w:hAnsi="Times New Roman" w:eastAsia="Noto Sans CJK SC"/>
          <w:color w:val="000000"/>
          <w:sz w:val="22"/>
          <w:lang w:val="en-US" w:eastAsia="zh-CN"/>
        </w:rPr>
        <w:t>During monitoring, input and output stability, model output accuracy, model robustness, overlay, assumptions and limitations will be vetted.</w:t>
      </w:r>
    </w:p>
    <w:p>
      <w:pPr>
        <w:pStyle w:val="Heading3"/>
        <w:keepNext/>
        <w:pageBreakBefore w:val="0"/>
        <w:spacing w:after="140"/>
      </w:pPr>
      <w:r>
        <w:rPr>
          <w:rFonts w:ascii="Times New Roman" w:hAnsi="Times New Roman" w:eastAsia="Noto Sans CJK SC"/>
          <w:color w:val="000000"/>
          <w:sz w:val="22"/>
          <w:lang w:val="en-US" w:eastAsia="zh-CN"/>
        </w:rPr>
        <w:t>8.5.1 Input Stability Monitoring</w:t>
      </w:r>
    </w:p>
    <w:p>
      <w:pPr>
        <w:keepNext w:val="0"/>
        <w:pageBreakBefore w:val="0"/>
        <w:spacing w:after="140"/>
      </w:pPr>
      <w:r>
        <w:rPr>
          <w:rFonts w:ascii="Times New Roman" w:hAnsi="Times New Roman" w:eastAsia="Noto Sans CJK SC"/>
          <w:color w:val="000000"/>
          <w:sz w:val="22"/>
          <w:lang w:val="en-US" w:eastAsia="zh-CN"/>
        </w:rPr>
        <w:t>Input monitoring evaluates whether key model drivers remain consistent with historical behavior.</w:t>
      </w:r>
    </w:p>
    <w:p>
      <w:pPr>
        <w:keepNext w:val="0"/>
        <w:pageBreakBefore w:val="0"/>
        <w:spacing w:after="140"/>
      </w:pPr>
      <w:r>
        <w:rPr>
          <w:rFonts w:ascii="Times New Roman" w:hAnsi="Times New Roman" w:eastAsia="Noto Sans CJK SC"/>
          <w:color w:val="000000"/>
          <w:sz w:val="22"/>
          <w:lang w:val="en-US" w:eastAsia="zh-CN"/>
        </w:rPr>
        <w:t>Key inputs include:</w:t>
      </w:r>
    </w:p>
    <w:p>
      <w:pPr>
        <w:pStyle w:val="ListBullet"/>
        <w:keepNext w:val="0"/>
        <w:pageBreakBefore w:val="0"/>
        <w:spacing w:after="140"/>
      </w:pPr>
      <w:r>
        <w:rPr>
          <w:rFonts w:ascii="Times New Roman" w:hAnsi="Times New Roman" w:eastAsia="Noto Sans CJK SC"/>
          <w:color w:val="000000"/>
          <w:sz w:val="22"/>
          <w:lang w:val="en-US" w:eastAsia="zh-CN"/>
        </w:rPr>
        <w:t>Commercial Card and Small Business fee revenue, CPI, Corporate Profits and the derived EC and annual-growth inputs.</w:t>
      </w:r>
    </w:p>
    <w:p>
      <w:pPr>
        <w:pStyle w:val="ListBullet"/>
        <w:keepNext w:val="0"/>
        <w:pageBreakBefore w:val="0"/>
        <w:spacing w:after="140"/>
      </w:pPr>
      <w:r>
        <w:rPr>
          <w:rFonts w:ascii="Times New Roman" w:hAnsi="Times New Roman" w:eastAsia="Noto Sans CJK SC"/>
          <w:color w:val="000000"/>
          <w:sz w:val="22"/>
          <w:lang w:val="en-US" w:eastAsia="zh-CN"/>
        </w:rPr>
        <w:t>Consumer Card fee revenue, Retail Sales monthly growth and its trailing average, lagged fee log changes and calendar indicators.</w:t>
      </w:r>
    </w:p>
    <w:p>
      <w:pPr>
        <w:pStyle w:val="ListBullet"/>
        <w:keepNext w:val="0"/>
        <w:pageBreakBefore w:val="0"/>
        <w:spacing w:after="140"/>
      </w:pPr>
      <w:r>
        <w:rPr>
          <w:rFonts w:ascii="Times New Roman" w:hAnsi="Times New Roman" w:eastAsia="Noto Sans CJK SC"/>
          <w:color w:val="000000"/>
          <w:sz w:val="22"/>
          <w:lang w:val="en-US" w:eastAsia="zh-CN"/>
        </w:rPr>
        <w:t>Debit Card raw and adjusted fee revenue and complete-quarter observations used for calibration.</w:t>
      </w:r>
    </w:p>
    <w:p>
      <w:pPr>
        <w:pStyle w:val="ListBullet"/>
        <w:keepNext w:val="0"/>
        <w:pageBreakBefore w:val="0"/>
        <w:spacing w:after="140"/>
      </w:pPr>
      <w:r>
        <w:rPr>
          <w:rFonts w:ascii="Times New Roman" w:hAnsi="Times New Roman" w:eastAsia="Noto Sans CJK SC"/>
          <w:color w:val="000000"/>
          <w:sz w:val="22"/>
          <w:lang w:val="en-US" w:eastAsia="zh-CN"/>
        </w:rPr>
        <w:t>Moody's macroeconomic scenario inputs used by the regression components.</w:t>
      </w:r>
    </w:p>
    <w:p>
      <w:pPr>
        <w:keepNext w:val="0"/>
        <w:pageBreakBefore w:val="0"/>
        <w:spacing w:after="140"/>
      </w:pPr>
      <w:r>
        <w:rPr>
          <w:rFonts w:ascii="Times New Roman" w:hAnsi="Times New Roman" w:eastAsia="Noto Sans CJK SC"/>
          <w:color w:val="000000"/>
          <w:sz w:val="22"/>
          <w:lang w:val="en-US" w:eastAsia="zh-CN"/>
        </w:rPr>
        <w:t>Monitoring tests include:</w:t>
      </w:r>
    </w:p>
    <w:p>
      <w:pPr>
        <w:pStyle w:val="ListBullet"/>
        <w:keepNext w:val="0"/>
        <w:pageBreakBefore w:val="0"/>
        <w:spacing w:after="140"/>
      </w:pPr>
      <w:r>
        <w:rPr>
          <w:rFonts w:ascii="Times New Roman" w:hAnsi="Times New Roman" w:eastAsia="Noto Sans CJK SC"/>
          <w:color w:val="000000"/>
          <w:sz w:val="22"/>
          <w:lang w:val="en-US" w:eastAsia="zh-CN"/>
        </w:rPr>
        <w:t>Growth trend analysis.</w:t>
      </w:r>
    </w:p>
    <w:p>
      <w:pPr>
        <w:pStyle w:val="ListBullet"/>
        <w:keepNext w:val="0"/>
        <w:pageBreakBefore w:val="0"/>
        <w:spacing w:after="140"/>
      </w:pPr>
      <w:r>
        <w:rPr>
          <w:rFonts w:ascii="Times New Roman" w:hAnsi="Times New Roman" w:eastAsia="Noto Sans CJK SC"/>
          <w:color w:val="000000"/>
          <w:sz w:val="22"/>
          <w:lang w:val="en-US" w:eastAsia="zh-CN"/>
        </w:rPr>
        <w:t>Historical range comparison.</w:t>
      </w:r>
    </w:p>
    <w:p>
      <w:pPr>
        <w:pStyle w:val="ListBullet"/>
        <w:keepNext w:val="0"/>
        <w:pageBreakBefore w:val="0"/>
        <w:spacing w:after="140"/>
      </w:pPr>
      <w:r>
        <w:rPr>
          <w:rFonts w:ascii="Times New Roman" w:hAnsi="Times New Roman" w:eastAsia="Noto Sans CJK SC"/>
          <w:color w:val="000000"/>
          <w:sz w:val="22"/>
          <w:lang w:val="en-US" w:eastAsia="zh-CN"/>
        </w:rPr>
        <w:t>Volatility analysis.</w:t>
      </w:r>
    </w:p>
    <w:p>
      <w:pPr>
        <w:pStyle w:val="ListBullet"/>
        <w:keepNext w:val="0"/>
        <w:pageBreakBefore w:val="0"/>
        <w:spacing w:after="140"/>
      </w:pPr>
      <w:r>
        <w:rPr>
          <w:rFonts w:ascii="Times New Roman" w:hAnsi="Times New Roman" w:eastAsia="Noto Sans CJK SC"/>
          <w:color w:val="000000"/>
          <w:sz w:val="22"/>
          <w:lang w:val="en-US" w:eastAsia="zh-CN"/>
        </w:rPr>
        <w:t>Identification of structural breaks.</w:t>
      </w:r>
    </w:p>
    <w:p>
      <w:pPr>
        <w:pStyle w:val="ListBullet"/>
        <w:keepNext w:val="0"/>
        <w:pageBreakBefore w:val="0"/>
        <w:spacing w:after="140"/>
      </w:pPr>
      <w:r>
        <w:rPr>
          <w:rFonts w:ascii="Times New Roman" w:hAnsi="Times New Roman" w:eastAsia="Noto Sans CJK SC"/>
          <w:color w:val="000000"/>
          <w:sz w:val="22"/>
          <w:lang w:val="en-US" w:eastAsia="zh-CN"/>
        </w:rPr>
        <w:t>Reconciliation against source systems and financial reporting data.</w:t>
      </w:r>
    </w:p>
    <w:p>
      <w:pPr>
        <w:keepNext w:val="0"/>
        <w:pageBreakBefore w:val="0"/>
        <w:spacing w:after="140"/>
      </w:pPr>
      <w:r>
        <w:rPr>
          <w:rFonts w:ascii="Times New Roman" w:hAnsi="Times New Roman" w:eastAsia="Noto Sans CJK SC"/>
          <w:color w:val="000000"/>
          <w:sz w:val="22"/>
          <w:lang w:val="en-US" w:eastAsia="zh-CN"/>
        </w:rPr>
        <w:t>Significant deviations from historical behavior will be investigated to determine whether model assumptions remain appropriate.</w:t>
      </w:r>
    </w:p>
    <w:p>
      <w:pPr>
        <w:pStyle w:val="Heading3"/>
        <w:keepNext/>
        <w:pageBreakBefore w:val="0"/>
        <w:spacing w:after="140"/>
      </w:pPr>
      <w:r>
        <w:rPr>
          <w:rFonts w:ascii="Times New Roman" w:hAnsi="Times New Roman" w:eastAsia="Noto Sans CJK SC"/>
          <w:color w:val="000000"/>
          <w:sz w:val="22"/>
          <w:lang w:val="en-US" w:eastAsia="zh-CN"/>
        </w:rPr>
        <w:t>8.5.2 Output Stability Monitoring</w:t>
      </w:r>
    </w:p>
    <w:p>
      <w:pPr>
        <w:keepNext w:val="0"/>
        <w:pageBreakBefore w:val="0"/>
        <w:spacing w:after="140"/>
      </w:pPr>
      <w:r>
        <w:rPr>
          <w:rFonts w:ascii="Times New Roman" w:hAnsi="Times New Roman" w:eastAsia="Noto Sans CJK SC"/>
          <w:color w:val="000000"/>
          <w:sz w:val="22"/>
          <w:lang w:val="en-US" w:eastAsia="zh-CN"/>
        </w:rPr>
        <w:t>Output monitoring evaluates changes in projected Card Fee Revenue estimates over time.</w:t>
      </w:r>
    </w:p>
    <w:p>
      <w:pPr>
        <w:keepNext w:val="0"/>
        <w:pageBreakBefore w:val="0"/>
        <w:spacing w:after="140"/>
      </w:pPr>
      <w:r>
        <w:rPr>
          <w:rFonts w:ascii="Times New Roman" w:hAnsi="Times New Roman" w:eastAsia="Noto Sans CJK SC"/>
          <w:color w:val="000000"/>
          <w:sz w:val="22"/>
          <w:lang w:val="en-US" w:eastAsia="zh-CN"/>
        </w:rPr>
        <w:t>Monitoring will assess:</w:t>
      </w:r>
    </w:p>
    <w:p>
      <w:pPr>
        <w:pStyle w:val="ListBullet"/>
        <w:keepNext w:val="0"/>
        <w:pageBreakBefore w:val="0"/>
        <w:spacing w:after="140"/>
      </w:pPr>
      <w:r>
        <w:rPr>
          <w:rFonts w:ascii="Times New Roman" w:hAnsi="Times New Roman" w:eastAsia="Noto Sans CJK SC"/>
          <w:color w:val="000000"/>
          <w:sz w:val="22"/>
          <w:lang w:val="en-US" w:eastAsia="zh-CN"/>
        </w:rPr>
        <w:t>Baseline and stress Card Fee Revenue forecasts by component.</w:t>
      </w:r>
    </w:p>
    <w:p>
      <w:pPr>
        <w:pStyle w:val="ListBullet"/>
        <w:keepNext w:val="0"/>
        <w:pageBreakBefore w:val="0"/>
        <w:spacing w:after="140"/>
      </w:pPr>
      <w:r>
        <w:rPr>
          <w:rFonts w:ascii="Times New Roman" w:hAnsi="Times New Roman" w:eastAsia="Noto Sans CJK SC"/>
          <w:color w:val="000000"/>
          <w:sz w:val="22"/>
          <w:lang w:val="en-US" w:eastAsia="zh-CN"/>
        </w:rPr>
        <w:t>Commercial overlay-adjusted forecasts and Consumer production-refit forecasts.</w:t>
      </w:r>
    </w:p>
    <w:p>
      <w:pPr>
        <w:pStyle w:val="ListBullet"/>
        <w:keepNext w:val="0"/>
        <w:pageBreakBefore w:val="0"/>
        <w:spacing w:after="140"/>
      </w:pPr>
      <w:r>
        <w:rPr>
          <w:rFonts w:ascii="Times New Roman" w:hAnsi="Times New Roman" w:eastAsia="Noto Sans CJK SC"/>
          <w:color w:val="000000"/>
          <w:sz w:val="22"/>
          <w:lang w:val="en-US" w:eastAsia="zh-CN"/>
        </w:rPr>
        <w:t>Debit baseline and stress calibration levels.</w:t>
      </w:r>
    </w:p>
    <w:p>
      <w:pPr>
        <w:pStyle w:val="ListBullet"/>
        <w:keepNext w:val="0"/>
        <w:pageBreakBefore w:val="0"/>
        <w:spacing w:after="140"/>
      </w:pPr>
      <w:r>
        <w:rPr>
          <w:rFonts w:ascii="Times New Roman" w:hAnsi="Times New Roman" w:eastAsia="Noto Sans CJK SC"/>
          <w:color w:val="000000"/>
          <w:sz w:val="22"/>
          <w:lang w:val="en-US" w:eastAsia="zh-CN"/>
        </w:rPr>
        <w:t>Baseline-to-stress forecast differences.</w:t>
      </w:r>
    </w:p>
    <w:p>
      <w:pPr>
        <w:pStyle w:val="ListBullet"/>
        <w:keepNext w:val="0"/>
        <w:pageBreakBefore w:val="0"/>
        <w:spacing w:after="140"/>
      </w:pPr>
      <w:r>
        <w:rPr>
          <w:rFonts w:ascii="Times New Roman" w:hAnsi="Times New Roman" w:eastAsia="Noto Sans CJK SC"/>
          <w:color w:val="000000"/>
          <w:sz w:val="22"/>
          <w:lang w:val="en-US" w:eastAsia="zh-CN"/>
        </w:rPr>
        <w:t>Forecast consistency across forecast vintages.</w:t>
      </w:r>
    </w:p>
    <w:p>
      <w:pPr>
        <w:keepNext w:val="0"/>
        <w:pageBreakBefore w:val="0"/>
        <w:spacing w:after="140"/>
      </w:pPr>
      <w:r>
        <w:rPr>
          <w:rFonts w:ascii="Times New Roman" w:hAnsi="Times New Roman" w:eastAsia="Noto Sans CJK SC"/>
          <w:color w:val="000000"/>
          <w:sz w:val="22"/>
          <w:lang w:val="en-US" w:eastAsia="zh-CN"/>
        </w:rPr>
        <w:t>Outputs will be compared against:</w:t>
      </w:r>
    </w:p>
    <w:p>
      <w:pPr>
        <w:pStyle w:val="ListBullet"/>
        <w:keepNext w:val="0"/>
        <w:pageBreakBefore w:val="0"/>
        <w:spacing w:after="140"/>
      </w:pPr>
      <w:r>
        <w:rPr>
          <w:rFonts w:ascii="Times New Roman" w:hAnsi="Times New Roman" w:eastAsia="Noto Sans CJK SC"/>
          <w:color w:val="000000"/>
          <w:sz w:val="22"/>
          <w:lang w:val="en-US" w:eastAsia="zh-CN"/>
        </w:rPr>
        <w:t>Prior forecast vintages.</w:t>
      </w:r>
    </w:p>
    <w:p>
      <w:pPr>
        <w:pStyle w:val="ListBullet"/>
        <w:keepNext w:val="0"/>
        <w:pageBreakBefore w:val="0"/>
        <w:spacing w:after="140"/>
      </w:pPr>
      <w:r>
        <w:rPr>
          <w:rFonts w:ascii="Times New Roman" w:hAnsi="Times New Roman" w:eastAsia="Noto Sans CJK SC"/>
          <w:color w:val="000000"/>
          <w:sz w:val="22"/>
          <w:lang w:val="en-US" w:eastAsia="zh-CN"/>
        </w:rPr>
        <w:t>Historical Card Fee Revenue observations.</w:t>
      </w:r>
    </w:p>
    <w:p>
      <w:pPr>
        <w:pStyle w:val="ListBullet"/>
        <w:keepNext w:val="0"/>
        <w:pageBreakBefore w:val="0"/>
        <w:spacing w:after="140"/>
      </w:pPr>
      <w:r>
        <w:rPr>
          <w:rFonts w:ascii="Times New Roman" w:hAnsi="Times New Roman" w:eastAsia="Noto Sans CJK SC"/>
          <w:color w:val="000000"/>
          <w:sz w:val="22"/>
          <w:lang w:val="en-US" w:eastAsia="zh-CN"/>
        </w:rPr>
        <w:t>Business expectations.</w:t>
      </w:r>
    </w:p>
    <w:p>
      <w:pPr>
        <w:pStyle w:val="ListBullet"/>
        <w:keepNext w:val="0"/>
        <w:pageBreakBefore w:val="0"/>
        <w:spacing w:after="140"/>
      </w:pPr>
      <w:r>
        <w:rPr>
          <w:rFonts w:ascii="Times New Roman" w:hAnsi="Times New Roman" w:eastAsia="Noto Sans CJK SC"/>
          <w:color w:val="000000"/>
          <w:sz w:val="22"/>
          <w:lang w:val="en-US" w:eastAsia="zh-CN"/>
        </w:rPr>
        <w:t>Strategic Finance planning assumptions.</w:t>
      </w:r>
    </w:p>
    <w:p>
      <w:pPr>
        <w:keepNext w:val="0"/>
        <w:pageBreakBefore w:val="0"/>
        <w:spacing w:after="140"/>
      </w:pPr>
      <w:r>
        <w:rPr>
          <w:rFonts w:ascii="Times New Roman" w:hAnsi="Times New Roman" w:eastAsia="Noto Sans CJK SC"/>
          <w:color w:val="000000"/>
          <w:sz w:val="22"/>
          <w:lang w:val="en-US" w:eastAsia="zh-CN"/>
        </w:rPr>
        <w:t>Large unexplained forecast movements may indicate changes in model behavior or underlying business conditions requiring review.</w:t>
      </w:r>
    </w:p>
    <w:p>
      <w:pPr>
        <w:pStyle w:val="Heading3"/>
        <w:keepNext/>
        <w:pageBreakBefore w:val="0"/>
        <w:spacing w:after="140"/>
      </w:pPr>
      <w:r>
        <w:rPr>
          <w:rFonts w:ascii="Times New Roman" w:hAnsi="Times New Roman" w:eastAsia="Noto Sans CJK SC"/>
          <w:color w:val="000000"/>
          <w:sz w:val="22"/>
          <w:lang w:val="en-US" w:eastAsia="zh-CN"/>
        </w:rPr>
        <w:t>8.5.3 Forecast Accuracy Monitoring</w:t>
      </w:r>
    </w:p>
    <w:p>
      <w:pPr>
        <w:keepNext w:val="0"/>
        <w:pageBreakBefore w:val="0"/>
        <w:spacing w:after="140"/>
      </w:pPr>
      <w:r>
        <w:rPr>
          <w:rFonts w:ascii="Times New Roman" w:hAnsi="Times New Roman" w:eastAsia="Noto Sans CJK SC"/>
          <w:color w:val="000000"/>
          <w:sz w:val="22"/>
          <w:lang w:val="en-US" w:eastAsia="zh-CN"/>
        </w:rPr>
        <w:t>Forecast accuracy will be assessed by comparing projected Card Fee Revenue against realized outcomes for each component and for the combined forecast.</w:t>
      </w:r>
    </w:p>
    <w:p>
      <w:pPr>
        <w:keepNext w:val="0"/>
        <w:pageBreakBefore w:val="0"/>
        <w:spacing w:after="140"/>
      </w:pPr>
      <w:r>
        <w:rPr>
          <w:rFonts w:ascii="Times New Roman" w:hAnsi="Times New Roman" w:eastAsia="Noto Sans CJK SC"/>
          <w:color w:val="000000"/>
          <w:sz w:val="22"/>
          <w:lang w:val="en-US" w:eastAsia="zh-CN"/>
        </w:rPr>
        <w:t>Actual results will be compared with:</w:t>
      </w:r>
    </w:p>
    <w:p>
      <w:pPr>
        <w:pStyle w:val="ListBullet"/>
        <w:keepNext w:val="0"/>
        <w:pageBreakBefore w:val="0"/>
        <w:spacing w:after="140"/>
      </w:pPr>
      <w:r>
        <w:rPr>
          <w:rFonts w:ascii="Times New Roman" w:hAnsi="Times New Roman" w:eastAsia="Noto Sans CJK SC"/>
          <w:color w:val="000000"/>
          <w:sz w:val="22"/>
          <w:lang w:val="en-US" w:eastAsia="zh-CN"/>
        </w:rPr>
        <w:t>Baseline forecast estimates.</w:t>
      </w:r>
    </w:p>
    <w:p>
      <w:pPr>
        <w:pStyle w:val="ListBullet"/>
        <w:keepNext w:val="0"/>
        <w:pageBreakBefore w:val="0"/>
        <w:spacing w:after="140"/>
      </w:pPr>
      <w:r>
        <w:rPr>
          <w:rFonts w:ascii="Times New Roman" w:hAnsi="Times New Roman" w:eastAsia="Noto Sans CJK SC"/>
          <w:color w:val="000000"/>
          <w:sz w:val="22"/>
          <w:lang w:val="en-US" w:eastAsia="zh-CN"/>
        </w:rPr>
        <w:t>Prior year forecast projections.</w:t>
      </w:r>
    </w:p>
    <w:p>
      <w:pPr>
        <w:pStyle w:val="ListBullet"/>
        <w:keepNext w:val="0"/>
        <w:pageBreakBefore w:val="0"/>
        <w:spacing w:after="140"/>
      </w:pPr>
      <w:r>
        <w:rPr>
          <w:rFonts w:ascii="Times New Roman" w:hAnsi="Times New Roman" w:eastAsia="Noto Sans CJK SC"/>
          <w:color w:val="000000"/>
          <w:sz w:val="22"/>
          <w:lang w:val="en-US" w:eastAsia="zh-CN"/>
        </w:rPr>
        <w:t>Overlay-adjusted forecasts, where applicable.</w:t>
      </w:r>
    </w:p>
    <w:p>
      <w:pPr>
        <w:keepNext w:val="0"/>
        <w:pageBreakBefore w:val="0"/>
        <w:spacing w:after="140"/>
      </w:pPr>
      <w:r>
        <w:rPr>
          <w:rFonts w:ascii="Times New Roman" w:hAnsi="Times New Roman" w:eastAsia="Noto Sans CJK SC"/>
          <w:color w:val="000000"/>
          <w:sz w:val="22"/>
          <w:lang w:val="en-US" w:eastAsia="zh-CN"/>
        </w:rPr>
        <w:t>Monitoring metrics include:</w:t>
      </w:r>
    </w:p>
    <w:p>
      <w:pPr>
        <w:pStyle w:val="ListBullet"/>
        <w:keepNext w:val="0"/>
        <w:pageBreakBefore w:val="0"/>
        <w:spacing w:after="140"/>
      </w:pPr>
      <w:r>
        <w:rPr>
          <w:rFonts w:ascii="Times New Roman" w:hAnsi="Times New Roman" w:eastAsia="Noto Sans CJK SC"/>
          <w:color w:val="000000"/>
          <w:sz w:val="22"/>
          <w:lang w:val="en-US" w:eastAsia="zh-CN"/>
        </w:rPr>
        <w:t>Absolute Percent Error (APE).</w:t>
      </w:r>
    </w:p>
    <w:p>
      <w:pPr>
        <w:pStyle w:val="ListBullet"/>
        <w:keepNext w:val="0"/>
        <w:pageBreakBefore w:val="0"/>
        <w:spacing w:after="140"/>
      </w:pPr>
      <w:r>
        <w:rPr>
          <w:rFonts w:ascii="Times New Roman" w:hAnsi="Times New Roman" w:eastAsia="Noto Sans CJK SC"/>
          <w:color w:val="000000"/>
          <w:sz w:val="22"/>
          <w:lang w:val="en-US" w:eastAsia="zh-CN"/>
        </w:rPr>
        <w:t>Mean Absolute Percentage Error (MAPE).</w:t>
      </w:r>
    </w:p>
    <w:p>
      <w:pPr>
        <w:pStyle w:val="ListBullet"/>
        <w:keepNext w:val="0"/>
        <w:pageBreakBefore w:val="0"/>
        <w:spacing w:after="140"/>
      </w:pPr>
      <w:r>
        <w:rPr>
          <w:rFonts w:ascii="Times New Roman" w:hAnsi="Times New Roman" w:eastAsia="Noto Sans CJK SC"/>
          <w:color w:val="000000"/>
          <w:sz w:val="22"/>
          <w:lang w:val="en-US" w:eastAsia="zh-CN"/>
        </w:rPr>
        <w:t>Forecast variance analysis.</w:t>
      </w:r>
    </w:p>
    <w:p>
      <w:pPr>
        <w:pStyle w:val="ListBullet"/>
        <w:keepNext w:val="0"/>
        <w:pageBreakBefore w:val="0"/>
        <w:spacing w:after="140"/>
      </w:pPr>
      <w:r>
        <w:rPr>
          <w:rFonts w:ascii="Times New Roman" w:hAnsi="Times New Roman" w:eastAsia="Noto Sans CJK SC"/>
          <w:color w:val="000000"/>
          <w:sz w:val="22"/>
          <w:lang w:val="en-US" w:eastAsia="zh-CN"/>
        </w:rPr>
        <w:t>Directional accuracy.</w:t>
      </w:r>
    </w:p>
    <w:p>
      <w:pPr>
        <w:keepNext w:val="0"/>
        <w:pageBreakBefore w:val="0"/>
        <w:spacing w:after="140"/>
      </w:pPr>
      <w:r>
        <w:rPr>
          <w:rFonts w:ascii="Times New Roman" w:hAnsi="Times New Roman" w:eastAsia="Noto Sans CJK SC"/>
          <w:color w:val="000000"/>
          <w:sz w:val="22"/>
          <w:lang w:val="en-US" w:eastAsia="zh-CN"/>
        </w:rPr>
        <w:t>Where forecast errors exceed established thresholds, root cause analysis will be performed.</w:t>
      </w:r>
    </w:p>
    <w:p>
      <w:pPr>
        <w:keepNext w:val="0"/>
        <w:pageBreakBefore w:val="0"/>
        <w:spacing w:after="140"/>
      </w:pPr>
      <w:r>
        <w:rPr>
          <w:rFonts w:ascii="Times New Roman" w:hAnsi="Times New Roman" w:eastAsia="Noto Sans CJK SC"/>
          <w:color w:val="000000"/>
          <w:sz w:val="22"/>
          <w:lang w:val="en-US" w:eastAsia="zh-CN"/>
        </w:rPr>
        <w:t>Particular attention will be given to sustained underprediction or overprediction, with comparisons made on consistent forecast horizons and vintages.</w:t>
      </w:r>
    </w:p>
    <w:p>
      <w:pPr>
        <w:pStyle w:val="Heading3"/>
        <w:keepNext/>
        <w:pageBreakBefore w:val="0"/>
        <w:spacing w:after="140"/>
      </w:pPr>
      <w:r>
        <w:rPr>
          <w:rFonts w:ascii="Times New Roman" w:hAnsi="Times New Roman" w:eastAsia="Noto Sans CJK SC"/>
          <w:color w:val="000000"/>
          <w:sz w:val="22"/>
          <w:lang w:val="en-US" w:eastAsia="zh-CN"/>
        </w:rPr>
        <w:t>8.5.4 Assumption Monitoring</w:t>
      </w:r>
    </w:p>
    <w:p>
      <w:pPr>
        <w:keepNext w:val="0"/>
        <w:pageBreakBefore w:val="0"/>
        <w:spacing w:after="140"/>
      </w:pPr>
      <w:r>
        <w:rPr>
          <w:rFonts w:ascii="Times New Roman" w:hAnsi="Times New Roman" w:eastAsia="Noto Sans CJK SC"/>
          <w:color w:val="000000"/>
          <w:sz w:val="22"/>
          <w:lang w:val="en-US" w:eastAsia="zh-CN"/>
        </w:rPr>
        <w:t>The model contains several statistical and judgmental assumptions which require periodic review.</w:t>
      </w:r>
    </w:p>
    <w:p>
      <w:pPr>
        <w:keepNext w:val="0"/>
        <w:pageBreakBefore w:val="0"/>
        <w:spacing w:after="140"/>
      </w:pPr>
      <w:r>
        <w:rPr>
          <w:rFonts w:ascii="Times New Roman" w:hAnsi="Times New Roman" w:eastAsia="Noto Sans CJK SC"/>
          <w:color w:val="000000"/>
          <w:sz w:val="22"/>
          <w:lang w:val="en-US" w:eastAsia="zh-CN"/>
        </w:rPr>
        <w:t>Key assumptions include:</w:t>
      </w:r>
    </w:p>
    <w:p>
      <w:pPr>
        <w:pStyle w:val="ListBullet"/>
        <w:keepNext w:val="0"/>
        <w:pageBreakBefore w:val="0"/>
        <w:spacing w:after="140"/>
      </w:pPr>
      <w:r>
        <w:rPr>
          <w:rFonts w:ascii="Times New Roman" w:hAnsi="Times New Roman" w:eastAsia="Noto Sans CJK SC"/>
          <w:color w:val="000000"/>
          <w:sz w:val="22"/>
          <w:lang w:val="en-US" w:eastAsia="zh-CN"/>
        </w:rPr>
        <w:t>Commercial CPI and Corporate Profits relationships and the adjusted EC mechanism remain relevant to fee-revenue behavior.</w:t>
      </w:r>
    </w:p>
    <w:p>
      <w:pPr>
        <w:pStyle w:val="ListBullet"/>
        <w:keepNext w:val="0"/>
        <w:pageBreakBefore w:val="0"/>
        <w:spacing w:after="140"/>
      </w:pPr>
      <w:r>
        <w:rPr>
          <w:rFonts w:ascii="Times New Roman" w:hAnsi="Times New Roman" w:eastAsia="Noto Sans CJK SC"/>
          <w:color w:val="000000"/>
          <w:sz w:val="22"/>
          <w:lang w:val="en-US" w:eastAsia="zh-CN"/>
        </w:rPr>
        <w:t>Consumer fee dynamics, calendar effects and the Retail Sales relationship remain relevant.</w:t>
      </w:r>
    </w:p>
    <w:p>
      <w:pPr>
        <w:pStyle w:val="ListBullet"/>
        <w:keepNext w:val="0"/>
        <w:pageBreakBefore w:val="0"/>
        <w:spacing w:after="140"/>
      </w:pPr>
      <w:r>
        <w:rPr>
          <w:rFonts w:ascii="Times New Roman" w:hAnsi="Times New Roman" w:eastAsia="Noto Sans CJK SC"/>
          <w:color w:val="000000"/>
          <w:sz w:val="22"/>
          <w:lang w:val="en-US" w:eastAsia="zh-CN"/>
        </w:rPr>
        <w:t>Debit recent-quarter and post-2015 calibration windows remain representative of the intended baseline and stress conditions.</w:t>
      </w:r>
    </w:p>
    <w:p>
      <w:pPr>
        <w:pStyle w:val="ListBullet"/>
        <w:keepNext w:val="0"/>
        <w:pageBreakBefore w:val="0"/>
        <w:spacing w:after="140"/>
      </w:pPr>
      <w:r>
        <w:rPr>
          <w:rFonts w:ascii="Times New Roman" w:hAnsi="Times New Roman" w:eastAsia="Noto Sans CJK SC"/>
          <w:color w:val="000000"/>
          <w:sz w:val="22"/>
          <w:lang w:val="en-US" w:eastAsia="zh-CN"/>
        </w:rPr>
        <w:t>Historical directional relationships remain reasonably stable throughout the forecast horizon.</w:t>
      </w:r>
    </w:p>
    <w:p>
      <w:pPr>
        <w:pStyle w:val="ListBullet"/>
        <w:keepNext w:val="0"/>
        <w:pageBreakBefore w:val="0"/>
        <w:spacing w:after="140"/>
      </w:pPr>
      <w:r>
        <w:rPr>
          <w:rFonts w:ascii="Times New Roman" w:hAnsi="Times New Roman" w:eastAsia="Noto Sans CJK SC"/>
          <w:color w:val="000000"/>
          <w:sz w:val="22"/>
          <w:lang w:val="en-US" w:eastAsia="zh-CN"/>
        </w:rPr>
        <w:t>Development-period relationships remain representative of future operating conditions.</w:t>
      </w:r>
    </w:p>
    <w:p>
      <w:pPr>
        <w:keepNext w:val="0"/>
        <w:pageBreakBefore w:val="0"/>
        <w:spacing w:after="140"/>
      </w:pPr>
      <w:r>
        <w:rPr>
          <w:rFonts w:ascii="Times New Roman" w:hAnsi="Times New Roman" w:eastAsia="Noto Sans CJK SC"/>
          <w:color w:val="000000"/>
          <w:sz w:val="22"/>
          <w:lang w:val="en-US" w:eastAsia="zh-CN"/>
        </w:rPr>
        <w:t>Monitoring will evaluate whether observed business performance continues to support these assumptions.</w:t>
      </w:r>
    </w:p>
    <w:p>
      <w:pPr>
        <w:pStyle w:val="Heading3"/>
        <w:keepNext/>
        <w:pageBreakBefore w:val="0"/>
        <w:spacing w:after="140"/>
      </w:pPr>
      <w:r>
        <w:rPr>
          <w:rFonts w:ascii="Times New Roman" w:hAnsi="Times New Roman" w:eastAsia="Noto Sans CJK SC"/>
          <w:color w:val="000000"/>
          <w:sz w:val="22"/>
          <w:lang w:val="en-US" w:eastAsia="zh-CN"/>
        </w:rPr>
        <w:t>8.5.5 Coefficient and Parameter Stability Monitoring</w:t>
      </w:r>
    </w:p>
    <w:p>
      <w:pPr>
        <w:keepNext w:val="0"/>
        <w:pageBreakBefore w:val="0"/>
        <w:spacing w:after="140"/>
      </w:pPr>
      <w:r>
        <w:rPr>
          <w:rFonts w:ascii="Times New Roman" w:hAnsi="Times New Roman" w:eastAsia="Noto Sans CJK SC"/>
          <w:color w:val="000000"/>
          <w:sz w:val="22"/>
          <w:lang w:val="en-US" w:eastAsia="zh-CN"/>
        </w:rPr>
        <w:t>Estimated regression coefficients and historical calibration parameters will be monitored for stability. Parameters include:</w:t>
      </w:r>
    </w:p>
    <w:p>
      <w:pPr>
        <w:pStyle w:val="ListBullet"/>
        <w:keepNext w:val="0"/>
        <w:pageBreakBefore w:val="0"/>
        <w:spacing w:after="140"/>
      </w:pPr>
      <w:r>
        <w:rPr>
          <w:rFonts w:ascii="Times New Roman" w:hAnsi="Times New Roman" w:eastAsia="Noto Sans CJK SC"/>
          <w:color w:val="000000"/>
          <w:sz w:val="22"/>
          <w:lang w:val="en-US" w:eastAsia="zh-CN"/>
        </w:rPr>
        <w:t>Commercial long-run CPI coefficient and intercept; short-run adjusted EC, own-growth lags, Corporate Profits and intercept; EC trend adjustment.</w:t>
      </w:r>
    </w:p>
    <w:p>
      <w:pPr>
        <w:pStyle w:val="ListBullet"/>
        <w:keepNext w:val="0"/>
        <w:pageBreakBefore w:val="0"/>
        <w:spacing w:after="140"/>
      </w:pPr>
      <w:r>
        <w:rPr>
          <w:rFonts w:ascii="Times New Roman" w:hAnsi="Times New Roman" w:eastAsia="Noto Sans CJK SC"/>
          <w:color w:val="000000"/>
          <w:sz w:val="22"/>
          <w:lang w:val="en-US" w:eastAsia="zh-CN"/>
        </w:rPr>
        <w:t>Consumer fee log-growth lag coefficients, January and December coefficients, Retail Sales coefficient and intercept.</w:t>
      </w:r>
    </w:p>
    <w:p>
      <w:pPr>
        <w:pStyle w:val="ListBullet"/>
        <w:keepNext w:val="0"/>
        <w:pageBreakBefore w:val="0"/>
        <w:spacing w:after="140"/>
      </w:pPr>
      <w:r>
        <w:rPr>
          <w:rFonts w:ascii="Times New Roman" w:hAnsi="Times New Roman" w:eastAsia="Noto Sans CJK SC"/>
          <w:color w:val="000000"/>
          <w:sz w:val="22"/>
          <w:lang w:val="en-US" w:eastAsia="zh-CN"/>
        </w:rPr>
        <w:t>Debit baseline mean, stress-period mean and sample standard deviation, calibration windows and stress multiplier.</w:t>
      </w:r>
    </w:p>
    <w:p>
      <w:pPr>
        <w:keepNext w:val="0"/>
        <w:pageBreakBefore w:val="0"/>
        <w:spacing w:after="140"/>
      </w:pPr>
      <w:r>
        <w:rPr>
          <w:rFonts w:ascii="Times New Roman" w:hAnsi="Times New Roman" w:eastAsia="Noto Sans CJK SC"/>
          <w:color w:val="000000"/>
          <w:sz w:val="22"/>
          <w:lang w:val="en-US" w:eastAsia="zh-CN"/>
        </w:rPr>
        <w:t>Monitoring will assess:</w:t>
      </w:r>
    </w:p>
    <w:p>
      <w:pPr>
        <w:pStyle w:val="ListBullet"/>
        <w:keepNext w:val="0"/>
        <w:pageBreakBefore w:val="0"/>
        <w:spacing w:after="140"/>
      </w:pPr>
      <w:r>
        <w:rPr>
          <w:rFonts w:ascii="Times New Roman" w:hAnsi="Times New Roman" w:eastAsia="Noto Sans CJK SC"/>
          <w:color w:val="000000"/>
          <w:sz w:val="22"/>
          <w:lang w:val="en-US" w:eastAsia="zh-CN"/>
        </w:rPr>
        <w:t>Coefficient sign stability.</w:t>
      </w:r>
    </w:p>
    <w:p>
      <w:pPr>
        <w:pStyle w:val="ListBullet"/>
        <w:keepNext w:val="0"/>
        <w:pageBreakBefore w:val="0"/>
        <w:spacing w:after="140"/>
      </w:pPr>
      <w:r>
        <w:rPr>
          <w:rFonts w:ascii="Times New Roman" w:hAnsi="Times New Roman" w:eastAsia="Noto Sans CJK SC"/>
          <w:color w:val="000000"/>
          <w:sz w:val="22"/>
          <w:lang w:val="en-US" w:eastAsia="zh-CN"/>
        </w:rPr>
        <w:t>Magnitude changes over time.</w:t>
      </w:r>
    </w:p>
    <w:p>
      <w:pPr>
        <w:pStyle w:val="ListBullet"/>
        <w:keepNext w:val="0"/>
        <w:pageBreakBefore w:val="0"/>
        <w:spacing w:after="140"/>
      </w:pPr>
      <w:r>
        <w:rPr>
          <w:rFonts w:ascii="Times New Roman" w:hAnsi="Times New Roman" w:eastAsia="Noto Sans CJK SC"/>
          <w:color w:val="000000"/>
          <w:sz w:val="22"/>
          <w:lang w:val="en-US" w:eastAsia="zh-CN"/>
        </w:rPr>
        <w:t>Statistical significance.</w:t>
      </w:r>
    </w:p>
    <w:p>
      <w:pPr>
        <w:pStyle w:val="ListBullet"/>
        <w:keepNext w:val="0"/>
        <w:pageBreakBefore w:val="0"/>
        <w:spacing w:after="140"/>
      </w:pPr>
      <w:r>
        <w:rPr>
          <w:rFonts w:ascii="Times New Roman" w:hAnsi="Times New Roman" w:eastAsia="Noto Sans CJK SC"/>
          <w:color w:val="000000"/>
          <w:sz w:val="22"/>
          <w:lang w:val="en-US" w:eastAsia="zh-CN"/>
        </w:rPr>
        <w:t>Rolling coefficient behavior for applicable regression models.</w:t>
      </w:r>
    </w:p>
    <w:p>
      <w:pPr>
        <w:pStyle w:val="ListBullet"/>
        <w:keepNext w:val="0"/>
        <w:pageBreakBefore w:val="0"/>
        <w:spacing w:after="140"/>
      </w:pPr>
      <w:r>
        <w:rPr>
          <w:rFonts w:ascii="Times New Roman" w:hAnsi="Times New Roman" w:eastAsia="Noto Sans CJK SC"/>
          <w:color w:val="000000"/>
          <w:sz w:val="22"/>
          <w:lang w:val="en-US" w:eastAsia="zh-CN"/>
        </w:rPr>
        <w:t>Stability of model explanatory power.</w:t>
      </w:r>
    </w:p>
    <w:p>
      <w:pPr>
        <w:keepNext w:val="0"/>
        <w:pageBreakBefore w:val="0"/>
        <w:spacing w:after="140"/>
      </w:pPr>
      <w:r>
        <w:rPr>
          <w:rFonts w:ascii="Times New Roman" w:hAnsi="Times New Roman" w:eastAsia="Noto Sans CJK SC"/>
          <w:color w:val="000000"/>
          <w:sz w:val="22"/>
          <w:lang w:val="en-US" w:eastAsia="zh-CN"/>
        </w:rPr>
        <w:t>Observed parameter behavior will be compared against development-period results to determine whether recalibration may be warranted.</w:t>
      </w:r>
    </w:p>
    <w:p>
      <w:pPr>
        <w:pStyle w:val="Heading3"/>
        <w:keepNext/>
        <w:pageBreakBefore w:val="0"/>
        <w:spacing w:after="140"/>
      </w:pPr>
      <w:r>
        <w:rPr>
          <w:rFonts w:ascii="Times New Roman" w:hAnsi="Times New Roman" w:eastAsia="Noto Sans CJK SC"/>
          <w:color w:val="000000"/>
          <w:sz w:val="22"/>
          <w:lang w:val="en-US" w:eastAsia="zh-CN"/>
        </w:rPr>
        <w:t>8.5.6 Overlay Monitoring</w:t>
      </w:r>
    </w:p>
    <w:p>
      <w:pPr>
        <w:keepNext w:val="0"/>
        <w:pageBreakBefore w:val="0"/>
        <w:spacing w:after="140"/>
      </w:pPr>
      <w:r>
        <w:rPr>
          <w:rFonts w:ascii="Times New Roman" w:hAnsi="Times New Roman" w:eastAsia="Noto Sans CJK SC"/>
          <w:color w:val="000000"/>
          <w:sz w:val="22"/>
          <w:lang w:val="en-US" w:eastAsia="zh-CN"/>
        </w:rPr>
        <w:t>Commercial Card and Small Business forecasts utilize an EC trend adjustment calibrated from the later historical period. Consumer Card has no separate management overlay in the current implementation. Debit historical calibration assumptions are monitored as judgmental parameters. Monitoring of the Commercial adjustment will evaluate:</w:t>
      </w:r>
    </w:p>
    <w:p>
      <w:pPr>
        <w:pStyle w:val="ListBullet"/>
        <w:keepNext w:val="0"/>
        <w:pageBreakBefore w:val="0"/>
        <w:spacing w:after="140"/>
      </w:pPr>
      <w:r>
        <w:rPr>
          <w:rFonts w:ascii="Times New Roman" w:hAnsi="Times New Roman" w:eastAsia="Noto Sans CJK SC"/>
          <w:color w:val="000000"/>
          <w:sz w:val="22"/>
          <w:lang w:val="en-US" w:eastAsia="zh-CN"/>
        </w:rPr>
        <w:t>Continued need for the overlay.</w:t>
      </w:r>
    </w:p>
    <w:p>
      <w:pPr>
        <w:pStyle w:val="ListBullet"/>
        <w:keepNext w:val="0"/>
        <w:pageBreakBefore w:val="0"/>
        <w:spacing w:after="140"/>
      </w:pPr>
      <w:r>
        <w:rPr>
          <w:rFonts w:ascii="Times New Roman" w:hAnsi="Times New Roman" w:eastAsia="Noto Sans CJK SC"/>
          <w:color w:val="000000"/>
          <w:sz w:val="22"/>
          <w:lang w:val="en-US" w:eastAsia="zh-CN"/>
        </w:rPr>
        <w:t>Magnitude of the overlay.</w:t>
      </w:r>
    </w:p>
    <w:p>
      <w:pPr>
        <w:pStyle w:val="ListBullet"/>
        <w:keepNext w:val="0"/>
        <w:pageBreakBefore w:val="0"/>
        <w:spacing w:after="140"/>
      </w:pPr>
      <w:r>
        <w:rPr>
          <w:rFonts w:ascii="Times New Roman" w:hAnsi="Times New Roman" w:eastAsia="Noto Sans CJK SC"/>
          <w:color w:val="000000"/>
          <w:sz w:val="22"/>
          <w:lang w:val="en-US" w:eastAsia="zh-CN"/>
        </w:rPr>
        <w:t>Actual-to-forecast performance after application of the overlay.</w:t>
      </w:r>
    </w:p>
    <w:p>
      <w:pPr>
        <w:pStyle w:val="ListBullet"/>
        <w:keepNext w:val="0"/>
        <w:pageBreakBefore w:val="0"/>
        <w:spacing w:after="140"/>
      </w:pPr>
      <w:r>
        <w:rPr>
          <w:rFonts w:ascii="Times New Roman" w:hAnsi="Times New Roman" w:eastAsia="Noto Sans CJK SC"/>
          <w:color w:val="000000"/>
          <w:sz w:val="22"/>
          <w:lang w:val="en-US" w:eastAsia="zh-CN"/>
        </w:rPr>
        <w:t>Whether business conditions supporting the overlay remain applicable.</w:t>
      </w:r>
    </w:p>
    <w:p>
      <w:pPr>
        <w:pStyle w:val="ListBullet"/>
        <w:keepNext w:val="0"/>
        <w:pageBreakBefore w:val="0"/>
        <w:spacing w:after="140"/>
      </w:pPr>
      <w:r>
        <w:rPr>
          <w:rFonts w:ascii="Times New Roman" w:hAnsi="Times New Roman" w:eastAsia="Noto Sans CJK SC"/>
          <w:color w:val="000000"/>
          <w:sz w:val="22"/>
          <w:lang w:val="en-US" w:eastAsia="zh-CN"/>
        </w:rPr>
        <w:t>Whether redevelopment or recalibration would be preferable to continued overlay usage.</w:t>
      </w:r>
    </w:p>
    <w:p>
      <w:pPr>
        <w:keepNext w:val="0"/>
        <w:pageBreakBefore w:val="0"/>
        <w:spacing w:after="140"/>
      </w:pPr>
      <w:r>
        <w:rPr>
          <w:rFonts w:ascii="Times New Roman" w:hAnsi="Times New Roman" w:eastAsia="Noto Sans CJK SC"/>
          <w:color w:val="000000"/>
          <w:sz w:val="22"/>
          <w:lang w:val="en-US" w:eastAsia="zh-CN"/>
        </w:rPr>
        <w:t>The overlay will remain subject to governance review, documentation, approval, and ongoing challenge.</w:t>
      </w:r>
    </w:p>
    <w:p>
      <w:pPr>
        <w:pStyle w:val="Heading3"/>
        <w:keepNext/>
        <w:pageBreakBefore w:val="0"/>
        <w:spacing w:after="140"/>
      </w:pPr>
      <w:r>
        <w:rPr>
          <w:rFonts w:ascii="Times New Roman" w:hAnsi="Times New Roman" w:eastAsia="Noto Sans CJK SC"/>
          <w:color w:val="000000"/>
          <w:sz w:val="22"/>
          <w:lang w:val="en-US" w:eastAsia="zh-CN"/>
        </w:rPr>
        <w:t>8.5.7 Limitation Monitoring</w:t>
      </w:r>
    </w:p>
    <w:p>
      <w:pPr>
        <w:keepNext w:val="0"/>
        <w:pageBreakBefore w:val="0"/>
        <w:spacing w:after="140"/>
      </w:pPr>
      <w:r>
        <w:rPr>
          <w:rFonts w:ascii="Times New Roman" w:hAnsi="Times New Roman" w:eastAsia="Noto Sans CJK SC"/>
          <w:color w:val="000000"/>
          <w:sz w:val="22"/>
          <w:lang w:val="en-US" w:eastAsia="zh-CN"/>
        </w:rPr>
        <w:t>Known model limitations identified in Section 2 will be reviewed during each monitoring cycle.</w:t>
      </w:r>
    </w:p>
    <w:p>
      <w:pPr>
        <w:keepNext w:val="0"/>
        <w:pageBreakBefore w:val="0"/>
        <w:spacing w:after="140"/>
      </w:pPr>
      <w:r>
        <w:rPr>
          <w:rFonts w:ascii="Times New Roman" w:hAnsi="Times New Roman" w:eastAsia="Noto Sans CJK SC"/>
          <w:color w:val="000000"/>
          <w:sz w:val="22"/>
          <w:lang w:val="en-US" w:eastAsia="zh-CN"/>
        </w:rPr>
        <w:t>Particular attention will be given to:</w:t>
      </w:r>
    </w:p>
    <w:p>
      <w:pPr>
        <w:pStyle w:val="ListBullet"/>
        <w:keepNext w:val="0"/>
        <w:pageBreakBefore w:val="0"/>
        <w:spacing w:after="140"/>
      </w:pPr>
      <w:r>
        <w:rPr>
          <w:rFonts w:ascii="Times New Roman" w:hAnsi="Times New Roman" w:eastAsia="Noto Sans CJK SC"/>
          <w:color w:val="000000"/>
          <w:sz w:val="22"/>
          <w:lang w:val="en-US" w:eastAsia="zh-CN"/>
        </w:rPr>
        <w:t>Future pricing actions not explicitly captured by the model.</w:t>
      </w:r>
    </w:p>
    <w:p>
      <w:pPr>
        <w:pStyle w:val="ListBullet"/>
        <w:keepNext w:val="0"/>
        <w:pageBreakBefore w:val="0"/>
        <w:spacing w:after="140"/>
      </w:pPr>
      <w:r>
        <w:rPr>
          <w:rFonts w:ascii="Times New Roman" w:hAnsi="Times New Roman" w:eastAsia="Noto Sans CJK SC"/>
          <w:color w:val="000000"/>
          <w:sz w:val="22"/>
          <w:lang w:val="en-US" w:eastAsia="zh-CN"/>
        </w:rPr>
        <w:t>New products and service offerings not represented in development data.</w:t>
      </w:r>
    </w:p>
    <w:p>
      <w:pPr>
        <w:pStyle w:val="ListBullet"/>
        <w:keepNext w:val="0"/>
        <w:pageBreakBefore w:val="0"/>
        <w:spacing w:after="140"/>
      </w:pPr>
      <w:r>
        <w:rPr>
          <w:rFonts w:ascii="Times New Roman" w:hAnsi="Times New Roman" w:eastAsia="Noto Sans CJK SC"/>
          <w:color w:val="000000"/>
          <w:sz w:val="22"/>
          <w:lang w:val="en-US" w:eastAsia="zh-CN"/>
        </w:rPr>
        <w:t>Structural shifts in customer behavior and monetization practices.</w:t>
      </w:r>
    </w:p>
    <w:p>
      <w:pPr>
        <w:pStyle w:val="ListBullet"/>
        <w:keepNext w:val="0"/>
        <w:pageBreakBefore w:val="0"/>
        <w:spacing w:after="140"/>
      </w:pPr>
      <w:r>
        <w:rPr>
          <w:rFonts w:ascii="Times New Roman" w:hAnsi="Times New Roman" w:eastAsia="Noto Sans CJK SC"/>
          <w:color w:val="000000"/>
          <w:sz w:val="22"/>
          <w:lang w:val="en-US" w:eastAsia="zh-CN"/>
        </w:rPr>
        <w:t>Forecast bias associated with changing business environments.</w:t>
      </w:r>
    </w:p>
    <w:p>
      <w:pPr>
        <w:pStyle w:val="ListBullet"/>
        <w:keepNext w:val="0"/>
        <w:pageBreakBefore w:val="0"/>
        <w:spacing w:after="140"/>
      </w:pPr>
      <w:r>
        <w:rPr>
          <w:rFonts w:ascii="Times New Roman" w:hAnsi="Times New Roman" w:eastAsia="Noto Sans CJK SC"/>
          <w:color w:val="000000"/>
          <w:sz w:val="22"/>
          <w:lang w:val="en-US" w:eastAsia="zh-CN"/>
        </w:rPr>
        <w:t>Changes in the relevance of Commercial EC calibration and Consumer calendar or spending relationships.</w:t>
      </w:r>
    </w:p>
    <w:p>
      <w:pPr>
        <w:pStyle w:val="ListBullet"/>
        <w:keepNext w:val="0"/>
        <w:pageBreakBefore w:val="0"/>
        <w:spacing w:after="140"/>
      </w:pPr>
      <w:r>
        <w:rPr>
          <w:rFonts w:ascii="Times New Roman" w:hAnsi="Times New Roman" w:eastAsia="Noto Sans CJK SC"/>
          <w:color w:val="000000"/>
          <w:sz w:val="22"/>
          <w:lang w:val="en-US" w:eastAsia="zh-CN"/>
        </w:rPr>
        <w:t>Changes in the representativeness of Debit historical calibration windows and stress severity.</w:t>
      </w:r>
    </w:p>
    <w:p>
      <w:pPr>
        <w:keepNext w:val="0"/>
        <w:pageBreakBefore w:val="0"/>
        <w:spacing w:after="140"/>
      </w:pPr>
      <w:r>
        <w:rPr>
          <w:rFonts w:ascii="Times New Roman" w:hAnsi="Times New Roman" w:eastAsia="Noto Sans CJK SC"/>
          <w:color w:val="000000"/>
          <w:sz w:val="22"/>
          <w:lang w:val="en-US" w:eastAsia="zh-CN"/>
        </w:rPr>
        <w:t>If limitations become more significant due to changing business conditions, corrective action may be required.</w:t>
      </w:r>
    </w:p>
    <w:p>
      <w:pPr>
        <w:pStyle w:val="Heading2"/>
        <w:keepNext/>
        <w:pageBreakBefore w:val="0"/>
        <w:spacing w:after="140"/>
      </w:pPr>
      <w:r>
        <w:rPr>
          <w:rFonts w:ascii="Times New Roman" w:hAnsi="Times New Roman" w:eastAsia="Noto Sans CJK SC"/>
          <w:color w:val="000000"/>
          <w:sz w:val="26"/>
          <w:lang w:val="en-US" w:eastAsia="zh-CN"/>
        </w:rPr>
        <w:t>8.6 Monitoring Metrics and Thresholds</w:t>
      </w:r>
    </w:p>
    <w:p>
      <w:pPr>
        <w:keepNext w:val="0"/>
        <w:pageBreakBefore w:val="0"/>
        <w:spacing w:after="140"/>
      </w:pPr>
      <w:r>
        <w:rPr>
          <w:rFonts w:ascii="Times New Roman" w:hAnsi="Times New Roman" w:eastAsia="Noto Sans CJK SC"/>
          <w:color w:val="000000"/>
          <w:sz w:val="22"/>
          <w:lang w:val="en-US" w:eastAsia="zh-CN"/>
        </w:rPr>
        <w:t>Monitoring metrics should be associated with predefined thresholds that distinguish expected behavior from behavior requiring investigation. Exceeding a threshold does not automatically indicate model failure but should trigger review and documentation.</w:t>
      </w:r>
    </w:p>
    <w:p>
      <w:pPr>
        <w:keepNext w:val="0"/>
        <w:pageBreakBefore w:val="0"/>
        <w:spacing w:after="140"/>
      </w:pPr>
      <w:r>
        <w:rPr>
          <w:rFonts w:ascii="Times New Roman" w:hAnsi="Times New Roman" w:eastAsia="Noto Sans CJK SC"/>
          <w:color w:val="000000"/>
          <w:sz w:val="22"/>
          <w:lang w:val="en-US" w:eastAsia="zh-CN"/>
        </w:rPr>
        <w:t>The following monitoring measures identify potentially significant performance issues. Component-specific numerical thresholds, evaluation windows and escalation timelines will be approved and documented before implementation.</w:t>
      </w:r>
    </w:p>
    <w:p>
      <w:pPr>
        <w:pStyle w:val="Caption"/>
        <w:keepNext/>
        <w:pageBreakBefore w:val="0"/>
        <w:spacing w:after="140"/>
      </w:pPr>
      <w:r>
        <w:rPr>
          <w:rFonts w:ascii="Times New Roman" w:hAnsi="Times New Roman" w:eastAsia="Noto Sans CJK SC"/>
          <w:color w:val="000000"/>
          <w:sz w:val="21"/>
          <w:lang w:val="en-US" w:eastAsia="zh-CN"/>
        </w:rPr>
        <w:t>Table 8.2 Monitoring Metrics and Thresholds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4752"/>
        <w:gridCol w:w="3240"/>
      </w:tblGrid>
      <w:tr>
        <w:trPr>
          <w:cantSplit/>
          <w:tblHeader/>
        </w:trPr>
        <w:tc>
          <w:tcPr>
            <w:tcW w:type="dxa" w:w="1944"/>
            <w:vAlign w:val="center"/>
            <w:tcMar>
              <w:top w:w="90" w:type="dxa"/>
              <w:bottom w:w="90" w:type="dxa"/>
              <w:left w:w="90" w:type="dxa"/>
              <w:right w:w="90" w:type="dxa"/>
            </w:tcMar>
            <w:shd w:fill="E7E6E6"/>
          </w:tcPr>
          <w:p>
            <w:pPr>
              <w:spacing w:after="40" w:line="240" w:lineRule="exact"/>
            </w:pPr>
            <w:r>
              <w:rPr>
                <w:rFonts w:ascii="Times New Roman" w:hAnsi="Times New Roman" w:eastAsia="Noto Sans CJK SC"/>
                <w:b/>
                <w:color w:val="000000"/>
                <w:sz w:val="19"/>
                <w:lang w:val="en-US" w:eastAsia="zh-CN"/>
              </w:rPr>
              <w:t>Monitoring Area</w:t>
            </w:r>
          </w:p>
        </w:tc>
        <w:tc>
          <w:tcPr>
            <w:tcW w:type="dxa" w:w="4752"/>
            <w:vAlign w:val="center"/>
            <w:tcMar>
              <w:top w:w="90" w:type="dxa"/>
              <w:bottom w:w="90" w:type="dxa"/>
              <w:left w:w="90" w:type="dxa"/>
              <w:right w:w="90" w:type="dxa"/>
            </w:tcMar>
            <w:shd w:fill="E7E6E6"/>
          </w:tcPr>
          <w:p>
            <w:pPr>
              <w:spacing w:after="40" w:line="240" w:lineRule="exact"/>
            </w:pPr>
            <w:r>
              <w:rPr>
                <w:rFonts w:ascii="Times New Roman" w:hAnsi="Times New Roman" w:eastAsia="Noto Sans CJK SC"/>
                <w:b/>
                <w:color w:val="000000"/>
                <w:sz w:val="19"/>
                <w:lang w:val="en-US" w:eastAsia="zh-CN"/>
              </w:rPr>
              <w:t>Metric</w:t>
            </w:r>
          </w:p>
        </w:tc>
        <w:tc>
          <w:tcPr>
            <w:tcW w:type="dxa" w:w="3240"/>
            <w:vAlign w:val="center"/>
            <w:tcMar>
              <w:top w:w="90" w:type="dxa"/>
              <w:bottom w:w="90" w:type="dxa"/>
              <w:left w:w="90" w:type="dxa"/>
              <w:right w:w="90" w:type="dxa"/>
            </w:tcMar>
            <w:shd w:fill="E7E6E6"/>
          </w:tcPr>
          <w:p>
            <w:pPr>
              <w:spacing w:after="40" w:line="240" w:lineRule="exact"/>
            </w:pPr>
            <w:r>
              <w:rPr>
                <w:rFonts w:ascii="Times New Roman" w:hAnsi="Times New Roman" w:eastAsia="Noto Sans CJK SC"/>
                <w:b/>
                <w:color w:val="000000"/>
                <w:sz w:val="19"/>
                <w:lang w:val="en-US" w:eastAsia="zh-CN"/>
              </w:rPr>
              <w:t>Threshold</w:t>
            </w:r>
          </w:p>
        </w:tc>
      </w:tr>
      <w:tr>
        <w:trPr>
          <w:cantSplit/>
        </w:trPr>
        <w:tc>
          <w:tcPr>
            <w:tcW w:type="dxa" w:w="1944"/>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Forecast Accuracy</w:t>
            </w:r>
          </w:p>
        </w:tc>
        <w:tc>
          <w:tcPr>
            <w:tcW w:type="dxa" w:w="4752"/>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Actual versus forecast Card Fee Revenue by component; APE and rolling annual MAPE</w:t>
            </w:r>
          </w:p>
        </w:tc>
        <w:tc>
          <w:tcPr>
            <w:tcW w:type="dxa" w:w="324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Component thresholds to be approved</w:t>
            </w:r>
          </w:p>
        </w:tc>
      </w:tr>
      <w:tr>
        <w:trPr>
          <w:cantSplit/>
        </w:trPr>
        <w:tc>
          <w:tcPr>
            <w:tcW w:type="dxa" w:w="1944"/>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Input Stability</w:t>
            </w:r>
          </w:p>
        </w:tc>
        <w:tc>
          <w:tcPr>
            <w:tcW w:type="dxa" w:w="4752"/>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Commercial CPI, Corporate Profits and EC; Consumer Retail Sales and fee changes; Debit quarterly revenue</w:t>
            </w:r>
          </w:p>
        </w:tc>
        <w:tc>
          <w:tcPr>
            <w:tcW w:type="dxa" w:w="324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Historical-range and volatility thresholds to be approved</w:t>
            </w:r>
          </w:p>
        </w:tc>
      </w:tr>
      <w:tr>
        <w:trPr>
          <w:cantSplit/>
        </w:trPr>
        <w:tc>
          <w:tcPr>
            <w:tcW w:type="dxa" w:w="1944"/>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Data Integrity</w:t>
            </w:r>
          </w:p>
        </w:tc>
        <w:tc>
          <w:tcPr>
            <w:tcW w:type="dxa" w:w="4752"/>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Source reconciliation against financial reporting data</w:t>
            </w:r>
          </w:p>
        </w:tc>
        <w:tc>
          <w:tcPr>
            <w:tcW w:type="dxa" w:w="324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Reconciliation tolerance to be approved</w:t>
            </w:r>
          </w:p>
        </w:tc>
      </w:tr>
      <w:tr>
        <w:trPr>
          <w:cantSplit/>
        </w:trPr>
        <w:tc>
          <w:tcPr>
            <w:tcW w:type="dxa" w:w="1944"/>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Coefficient Stability</w:t>
            </w:r>
          </w:p>
        </w:tc>
        <w:tc>
          <w:tcPr>
            <w:tcW w:type="dxa" w:w="4752"/>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Sign reversal or material magnitude change in final regression coefficients</w:t>
            </w:r>
          </w:p>
        </w:tc>
        <w:tc>
          <w:tcPr>
            <w:tcW w:type="dxa" w:w="324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Investigation required</w:t>
            </w:r>
          </w:p>
        </w:tc>
      </w:tr>
      <w:tr>
        <w:trPr>
          <w:cantSplit/>
        </w:trPr>
        <w:tc>
          <w:tcPr>
            <w:tcW w:type="dxa" w:w="1944"/>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Statistical Stability</w:t>
            </w:r>
          </w:p>
        </w:tc>
        <w:tc>
          <w:tcPr>
            <w:tcW w:type="dxa" w:w="4752"/>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Material decline in adjusted R-squared relative to development performance</w:t>
            </w:r>
          </w:p>
        </w:tc>
        <w:tc>
          <w:tcPr>
            <w:tcW w:type="dxa" w:w="324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Management review required</w:t>
            </w:r>
          </w:p>
        </w:tc>
      </w:tr>
      <w:tr>
        <w:trPr>
          <w:cantSplit/>
        </w:trPr>
        <w:tc>
          <w:tcPr>
            <w:tcW w:type="dxa" w:w="1944"/>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Overlay Performance</w:t>
            </w:r>
          </w:p>
        </w:tc>
        <w:tc>
          <w:tcPr>
            <w:tcW w:type="dxa" w:w="4752"/>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Persistent bias in Commercial overlay-adjusted forecasts</w:t>
            </w:r>
          </w:p>
        </w:tc>
        <w:tc>
          <w:tcPr>
            <w:tcW w:type="dxa" w:w="324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Management review required</w:t>
            </w:r>
          </w:p>
        </w:tc>
      </w:tr>
      <w:tr>
        <w:trPr>
          <w:cantSplit/>
        </w:trPr>
        <w:tc>
          <w:tcPr>
            <w:tcW w:type="dxa" w:w="1944"/>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Debit Calibration</w:t>
            </w:r>
          </w:p>
        </w:tc>
        <w:tc>
          <w:tcPr>
            <w:tcW w:type="dxa" w:w="4752"/>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Material changes in recent-quarter mean, post-2015 dispersion or stress severity</w:t>
            </w:r>
          </w:p>
        </w:tc>
        <w:tc>
          <w:tcPr>
            <w:tcW w:type="dxa" w:w="324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Management review required</w:t>
            </w:r>
          </w:p>
        </w:tc>
      </w:tr>
      <w:tr>
        <w:trPr>
          <w:cantSplit/>
        </w:trPr>
        <w:tc>
          <w:tcPr>
            <w:tcW w:type="dxa" w:w="1944"/>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Assumption Stability</w:t>
            </w:r>
          </w:p>
        </w:tc>
        <w:tc>
          <w:tcPr>
            <w:tcW w:type="dxa" w:w="4752"/>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Material assumption invalidated by observed experience</w:t>
            </w:r>
          </w:p>
        </w:tc>
        <w:tc>
          <w:tcPr>
            <w:tcW w:type="dxa" w:w="324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Management review required</w:t>
            </w:r>
          </w:p>
        </w:tc>
      </w:tr>
      <w:tr>
        <w:trPr>
          <w:cantSplit/>
        </w:trPr>
        <w:tc>
          <w:tcPr>
            <w:tcW w:type="dxa" w:w="1944"/>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Data Quality</w:t>
            </w:r>
          </w:p>
        </w:tc>
        <w:tc>
          <w:tcPr>
            <w:tcW w:type="dxa" w:w="4752"/>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Missing or incomplete required source data</w:t>
            </w:r>
          </w:p>
        </w:tc>
        <w:tc>
          <w:tcPr>
            <w:tcW w:type="dxa" w:w="324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Investigation and remediation required</w:t>
            </w:r>
          </w:p>
        </w:tc>
      </w:tr>
    </w:tbl>
    <w:p>
      <w:pPr>
        <w:keepNext w:val="0"/>
        <w:pageBreakBefore w:val="0"/>
        <w:spacing w:after="140"/>
      </w:pPr>
      <w:r>
        <w:rPr>
          <w:rFonts w:ascii="Times New Roman" w:hAnsi="Times New Roman" w:eastAsia="Noto Sans CJK SC"/>
          <w:color w:val="000000"/>
          <w:sz w:val="22"/>
          <w:lang w:val="en-US" w:eastAsia="zh-CN"/>
        </w:rPr>
        <w:t>Breaches do not automatically indicate model failure but require investigation and documented explanation.</w:t>
      </w:r>
    </w:p>
    <w:p>
      <w:pPr>
        <w:pStyle w:val="Heading2"/>
        <w:keepNext/>
        <w:pageBreakBefore w:val="0"/>
        <w:spacing w:after="140"/>
      </w:pPr>
      <w:r>
        <w:rPr>
          <w:rFonts w:ascii="Times New Roman" w:hAnsi="Times New Roman" w:eastAsia="Noto Sans CJK SC"/>
          <w:color w:val="000000"/>
          <w:sz w:val="26"/>
          <w:lang w:val="en-US" w:eastAsia="zh-CN"/>
        </w:rPr>
        <w:t>8.7 Escalation Process</w:t>
      </w:r>
    </w:p>
    <w:p>
      <w:pPr>
        <w:keepNext w:val="0"/>
        <w:pageBreakBefore w:val="0"/>
        <w:spacing w:after="140"/>
      </w:pPr>
      <w:r>
        <w:rPr>
          <w:rFonts w:ascii="Times New Roman" w:hAnsi="Times New Roman" w:eastAsia="Noto Sans CJK SC"/>
          <w:color w:val="000000"/>
          <w:sz w:val="22"/>
          <w:lang w:val="en-US" w:eastAsia="zh-CN"/>
        </w:rPr>
        <w:t>When monitoring identifies a threshold breach or significant performance issue, the following escalation process will be followed:</w:t>
      </w:r>
    </w:p>
    <w:p>
      <w:pPr>
        <w:pStyle w:val="ListBullet"/>
        <w:keepNext w:val="0"/>
        <w:pageBreakBefore w:val="0"/>
        <w:spacing w:after="140"/>
      </w:pPr>
      <w:r>
        <w:rPr>
          <w:rFonts w:ascii="Times New Roman" w:hAnsi="Times New Roman" w:eastAsia="Noto Sans CJK SC"/>
          <w:color w:val="000000"/>
          <w:sz w:val="22"/>
          <w:lang w:val="en-US" w:eastAsia="zh-CN"/>
        </w:rPr>
        <w:t>Model Developer investigates the issue and documents root cause analysis.</w:t>
      </w:r>
    </w:p>
    <w:p>
      <w:pPr>
        <w:pStyle w:val="ListBullet"/>
        <w:keepNext w:val="0"/>
        <w:pageBreakBefore w:val="0"/>
        <w:spacing w:after="140"/>
      </w:pPr>
      <w:r>
        <w:rPr>
          <w:rFonts w:ascii="Times New Roman" w:hAnsi="Times New Roman" w:eastAsia="Noto Sans CJK SC"/>
          <w:color w:val="000000"/>
          <w:sz w:val="22"/>
          <w:lang w:val="en-US" w:eastAsia="zh-CN"/>
        </w:rPr>
        <w:t>Results are reviewed by the Model Owner.</w:t>
      </w:r>
    </w:p>
    <w:p>
      <w:pPr>
        <w:pStyle w:val="ListBullet"/>
        <w:keepNext w:val="0"/>
        <w:pageBreakBefore w:val="0"/>
        <w:spacing w:after="140"/>
      </w:pPr>
      <w:r>
        <w:rPr>
          <w:rFonts w:ascii="Times New Roman" w:hAnsi="Times New Roman" w:eastAsia="Noto Sans CJK SC"/>
          <w:color w:val="000000"/>
          <w:sz w:val="22"/>
          <w:lang w:val="en-US" w:eastAsia="zh-CN"/>
        </w:rPr>
        <w:t>If remediation is required, an action plan is developed and documented.</w:t>
      </w:r>
    </w:p>
    <w:p>
      <w:pPr>
        <w:pStyle w:val="ListBullet"/>
        <w:keepNext w:val="0"/>
        <w:pageBreakBefore w:val="0"/>
        <w:spacing w:after="140"/>
      </w:pPr>
      <w:r>
        <w:rPr>
          <w:rFonts w:ascii="Times New Roman" w:hAnsi="Times New Roman" w:eastAsia="Noto Sans CJK SC"/>
          <w:color w:val="000000"/>
          <w:sz w:val="22"/>
          <w:lang w:val="en-US" w:eastAsia="zh-CN"/>
        </w:rPr>
        <w:t>Material findings are communicated to Strategic Finance management.</w:t>
      </w:r>
    </w:p>
    <w:p>
      <w:pPr>
        <w:pStyle w:val="ListBullet"/>
        <w:keepNext w:val="0"/>
        <w:pageBreakBefore w:val="0"/>
        <w:spacing w:after="140"/>
      </w:pPr>
      <w:r>
        <w:rPr>
          <w:rFonts w:ascii="Times New Roman" w:hAnsi="Times New Roman" w:eastAsia="Noto Sans CJK SC"/>
          <w:color w:val="000000"/>
          <w:sz w:val="22"/>
          <w:lang w:val="en-US" w:eastAsia="zh-CN"/>
        </w:rPr>
        <w:t>Material model performance issues are reported to Model Risk Management.</w:t>
      </w:r>
    </w:p>
    <w:p>
      <w:pPr>
        <w:pStyle w:val="ListBullet"/>
        <w:keepNext w:val="0"/>
        <w:pageBreakBefore w:val="0"/>
        <w:spacing w:after="140"/>
      </w:pPr>
      <w:r>
        <w:rPr>
          <w:rFonts w:ascii="Times New Roman" w:hAnsi="Times New Roman" w:eastAsia="Noto Sans CJK SC"/>
          <w:color w:val="000000"/>
          <w:sz w:val="22"/>
          <w:lang w:val="en-US" w:eastAsia="zh-CN"/>
        </w:rPr>
        <w:t>Where appropriate, a recalibration, redevelopment, modification of the overlay, model overlay enhancement, or model retirement recommendation will be submitted.</w:t>
      </w:r>
    </w:p>
    <w:p>
      <w:pPr>
        <w:pStyle w:val="Heading2"/>
        <w:keepNext/>
        <w:pageBreakBefore w:val="0"/>
        <w:spacing w:after="140"/>
      </w:pPr>
      <w:r>
        <w:rPr>
          <w:rFonts w:ascii="Times New Roman" w:hAnsi="Times New Roman" w:eastAsia="Noto Sans CJK SC"/>
          <w:color w:val="000000"/>
          <w:sz w:val="26"/>
          <w:lang w:val="en-US" w:eastAsia="zh-CN"/>
        </w:rPr>
        <w:t>8.8 Monitoring Conclusion</w:t>
      </w:r>
    </w:p>
    <w:p>
      <w:pPr>
        <w:keepNext w:val="0"/>
        <w:pageBreakBefore w:val="0"/>
        <w:spacing w:after="140"/>
      </w:pPr>
      <w:r>
        <w:rPr>
          <w:rFonts w:ascii="Times New Roman" w:hAnsi="Times New Roman" w:eastAsia="Noto Sans CJK SC"/>
          <w:color w:val="000000"/>
          <w:sz w:val="22"/>
          <w:lang w:val="en-US" w:eastAsia="zh-CN"/>
        </w:rPr>
        <w:t>The Card Fee Model relies on statistically estimated relationships, economically intuitive business drivers, a Commercial EC adjustment and historical Debit calibration. Accordingly, the monitoring framework focuses on ensuring the ongoing validity of model assumptions, stability of key explanatory variables and coefficients, forecast accuracy, overlay and calibration appropriateness, and consistency of model outputs with observed business performance.</w:t>
      </w:r>
    </w:p>
    <w:p>
      <w:pPr>
        <w:keepNext w:val="0"/>
        <w:pageBreakBefore w:val="0"/>
        <w:spacing w:after="140"/>
      </w:pPr>
      <w:r>
        <w:rPr>
          <w:rFonts w:ascii="Times New Roman" w:hAnsi="Times New Roman" w:eastAsia="Noto Sans CJK SC"/>
          <w:color w:val="000000"/>
          <w:sz w:val="22"/>
          <w:lang w:val="en-US" w:eastAsia="zh-CN"/>
        </w:rPr>
        <w:t>Monitoring results will be reviewed semi-annually by the Model Owner and Strategic Finance management. Findings, threshold breaches, remediation actions, overlay assessments, and material model changes will be documented. Material changes to model methodology, assumptions, coefficients, data sources, overlay methodology, monitoring thresholds, or model use will be communicated to Model Risk Management and recorded in the model change control log in accordance with Model Risk Management Policy.</w:t>
      </w:r>
    </w:p>
    <w:p>
      <w:pPr>
        <w:pStyle w:val="Heading1"/>
        <w:keepNext/>
        <w:pageBreakBefore/>
      </w:pPr>
      <w:r>
        <w:t>9. Procedures</w:t>
      </w:r>
    </w:p>
    <w:p>
      <w:pPr>
        <w:widowControl/>
        <w:shd w:fill="EAEAEA"/>
      </w:pPr>
      <w:r>
        <w:rPr>
          <w:b w:val="0"/>
        </w:rPr>
        <w:t>[Document model Procedures which contains instructions on how to run, use, and update the model. This should allow someone who does not run the model on a day-to-day basis to update and run the model. The procedures should include frequency of when the model is run, who receives the output, and any control checks.</w:t>
      </w:r>
    </w:p>
    <w:p>
      <w:pPr>
        <w:widowControl/>
        <w:shd w:fill="EAEAEA"/>
      </w:pPr>
      <w:r>
        <w:rPr>
          <w:b w:val="0"/>
        </w:rPr>
        <w:t>If the procedures are detailed in a separate document, please include reference to that document here.</w:t>
      </w:r>
    </w:p>
    <w:p>
      <w:pPr>
        <w:widowControl/>
        <w:shd w:fill="EAEAEA"/>
      </w:pPr>
      <w:r>
        <w:rPr>
          <w:b w:val="0"/>
        </w:rPr>
        <w:t>Where applicable, include an operating checklist which lays out step-by-step procedures for executing the model. The intent is this will be used by the model owner / model user when the model is updated to ensure no steps are missed.]</w:t>
      </w:r>
    </w:p>
    <w:p>
      <w:pPr>
        <w:widowControl/>
      </w:pPr>
      <w:r>
        <w:rPr>
          <w:b w:val="0"/>
        </w:rPr>
        <w:t>Model is yet to be implemented. During implementation stage, this section will be addressed.</w:t>
      </w:r>
    </w:p>
    <w:p>
      <w:pPr>
        <w:pStyle w:val="Heading1"/>
        <w:keepNext/>
        <w:pageBreakBefore/>
        <w:spacing w:after="140"/>
      </w:pPr>
      <w:r>
        <w:rPr>
          <w:rFonts w:ascii="Times New Roman" w:hAnsi="Times New Roman" w:eastAsia="Noto Sans CJK SC"/>
          <w:color w:val="000000"/>
          <w:sz w:val="32"/>
          <w:lang w:val="en-US" w:eastAsia="zh-CN"/>
        </w:rPr>
        <w:t>10. Governance</w:t>
      </w:r>
    </w:p>
    <w:p>
      <w:pPr>
        <w:pStyle w:val="Heading2"/>
        <w:keepNext/>
        <w:pageBreakBefore w:val="0"/>
        <w:spacing w:after="140"/>
      </w:pPr>
      <w:r>
        <w:rPr>
          <w:rFonts w:ascii="Times New Roman" w:hAnsi="Times New Roman" w:eastAsia="Noto Sans CJK SC"/>
          <w:color w:val="000000"/>
          <w:sz w:val="26"/>
          <w:lang w:val="en-US" w:eastAsia="zh-CN"/>
        </w:rPr>
        <w:t>10.1 Purpose of Governance</w:t>
      </w:r>
    </w:p>
    <w:p>
      <w:pPr>
        <w:keepNext w:val="0"/>
        <w:pageBreakBefore w:val="0"/>
        <w:spacing w:after="140"/>
      </w:pPr>
      <w:r>
        <w:rPr>
          <w:rFonts w:ascii="Times New Roman" w:hAnsi="Times New Roman" w:eastAsia="Noto Sans CJK SC"/>
          <w:color w:val="000000"/>
          <w:sz w:val="22"/>
          <w:lang w:val="en-US" w:eastAsia="zh-CN"/>
        </w:rPr>
        <w:t>The purpose of the governance framework is to ensure that the Card Fee Model is developed, implemented, monitored, maintained, and retired in a controlled manner consistent with Model Risk Management requirements and supervisory expectations. Effective governance establishes accountability, supports independent challenge, promotes transparency, and ensures that model outputs are used appropriately throughout the model lifecycle.</w:t>
      </w:r>
    </w:p>
    <w:p>
      <w:pPr>
        <w:pStyle w:val="Heading2"/>
        <w:keepNext/>
        <w:pageBreakBefore w:val="0"/>
        <w:spacing w:after="140"/>
      </w:pPr>
      <w:r>
        <w:rPr>
          <w:rFonts w:ascii="Times New Roman" w:hAnsi="Times New Roman" w:eastAsia="Noto Sans CJK SC"/>
          <w:color w:val="000000"/>
          <w:sz w:val="26"/>
          <w:lang w:val="en-US" w:eastAsia="zh-CN"/>
        </w:rPr>
        <w:t>10.2 Roles and Responsibilities</w:t>
      </w:r>
    </w:p>
    <w:p>
      <w:pPr>
        <w:pStyle w:val="Heading3"/>
        <w:keepNext/>
        <w:pageBreakBefore w:val="0"/>
        <w:spacing w:after="140"/>
      </w:pPr>
      <w:r>
        <w:rPr>
          <w:rFonts w:ascii="Times New Roman" w:hAnsi="Times New Roman" w:eastAsia="Noto Sans CJK SC"/>
          <w:color w:val="000000"/>
          <w:sz w:val="22"/>
          <w:lang w:val="en-US" w:eastAsia="zh-CN"/>
        </w:rPr>
        <w:t>Model Owner</w:t>
      </w:r>
    </w:p>
    <w:p>
      <w:pPr>
        <w:keepNext w:val="0"/>
        <w:pageBreakBefore w:val="0"/>
        <w:spacing w:after="140"/>
      </w:pPr>
      <w:r>
        <w:rPr>
          <w:rFonts w:ascii="Times New Roman" w:hAnsi="Times New Roman" w:eastAsia="Noto Sans CJK SC"/>
          <w:color w:val="000000"/>
          <w:sz w:val="22"/>
          <w:lang w:val="en-US" w:eastAsia="zh-CN"/>
        </w:rPr>
        <w:t>The Model Owner is responsible for the overall governance, maintenance, and performance oversight of the Card Fee Model. Responsibilities include ensuring monitoring activities are completed, documentation remains current, model assumptions remain appropriate, change-control records are maintained, and material issues are escalated in accordance with Model Risk Management requirements. The Model Owner is also responsible for coordinating validation activities, reviewing monitoring results, assessing model limitations, and approving any overlays or expert judgment adjustments applied to model outputs.</w:t>
      </w:r>
    </w:p>
    <w:p>
      <w:pPr>
        <w:pStyle w:val="Heading3"/>
        <w:keepNext/>
        <w:pageBreakBefore w:val="0"/>
        <w:spacing w:after="140"/>
      </w:pPr>
      <w:r>
        <w:rPr>
          <w:rFonts w:ascii="Times New Roman" w:hAnsi="Times New Roman" w:eastAsia="Noto Sans CJK SC"/>
          <w:color w:val="000000"/>
          <w:sz w:val="22"/>
          <w:lang w:val="en-US" w:eastAsia="zh-CN"/>
        </w:rPr>
        <w:t>Model Developer</w:t>
      </w:r>
    </w:p>
    <w:p>
      <w:pPr>
        <w:keepNext w:val="0"/>
        <w:pageBreakBefore w:val="0"/>
        <w:spacing w:after="140"/>
      </w:pPr>
      <w:r>
        <w:rPr>
          <w:rFonts w:ascii="Times New Roman" w:hAnsi="Times New Roman" w:eastAsia="Noto Sans CJK SC"/>
          <w:color w:val="000000"/>
          <w:sz w:val="22"/>
          <w:lang w:val="en-US" w:eastAsia="zh-CN"/>
        </w:rPr>
        <w:t>The Model Developer is responsible for maintaining model methodology documentation, executing approved model updates, supporting monitoring activities, investigating identified issues, performing analyses related to model performance, and supporting validation reviews. Model Developers may recommend methodology enhancements but do not independently approve material model changes.</w:t>
      </w:r>
    </w:p>
    <w:p>
      <w:pPr>
        <w:pStyle w:val="Heading3"/>
        <w:keepNext/>
        <w:pageBreakBefore w:val="0"/>
        <w:spacing w:after="140"/>
      </w:pPr>
      <w:r>
        <w:rPr>
          <w:rFonts w:ascii="Times New Roman" w:hAnsi="Times New Roman" w:eastAsia="Noto Sans CJK SC"/>
          <w:color w:val="000000"/>
          <w:sz w:val="22"/>
          <w:lang w:val="en-US" w:eastAsia="zh-CN"/>
        </w:rPr>
        <w:t>Governance Review</w:t>
      </w:r>
    </w:p>
    <w:p>
      <w:pPr>
        <w:keepNext w:val="0"/>
        <w:pageBreakBefore w:val="0"/>
        <w:spacing w:after="140"/>
      </w:pPr>
      <w:r>
        <w:rPr>
          <w:rFonts w:ascii="Times New Roman" w:hAnsi="Times New Roman" w:eastAsia="Noto Sans CJK SC"/>
          <w:color w:val="000000"/>
          <w:sz w:val="22"/>
          <w:lang w:val="en-US" w:eastAsia="zh-CN"/>
        </w:rPr>
        <w:t>Monitoring results, model performance assessments, material issues, and proposed model changes are reviewed by Strategic Finance management. Material model issues, material changes, or significant performance deterioration are communicated to MRM in accordance with the Bank's MRM policy.</w:t>
      </w:r>
    </w:p>
    <w:p>
      <w:pPr>
        <w:pStyle w:val="Heading3"/>
        <w:keepNext/>
        <w:pageBreakBefore w:val="0"/>
        <w:spacing w:after="140"/>
      </w:pPr>
      <w:r>
        <w:rPr>
          <w:rFonts w:ascii="Times New Roman" w:hAnsi="Times New Roman" w:eastAsia="Noto Sans CJK SC"/>
          <w:color w:val="000000"/>
          <w:sz w:val="22"/>
          <w:lang w:val="en-US" w:eastAsia="zh-CN"/>
        </w:rPr>
        <w:t>Model Validation</w:t>
      </w:r>
    </w:p>
    <w:p>
      <w:pPr>
        <w:keepNext w:val="0"/>
        <w:pageBreakBefore w:val="0"/>
        <w:spacing w:after="140"/>
      </w:pPr>
      <w:r>
        <w:rPr>
          <w:rFonts w:ascii="Times New Roman" w:hAnsi="Times New Roman" w:eastAsia="Noto Sans CJK SC"/>
          <w:color w:val="000000"/>
          <w:sz w:val="22"/>
          <w:lang w:val="en-US" w:eastAsia="zh-CN"/>
        </w:rPr>
        <w:t>Independent validation is performed in accordance with the Model Risk Management Policy and applicable validation schedules. Validation activities provide effective challenge of model design, assumptions, implementation, performance monitoring, limitations, controls, and governance processes. Validation findings, recommendations, and remediation plans are documented and tracked through completion.</w:t>
      </w:r>
    </w:p>
    <w:p>
      <w:pPr>
        <w:pStyle w:val="Heading3"/>
        <w:keepNext/>
        <w:pageBreakBefore w:val="0"/>
        <w:spacing w:after="140"/>
      </w:pPr>
      <w:r>
        <w:rPr>
          <w:rFonts w:ascii="Times New Roman" w:hAnsi="Times New Roman" w:eastAsia="Noto Sans CJK SC"/>
          <w:color w:val="000000"/>
          <w:sz w:val="22"/>
          <w:lang w:val="en-US" w:eastAsia="zh-CN"/>
        </w:rPr>
        <w:t>Internal Audit</w:t>
      </w:r>
    </w:p>
    <w:p>
      <w:pPr>
        <w:keepNext w:val="0"/>
        <w:pageBreakBefore w:val="0"/>
        <w:spacing w:after="140"/>
      </w:pPr>
      <w:r>
        <w:rPr>
          <w:rFonts w:ascii="Times New Roman" w:hAnsi="Times New Roman" w:eastAsia="Noto Sans CJK SC"/>
          <w:color w:val="000000"/>
          <w:sz w:val="22"/>
          <w:lang w:val="en-US" w:eastAsia="zh-CN"/>
        </w:rPr>
        <w:t>Internal Audit may periodically assess compliance with Model Risk Management requirements, governance controls, monitoring processes, documentation standards, and change-management practices. Audit recommendations are documented and addressed through established remediation procedures.</w:t>
      </w:r>
    </w:p>
    <w:p>
      <w:pPr>
        <w:pStyle w:val="Heading2"/>
        <w:keepNext/>
        <w:pageBreakBefore w:val="0"/>
        <w:spacing w:after="140"/>
      </w:pPr>
      <w:r>
        <w:rPr>
          <w:rFonts w:ascii="Times New Roman" w:hAnsi="Times New Roman" w:eastAsia="Noto Sans CJK SC"/>
          <w:color w:val="000000"/>
          <w:sz w:val="26"/>
          <w:lang w:val="en-US" w:eastAsia="zh-CN"/>
        </w:rPr>
        <w:t>10.3 Change Management Governance</w:t>
      </w:r>
    </w:p>
    <w:p>
      <w:pPr>
        <w:keepNext w:val="0"/>
        <w:pageBreakBefore w:val="0"/>
        <w:spacing w:after="140"/>
      </w:pPr>
      <w:r>
        <w:rPr>
          <w:rFonts w:ascii="Times New Roman" w:hAnsi="Times New Roman" w:eastAsia="Noto Sans CJK SC"/>
          <w:color w:val="000000"/>
          <w:sz w:val="22"/>
          <w:lang w:val="en-US" w:eastAsia="zh-CN"/>
        </w:rPr>
        <w:t>Changes to methodology, assumptions, implementation logic, source data, monitoring thresholds, or intended use should be documented and evaluated through formal change-management procedures. Proposed changes should be assessed for materiality and reviewed by appropriate stakeholders before implementation. Governance review helps ensure that modifications do not introduce unintended consequences or unrecognized model risk.</w:t>
      </w:r>
    </w:p>
    <w:p>
      <w:pPr>
        <w:pStyle w:val="Heading3"/>
        <w:keepNext/>
        <w:pageBreakBefore w:val="0"/>
        <w:spacing w:after="140"/>
      </w:pPr>
      <w:r>
        <w:rPr>
          <w:rFonts w:ascii="Times New Roman" w:hAnsi="Times New Roman" w:eastAsia="Noto Sans CJK SC"/>
          <w:color w:val="000000"/>
          <w:sz w:val="22"/>
          <w:lang w:val="en-US" w:eastAsia="zh-CN"/>
        </w:rPr>
        <w:t>Material Change Definition</w:t>
      </w:r>
    </w:p>
    <w:p>
      <w:pPr>
        <w:keepNext w:val="0"/>
        <w:pageBreakBefore w:val="0"/>
        <w:spacing w:after="140"/>
      </w:pPr>
      <w:r>
        <w:rPr>
          <w:rFonts w:ascii="Times New Roman" w:hAnsi="Times New Roman" w:eastAsia="Noto Sans CJK SC"/>
          <w:color w:val="000000"/>
          <w:sz w:val="22"/>
          <w:lang w:val="en-US" w:eastAsia="zh-CN"/>
        </w:rPr>
        <w:t>Material changes are defined in accordance with the Model Risk Management Policy and include, but are not limited to, changes in model purpose, scope, methodology, assumptions, source data, implementation logic, monitoring framework, deployment platform, or intended use. Material changes require notification to MRM, appropriate approvals, and corresponding updates to model documentation and monitoring procedures prior to implementation.</w:t>
      </w:r>
    </w:p>
    <w:p>
      <w:pPr>
        <w:keepNext w:val="0"/>
        <w:pageBreakBefore w:val="0"/>
        <w:spacing w:after="140"/>
      </w:pPr>
      <w:r>
        <w:rPr>
          <w:rFonts w:ascii="Times New Roman" w:hAnsi="Times New Roman" w:eastAsia="Noto Sans CJK SC"/>
          <w:color w:val="000000"/>
          <w:sz w:val="22"/>
          <w:lang w:val="en-US" w:eastAsia="zh-CN"/>
        </w:rPr>
        <w:t>All model changes shall be documented within the model change-control log, including change description, rationale, implementation date, approval evidence, and materiality assessment.</w:t>
      </w:r>
    </w:p>
    <w:p>
      <w:pPr>
        <w:pStyle w:val="Heading2"/>
        <w:keepNext/>
        <w:pageBreakBefore w:val="0"/>
        <w:spacing w:after="140"/>
      </w:pPr>
      <w:r>
        <w:rPr>
          <w:rFonts w:ascii="Times New Roman" w:hAnsi="Times New Roman" w:eastAsia="Noto Sans CJK SC"/>
          <w:color w:val="000000"/>
          <w:sz w:val="26"/>
          <w:lang w:val="en-US" w:eastAsia="zh-CN"/>
        </w:rPr>
        <w:t>10.4 Governance Conclusion</w:t>
      </w:r>
    </w:p>
    <w:p>
      <w:pPr>
        <w:keepNext w:val="0"/>
        <w:pageBreakBefore w:val="0"/>
        <w:spacing w:after="140"/>
      </w:pPr>
      <w:r>
        <w:rPr>
          <w:rFonts w:ascii="Times New Roman" w:hAnsi="Times New Roman" w:eastAsia="Noto Sans CJK SC"/>
          <w:color w:val="000000"/>
          <w:sz w:val="22"/>
          <w:lang w:val="en-US" w:eastAsia="zh-CN"/>
        </w:rPr>
        <w:t>The Card Fee Model is governed through a framework of defined ownership, independent validation, performance monitoring, change management, and oversight review. Governance activities are intended to ensure that the model remains fit for its intended use in CCAR stress testing, capital planning, and related forecasting applications. Material issues, performance deterioration, and model changes are subject to escalation and review under the Bank's Model Risk Management framework to promote transparency, accountability, and effective management of model risk throughout the model lifecycle.</w:t>
      </w:r>
    </w:p>
    <w:p>
      <w:pPr>
        <w:pStyle w:val="Heading1"/>
        <w:keepNext/>
        <w:pageBreakBefore/>
      </w:pPr>
      <w:commentRangeStart w:id="9"/>
      <w:r>
        <w:t>11. Appendix Information</w:t>
      </w:r>
      <w:commentRangeEnd w:id="9"/>
      <w:r>
        <w:rPr>
          <w:rStyle w:val="CommentReference"/>
        </w:rPr>
        <w:commentReference w:id="9"/>
      </w:r>
    </w:p>
    <w:p>
      <w:pPr>
        <w:pStyle w:val="Heading2"/>
        <w:keepNext/>
      </w:pPr>
      <w:r>
        <w:t>11.1 Appendix A Variable Dictionary</w:t>
      </w:r>
    </w:p>
    <w:p>
      <w:pPr>
        <w:widowControl/>
      </w:pPr>
      <w:r>
        <w:rPr>
          <w:rFonts w:ascii="Times New Roman" w:hAnsi="Times New Roman" w:eastAsia="Noto Sans CJK SC"/>
          <w:color w:val="000000"/>
          <w:sz w:val="22"/>
          <w:lang w:val="en-US" w:eastAsia="zh-CN"/>
        </w:rPr>
        <w:t>The appendices retain the detailed evidence needed to understand and reproduce the Card Fee methods. The variable dictionary defines targets, selected explanatory terms and judgmental calibration measures, including source fields, transformations and timing. Growth horizons, subsequent lags and moving-average windows have different meanings and should be interpreted separately. Fee levels remain in $000, with the documented percentage conventions applied only to transformed variables.</w:t>
      </w:r>
    </w:p>
    <w:p>
      <w:pPr>
        <w:widowControl/>
      </w:pPr>
      <w:r>
        <w:rPr>
          <w:rFonts w:ascii="Times New Roman" w:hAnsi="Times New Roman" w:eastAsia="Noto Sans CJK SC"/>
          <w:color w:val="000000"/>
          <w:sz w:val="22"/>
          <w:lang w:val="en-US" w:eastAsia="zh-CN"/>
        </w:rPr>
        <w:t>The supporting materials include macroeconomic mappings, data and code inventories, feature-selection records, regression outputs and diagnostics. Together with the source-address register, they connect the narrative and exhibits to the relevant input or output files. Source-system lineage and accounting definitions remain separate evidence requirements.</w:t>
      </w:r>
    </w:p>
    <w:p>
      <w:pPr>
        <w:pStyle w:val="Caption"/>
        <w:keepNext/>
        <w:widowControl/>
        <w:spacing w:before="180" w:after="100"/>
      </w:pPr>
      <w:r>
        <w:rPr>
          <w:b w:val="0"/>
        </w:rPr>
        <w:t>Table 11.1 Selected variables and constructions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0" w:type="dxa"/>
          <w:right w:w="80" w:type="dxa"/>
        </w:tblCellMar>
      </w:tblPr>
      <w:tblGrid>
        <w:gridCol w:w="1440"/>
        <w:gridCol w:w="4392"/>
        <w:gridCol w:w="4104"/>
      </w:tblGrid>
      <w:tr>
        <w:trPr>
          <w:cantSplit/>
          <w:tblHeader/>
        </w:trPr>
        <w:tc>
          <w:tcPr>
            <w:tcW w:type="dxa" w:w="144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E6ECF0"/>
          </w:tcPr>
          <w:p>
            <w:pPr>
              <w:keepNext/>
              <w:widowControl/>
              <w:spacing w:after="40" w:line="247" w:lineRule="auto" w:before="0"/>
              <w:jc w:val="left"/>
            </w:pPr>
            <w:r>
              <w:rPr>
                <w:rFonts w:ascii="Times New Roman" w:hAnsi="Times New Roman"/>
                <w:b/>
                <w:color w:val="000000"/>
                <w:sz w:val="19"/>
              </w:rPr>
              <w:t>Label</w:t>
            </w:r>
          </w:p>
        </w:tc>
        <w:tc>
          <w:tcPr>
            <w:tcW w:type="dxa" w:w="439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E6ECF0"/>
          </w:tcPr>
          <w:p>
            <w:pPr>
              <w:keepNext/>
              <w:widowControl/>
              <w:spacing w:after="40" w:line="247" w:lineRule="auto" w:before="0"/>
              <w:jc w:val="center"/>
            </w:pPr>
            <w:r>
              <w:rPr>
                <w:rFonts w:ascii="Times New Roman" w:hAnsi="Times New Roman"/>
                <w:b/>
                <w:color w:val="000000"/>
                <w:sz w:val="19"/>
              </w:rPr>
              <w:t>Definition and units</w:t>
            </w:r>
          </w:p>
        </w:tc>
        <w:tc>
          <w:tcPr>
            <w:tcW w:type="dxa" w:w="410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E6ECF0"/>
          </w:tcPr>
          <w:p>
            <w:pPr>
              <w:keepNext/>
              <w:widowControl/>
              <w:spacing w:after="40" w:line="247" w:lineRule="auto" w:before="0"/>
              <w:jc w:val="center"/>
            </w:pPr>
            <w:r>
              <w:rPr>
                <w:rFonts w:ascii="Times New Roman" w:hAnsi="Times New Roman"/>
                <w:b/>
                <w:color w:val="000000"/>
                <w:sz w:val="19"/>
              </w:rPr>
              <w:t>Code field or source</w:t>
            </w:r>
          </w:p>
        </w:tc>
      </w:tr>
      <w:tr>
        <w:trPr>
          <w:cantSplit/>
        </w:trPr>
        <w:tc>
          <w:tcPr>
            <w:tcW w:type="dxa" w:w="144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F</w:t>
            </w:r>
          </w:p>
        </w:tc>
        <w:tc>
          <w:tcPr>
            <w:tcW w:type="dxa" w:w="439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Commercial Card plus Small Business monthly revenue; $000</w:t>
            </w:r>
          </w:p>
        </w:tc>
        <w:tc>
          <w:tcPr>
            <w:tcW w:type="dxa" w:w="410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commercial_​small_​business_​fee</w:t>
            </w:r>
          </w:p>
        </w:tc>
      </w:tr>
      <w:tr>
        <w:trPr>
          <w:cantSplit/>
        </w:trPr>
        <w:tc>
          <w:tcPr>
            <w:tcW w:type="dxa" w:w="144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C; L</w:t>
            </w:r>
          </w:p>
        </w:tc>
        <w:tc>
          <w:tcPr>
            <w:tcW w:type="dxa" w:w="439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CPI level; fitted long-run fee level</w:t>
            </w:r>
          </w:p>
        </w:tc>
        <w:tc>
          <w:tcPr>
            <w:tcW w:type="dxa" w:w="410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consumer_​price_​index; long_​run_​fitted_​fee</w:t>
            </w:r>
          </w:p>
        </w:tc>
      </w:tr>
      <w:tr>
        <w:trPr>
          <w:cantSplit/>
        </w:trPr>
        <w:tc>
          <w:tcPr>
            <w:tcW w:type="dxa" w:w="144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g</w:t>
            </w:r>
          </w:p>
        </w:tc>
        <w:tc>
          <w:tcPr>
            <w:tcW w:type="dxa" w:w="439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100 × (F /​ fee 12 months earlier − 1); percentage growth</w:t>
            </w:r>
          </w:p>
        </w:tc>
        <w:tc>
          <w:tcPr>
            <w:tcW w:type="dxa" w:w="410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commercial_​small_​business_​fee_​pct_​change_​12m</w:t>
            </w:r>
          </w:p>
        </w:tc>
      </w:tr>
      <w:tr>
        <w:trPr>
          <w:cantSplit/>
        </w:trPr>
        <w:tc>
          <w:tcPr>
            <w:tcW w:type="dxa" w:w="144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e</w:t>
            </w:r>
          </w:p>
        </w:tc>
        <w:tc>
          <w:tcPr>
            <w:tcW w:type="dxa" w:w="439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100 × (F − L) /​ L; percentage-scale deviation</w:t>
            </w:r>
          </w:p>
        </w:tc>
        <w:tc>
          <w:tcPr>
            <w:tcW w:type="dxa" w:w="410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ec_​scaled_​pct</w:t>
            </w:r>
          </w:p>
        </w:tc>
      </w:tr>
      <w:tr>
        <w:trPr>
          <w:cantSplit/>
        </w:trPr>
        <w:tc>
          <w:tcPr>
            <w:tcW w:type="dxa" w:w="144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a</w:t>
            </w:r>
          </w:p>
        </w:tc>
        <w:tc>
          <w:tcPr>
            <w:tcW w:type="dxa" w:w="439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e less contemporaneous trend overlay; lag 12 enters equation</w:t>
            </w:r>
          </w:p>
        </w:tc>
        <w:tc>
          <w:tcPr>
            <w:tcW w:type="dxa" w:w="410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ec_​scaled_​adjusted_​pct_​lag_​12m</w:t>
            </w:r>
          </w:p>
        </w:tc>
      </w:tr>
      <w:tr>
        <w:trPr>
          <w:cantSplit/>
        </w:trPr>
        <w:tc>
          <w:tcPr>
            <w:tcW w:type="dxa" w:w="144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q</w:t>
            </w:r>
          </w:p>
        </w:tc>
        <w:tc>
          <w:tcPr>
            <w:tcW w:type="dxa" w:w="439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Corporate Profits YoY percentage growth; lag 2 enters</w:t>
            </w:r>
          </w:p>
        </w:tc>
        <w:tc>
          <w:tcPr>
            <w:tcW w:type="dxa" w:w="410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corporate_​profits_​pct_​change_​12m_​lag_​2m</w:t>
            </w:r>
          </w:p>
        </w:tc>
      </w:tr>
      <w:tr>
        <w:trPr>
          <w:cantSplit/>
        </w:trPr>
        <w:tc>
          <w:tcPr>
            <w:tcW w:type="dxa" w:w="144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Y; z</w:t>
            </w:r>
          </w:p>
        </w:tc>
        <w:tc>
          <w:tcPr>
            <w:tcW w:type="dxa" w:w="439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Consumer fee level; 100 × monthly log difference</w:t>
            </w:r>
          </w:p>
        </w:tc>
        <w:tc>
          <w:tcPr>
            <w:tcW w:type="dxa" w:w="410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consumer_​card_​fee; consumer_​card_​fee_​log_​change_​1m_​pct</w:t>
            </w:r>
          </w:p>
        </w:tc>
      </w:tr>
      <w:tr>
        <w:trPr>
          <w:cantSplit/>
        </w:trPr>
        <w:tc>
          <w:tcPr>
            <w:tcW w:type="dxa" w:w="144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r</w:t>
            </w:r>
          </w:p>
        </w:tc>
        <w:tc>
          <w:tcPr>
            <w:tcW w:type="dxa" w:w="439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Current and prior two Retail Sales MoM percentage changes, arithmetic average</w:t>
            </w:r>
          </w:p>
        </w:tc>
        <w:tc>
          <w:tcPr>
            <w:tcW w:type="dxa" w:w="410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retail_​sales_​pct_​change_​1m_​ma_​3m</w:t>
            </w:r>
          </w:p>
        </w:tc>
      </w:tr>
      <w:tr>
        <w:trPr>
          <w:cantSplit/>
        </w:trPr>
        <w:tc>
          <w:tcPr>
            <w:tcW w:type="dxa" w:w="144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J; D</w:t>
            </w:r>
          </w:p>
        </w:tc>
        <w:tc>
          <w:tcPr>
            <w:tcW w:type="dxa" w:w="439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January and December indicators, 0 or 1</w:t>
            </w:r>
          </w:p>
        </w:tc>
        <w:tc>
          <w:tcPr>
            <w:tcW w:type="dxa" w:w="410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is_​january; is_​december</w:t>
            </w:r>
          </w:p>
        </w:tc>
      </w:tr>
      <w:tr>
        <w:trPr>
          <w:cantSplit/>
        </w:trPr>
        <w:tc>
          <w:tcPr>
            <w:tcW w:type="dxa" w:w="144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Debit adjusted fee</w:t>
            </w:r>
          </w:p>
        </w:tc>
        <w:tc>
          <w:tcPr>
            <w:tcW w:type="dxa" w:w="439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Raw fee except March and December 2012 adjacent-month replacements</w:t>
            </w:r>
          </w:p>
        </w:tc>
        <w:tc>
          <w:tcPr>
            <w:tcW w:type="dxa" w:w="410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debit_​card_​fee_​adjusted</w:t>
            </w:r>
          </w:p>
        </w:tc>
      </w:tr>
      <w:tr>
        <w:trPr>
          <w:cantSplit/>
        </w:trPr>
        <w:tc>
          <w:tcPr>
            <w:tcW w:type="dxa" w:w="144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Debit quarterly fee</w:t>
            </w:r>
          </w:p>
        </w:tc>
        <w:tc>
          <w:tcPr>
            <w:tcW w:type="dxa" w:w="439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Sum of 3 adjusted monthly observations; $000</w:t>
            </w:r>
          </w:p>
        </w:tc>
        <w:tc>
          <w:tcPr>
            <w:tcW w:type="dxa" w:w="410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debit_​card_​fee_​quarterly</w:t>
            </w:r>
          </w:p>
        </w:tc>
      </w:tr>
      <w:tr>
        <w:trPr>
          <w:cantSplit/>
        </w:trPr>
        <w:tc>
          <w:tcPr>
            <w:tcW w:type="dxa" w:w="144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Debit baseline</w:t>
            </w:r>
          </w:p>
        </w:tc>
        <w:tc>
          <w:tcPr>
            <w:tcW w:type="dxa" w:w="439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Mean of latest 8 complete actual quarters</w:t>
            </w:r>
          </w:p>
        </w:tc>
        <w:tc>
          <w:tcPr>
            <w:tcW w:type="dxa" w:w="410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baseline_​quarterly</w:t>
            </w:r>
          </w:p>
        </w:tc>
      </w:tr>
      <w:tr>
        <w:trPr>
          <w:cantSplit/>
        </w:trPr>
        <w:tc>
          <w:tcPr>
            <w:tcW w:type="dxa" w:w="144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Debit Stress floor</w:t>
            </w:r>
          </w:p>
        </w:tc>
        <w:tc>
          <w:tcPr>
            <w:tcW w:type="dxa" w:w="439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Post-2015 complete-quarter mean − 2 sample SD</w:t>
            </w:r>
          </w:p>
        </w:tc>
        <w:tc>
          <w:tcPr>
            <w:tcW w:type="dxa" w:w="410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stress_​floor_​quarterly</w:t>
            </w:r>
          </w:p>
        </w:tc>
      </w:tr>
    </w:tbl>
    <w:p>
      <w:pPr>
        <w:widowControl/>
        <w:spacing w:before="60" w:after="120"/>
      </w:pPr>
      <w:r>
        <w:rPr>
          <w:rFonts w:ascii="Times New Roman" w:hAnsi="Times New Roman"/>
          <w:color w:val="000000"/>
          <w:sz w:val="18"/>
        </w:rPr>
        <w:t>Data sources: commercial/​commercial_​card_​model.py; consumer/​consumer_​card_​model.py; debit/​debit_​card_​model.py.</w:t>
      </w:r>
    </w:p>
    <w:p>
      <w:pPr>
        <w:keepNext/>
        <w:keepLines/>
        <w:pageBreakBefore w:val="0"/>
        <w:spacing w:after="140"/>
      </w:pPr>
      <w:r>
        <w:rPr>
          <w:rFonts w:ascii="Times New Roman" w:hAnsi="Times New Roman" w:eastAsia="Noto Sans CJK SC"/>
          <w:color w:val="000000"/>
          <w:sz w:val="22"/>
          <w:lang w:val="en-US" w:eastAsia="zh-CN"/>
        </w:rPr>
        <w:t>The macro dictionary maps source-series codes to their business meanings and identifies the components that consider each series. It supports reconciliation between the component inventories and the supplied macroeconomic files.</w:t>
      </w:r>
    </w:p>
    <w:p>
      <w:pPr>
        <w:pStyle w:val="Caption"/>
        <w:keepNext/>
        <w:widowControl/>
        <w:spacing w:before="180" w:after="100"/>
      </w:pPr>
      <w:r>
        <w:rPr>
          <w:b w:val="0"/>
        </w:rPr>
        <w:t>Table 11.2 Macro source dictionary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0" w:type="dxa"/>
          <w:right w:w="80" w:type="dxa"/>
        </w:tblCellMar>
      </w:tblPr>
      <w:tblGrid>
        <w:gridCol w:w="4320"/>
        <w:gridCol w:w="3600"/>
        <w:gridCol w:w="2016"/>
      </w:tblGrid>
      <w:tr>
        <w:trPr>
          <w:cantSplit/>
          <w:tblHeader/>
        </w:trPr>
        <w:tc>
          <w:tcPr>
            <w:tcW w:type="dxa" w:w="432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E6ECF0"/>
          </w:tcPr>
          <w:p>
            <w:pPr>
              <w:keepNext/>
              <w:widowControl/>
              <w:spacing w:after="40" w:line="247" w:lineRule="auto" w:before="0"/>
              <w:jc w:val="left"/>
            </w:pPr>
            <w:r>
              <w:rPr>
                <w:rFonts w:ascii="Times New Roman" w:hAnsi="Times New Roman"/>
                <w:b/>
                <w:color w:val="000000"/>
                <w:sz w:val="19"/>
              </w:rPr>
              <w:t>Source code</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E6ECF0"/>
          </w:tcPr>
          <w:p>
            <w:pPr>
              <w:keepNext/>
              <w:widowControl/>
              <w:spacing w:after="40" w:line="247" w:lineRule="auto" w:before="0"/>
              <w:jc w:val="center"/>
            </w:pPr>
            <w:r>
              <w:rPr>
                <w:rFonts w:ascii="Times New Roman" w:hAnsi="Times New Roman"/>
                <w:b/>
                <w:color w:val="000000"/>
                <w:sz w:val="19"/>
              </w:rPr>
              <w:t>Business concept</w:t>
            </w:r>
          </w:p>
        </w:tc>
        <w:tc>
          <w:tcPr>
            <w:tcW w:type="dxa" w:w="201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E6ECF0"/>
          </w:tcPr>
          <w:p>
            <w:pPr>
              <w:keepNext/>
              <w:widowControl/>
              <w:spacing w:after="40" w:line="247" w:lineRule="auto" w:before="0"/>
              <w:jc w:val="center"/>
            </w:pPr>
            <w:r>
              <w:rPr>
                <w:rFonts w:ascii="Times New Roman" w:hAnsi="Times New Roman"/>
                <w:b/>
                <w:color w:val="000000"/>
                <w:sz w:val="19"/>
              </w:rPr>
              <w:t>Components</w:t>
            </w:r>
          </w:p>
        </w:tc>
      </w:tr>
      <w:tr>
        <w:trPr>
          <w:cantSplit/>
        </w:trPr>
        <w:tc>
          <w:tcPr>
            <w:tcW w:type="dxa" w:w="432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M_​FCPIU_​B.IUSA</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Consumer price index</w:t>
            </w:r>
          </w:p>
        </w:tc>
        <w:tc>
          <w:tcPr>
            <w:tcW w:type="dxa" w:w="201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Commercial, Consumer, Debit</w:t>
            </w:r>
          </w:p>
        </w:tc>
      </w:tr>
      <w:tr>
        <w:trPr>
          <w:cantSplit/>
        </w:trPr>
        <w:tc>
          <w:tcPr>
            <w:tcW w:type="dxa" w:w="432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M_​FZA_​B.IUSA</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Corporate Profits</w:t>
            </w:r>
          </w:p>
        </w:tc>
        <w:tc>
          <w:tcPr>
            <w:tcW w:type="dxa" w:w="201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Commercial, Debit</w:t>
            </w:r>
          </w:p>
        </w:tc>
      </w:tr>
      <w:tr>
        <w:trPr>
          <w:cantSplit/>
        </w:trPr>
        <w:tc>
          <w:tcPr>
            <w:tcW w:type="dxa" w:w="432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M_​FRT_​B.IUSA</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Retail Sales; supplied header includes unit annotation</w:t>
            </w:r>
          </w:p>
        </w:tc>
        <w:tc>
          <w:tcPr>
            <w:tcW w:type="dxa" w:w="201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Consumer, Debit</w:t>
            </w:r>
          </w:p>
        </w:tc>
      </w:tr>
      <w:tr>
        <w:trPr>
          <w:cantSplit/>
        </w:trPr>
        <w:tc>
          <w:tcPr>
            <w:tcW w:type="dxa" w:w="432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M_​FLBR_​B.IUSA</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Unemployment rate; percent</w:t>
            </w:r>
          </w:p>
        </w:tc>
        <w:tc>
          <w:tcPr>
            <w:tcW w:type="dxa" w:w="201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All</w:t>
            </w:r>
          </w:p>
        </w:tc>
      </w:tr>
      <w:tr>
        <w:trPr>
          <w:cantSplit/>
        </w:trPr>
        <w:tc>
          <w:tcPr>
            <w:tcW w:type="dxa" w:w="432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M_​FYPDPIQ_​B.IUSA</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Disposable personal income</w:t>
            </w:r>
          </w:p>
        </w:tc>
        <w:tc>
          <w:tcPr>
            <w:tcW w:type="dxa" w:w="201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All</w:t>
            </w:r>
          </w:p>
        </w:tc>
      </w:tr>
      <w:tr>
        <w:trPr>
          <w:cantSplit/>
        </w:trPr>
        <w:tc>
          <w:tcPr>
            <w:tcW w:type="dxa" w:w="432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M_​FCBC_​B.IUSA</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Consumer confidence; supplied header includes annotation</w:t>
            </w:r>
          </w:p>
        </w:tc>
        <w:tc>
          <w:tcPr>
            <w:tcW w:type="dxa" w:w="201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Consumer, Debit</w:t>
            </w:r>
          </w:p>
        </w:tc>
      </w:tr>
      <w:tr>
        <w:trPr>
          <w:cantSplit/>
        </w:trPr>
        <w:tc>
          <w:tcPr>
            <w:tcW w:type="dxa" w:w="432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M_​FSBINQ_​B.IUSA</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Small-business optimism</w:t>
            </w:r>
          </w:p>
        </w:tc>
        <w:tc>
          <w:tcPr>
            <w:tcW w:type="dxa" w:w="201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Commercial, Debit</w:t>
            </w:r>
          </w:p>
        </w:tc>
      </w:tr>
      <w:tr>
        <w:trPr>
          <w:cantSplit/>
        </w:trPr>
        <w:tc>
          <w:tcPr>
            <w:tcW w:type="dxa" w:w="432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M_​FGDP42Q_​B.IUSA</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Wholesale-trade GDP</w:t>
            </w:r>
          </w:p>
        </w:tc>
        <w:tc>
          <w:tcPr>
            <w:tcW w:type="dxa" w:w="201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Commercial, Debit</w:t>
            </w:r>
          </w:p>
        </w:tc>
      </w:tr>
      <w:tr>
        <w:trPr>
          <w:cantSplit/>
        </w:trPr>
        <w:tc>
          <w:tcPr>
            <w:tcW w:type="dxa" w:w="432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M_​FIP_​B.IUSA</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Industrial production</w:t>
            </w:r>
          </w:p>
        </w:tc>
        <w:tc>
          <w:tcPr>
            <w:tcW w:type="dxa" w:w="201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Commercial, Debit</w:t>
            </w:r>
          </w:p>
        </w:tc>
      </w:tr>
      <w:tr>
        <w:trPr>
          <w:cantSplit/>
        </w:trPr>
        <w:tc>
          <w:tcPr>
            <w:tcW w:type="dxa" w:w="432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M_​FDJMIIUSDD_​WCFTDQ_​B.IUSA</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Total-market equity index</w:t>
            </w:r>
          </w:p>
        </w:tc>
        <w:tc>
          <w:tcPr>
            <w:tcW w:type="dxa" w:w="201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Commercial, Debit</w:t>
            </w:r>
          </w:p>
        </w:tc>
      </w:tr>
      <w:tr>
        <w:trPr>
          <w:cantSplit/>
        </w:trPr>
        <w:tc>
          <w:tcPr>
            <w:tcW w:type="dxa" w:w="432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M_​FRT4451_​B.IUSA</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Grocery sales</w:t>
            </w:r>
          </w:p>
        </w:tc>
        <w:tc>
          <w:tcPr>
            <w:tcW w:type="dxa" w:w="201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Debit</w:t>
            </w:r>
          </w:p>
        </w:tc>
      </w:tr>
      <w:tr>
        <w:trPr>
          <w:cantSplit/>
        </w:trPr>
        <w:tc>
          <w:tcPr>
            <w:tcW w:type="dxa" w:w="432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M_​FRT447_​B.IUSA</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Gasoline sales</w:t>
            </w:r>
          </w:p>
        </w:tc>
        <w:tc>
          <w:tcPr>
            <w:tcW w:type="dxa" w:w="201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Debit</w:t>
            </w:r>
          </w:p>
        </w:tc>
      </w:tr>
      <w:tr>
        <w:trPr>
          <w:cantSplit/>
        </w:trPr>
        <w:tc>
          <w:tcPr>
            <w:tcW w:type="dxa" w:w="432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M_​FRT454_​B.IUSA</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Nonstore sales</w:t>
            </w:r>
          </w:p>
        </w:tc>
        <w:tc>
          <w:tcPr>
            <w:tcW w:type="dxa" w:w="201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Debit</w:t>
            </w:r>
          </w:p>
        </w:tc>
      </w:tr>
      <w:tr>
        <w:trPr>
          <w:cantSplit/>
        </w:trPr>
        <w:tc>
          <w:tcPr>
            <w:tcW w:type="dxa" w:w="432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M_​FETP_​B.IUSA</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Private employment</w:t>
            </w:r>
          </w:p>
        </w:tc>
        <w:tc>
          <w:tcPr>
            <w:tcW w:type="dxa" w:w="201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Debit</w:t>
            </w:r>
          </w:p>
        </w:tc>
      </w:tr>
    </w:tbl>
    <w:p>
      <w:pPr>
        <w:widowControl/>
        <w:spacing w:before="60" w:after="120"/>
      </w:pPr>
      <w:r>
        <w:rPr>
          <w:rFonts w:ascii="Times New Roman" w:hAnsi="Times New Roman"/>
          <w:color w:val="000000"/>
          <w:sz w:val="18"/>
        </w:rPr>
        <w:t>Data sources: commercial/​data/​macro_​history.csv; consumer/​data/​macro_​history.csv; debit/​data/​macro_​history.csv.</w:t>
      </w:r>
    </w:p>
    <w:p>
      <w:pPr>
        <w:widowControl/>
        <w:spacing w:after="140"/>
      </w:pPr>
      <w:r>
        <w:rPr>
          <w:b w:val="0"/>
          <w:i/>
          <w:sz w:val="18"/>
        </w:rPr>
        <w:t>Source: MACRO_COLUMNS mappings in each component script. CPI and equity/confidence/activity indices retain their index units; revenue and other macro level units require the source metadata where not explicitly labeled. Exact annotated CSV headers are preserved in inputs.</w:t>
      </w:r>
    </w:p>
    <w:p>
      <w:pPr>
        <w:pStyle w:val="Heading2"/>
        <w:keepNext/>
      </w:pPr>
      <w:r>
        <w:t>11.2 Appendix B Data and Code Inventory</w:t>
      </w:r>
    </w:p>
    <w:p>
      <w:pPr>
        <w:widowControl/>
      </w:pPr>
      <w:r>
        <w:rPr>
          <w:rFonts w:ascii="Times New Roman" w:hAnsi="Times New Roman" w:eastAsia="Noto Sans CJK SC"/>
          <w:color w:val="000000"/>
          <w:sz w:val="22"/>
          <w:lang w:val="en-US" w:eastAsia="zh-CN"/>
        </w:rPr>
        <w:t>The inventory identifies the Commercial Full Recursive OOT release, the Consumer Student-t forward-selection release and the standardized Debit package. Tables and figures use the retained execution outputs of those releases. The Commercial package retains its scenario and sensitivity functionality, and the Consumer package retains its scenario, rolling and sensitivity outputs. Exact locations and code hashes support reproduction of the development evidence. Approved document-management locations should replace local technical references when the materials are formally released.</w:t>
      </w:r>
    </w:p>
    <w:p>
      <w:pPr>
        <w:widowControl/>
      </w:pPr>
      <w:r>
        <w:rPr>
          <w:rFonts w:ascii="Times New Roman" w:hAnsi="Times New Roman" w:eastAsia="Noto Sans CJK SC"/>
          <w:color w:val="000000"/>
          <w:sz w:val="22"/>
          <w:lang w:val="en-US" w:eastAsia="zh-CN"/>
        </w:rPr>
        <w:t>Commercial: outputs/​commercial_​card_​full_​recursive_​20261013/​commercial_​card_​model</w:t>
      </w:r>
    </w:p>
    <w:p>
      <w:pPr>
        <w:widowControl/>
        <w:spacing w:after="140"/>
      </w:pPr>
      <w:r>
        <w:rPr>
          <w:rFonts w:ascii="Times New Roman" w:hAnsi="Times New Roman" w:eastAsia="Noto Sans CJK SC"/>
          <w:color w:val="000000"/>
          <w:sz w:val="18"/>
          <w:lang w:val="en-US" w:eastAsia="zh-CN"/>
        </w:rPr>
        <w:t>Code SHA-256: dbf83e1c2681f2207420b9342da46d338979cfd2a8e302488591cad905a34cc1</w:t>
      </w:r>
    </w:p>
    <w:p>
      <w:pPr>
        <w:widowControl/>
      </w:pPr>
      <w:r>
        <w:rPr>
          <w:rFonts w:ascii="Times New Roman" w:hAnsi="Times New Roman" w:eastAsia="Noto Sans CJK SC"/>
          <w:color w:val="000000"/>
          <w:sz w:val="22"/>
          <w:lang w:val="en-US" w:eastAsia="zh-CN"/>
        </w:rPr>
        <w:t>Consumer: .consumer_​student_​t_​build_​20261013/​consumer_​card_​model</w:t>
      </w:r>
    </w:p>
    <w:p>
      <w:pPr>
        <w:widowControl/>
        <w:spacing w:after="140"/>
      </w:pPr>
      <w:r>
        <w:rPr>
          <w:rFonts w:ascii="Times New Roman" w:hAnsi="Times New Roman" w:eastAsia="Noto Sans CJK SC"/>
          <w:color w:val="000000"/>
          <w:sz w:val="18"/>
          <w:lang w:val="en-US" w:eastAsia="zh-CN"/>
        </w:rPr>
        <w:t>Code SHA-256: 7b3187c992a99909be2eb5006d0e79de207089e5cf8b7a8dde08ac9d2a0c5b65</w:t>
      </w:r>
    </w:p>
    <w:p>
      <w:pPr>
        <w:widowControl/>
      </w:pPr>
      <w:r>
        <w:rPr>
          <w:b w:val="0"/>
        </w:rPr>
        <w:t>Debit: outputs/cardfee_standardized_20261001/debit_card_model</w:t>
      </w:r>
    </w:p>
    <w:p>
      <w:pPr>
        <w:widowControl/>
        <w:spacing w:after="140"/>
      </w:pPr>
      <w:r>
        <w:rPr>
          <w:b w:val="0"/>
          <w:i/>
          <w:sz w:val="18"/>
        </w:rPr>
        <w:t>Code SHA-256: 9af38af4202e8e87fbb304202e423b2a74cf7ebbb8db748c4682ca73c22faa3b</w:t>
      </w:r>
    </w:p>
    <w:p>
      <w:pPr>
        <w:keepNext/>
        <w:keepLines/>
        <w:pageBreakBefore w:val="0"/>
        <w:spacing w:after="140"/>
      </w:pPr>
      <w:r>
        <w:rPr>
          <w:rFonts w:ascii="Times New Roman" w:hAnsi="Times New Roman" w:eastAsia="Noto Sans CJK SC"/>
          <w:color w:val="000000"/>
          <w:sz w:val="22"/>
          <w:lang w:val="en-US" w:eastAsia="zh-CN"/>
        </w:rPr>
        <w:t>The evidence inventory links each input or output file group to its role in development, testing or forecasting. It provides a practical file-level guide for reproducing the results and locating supporting records.</w:t>
      </w:r>
    </w:p>
    <w:p>
      <w:pPr>
        <w:pStyle w:val="Caption"/>
        <w:keepNext/>
        <w:widowControl/>
        <w:spacing w:before="180" w:after="100"/>
      </w:pPr>
      <w:r>
        <w:rPr>
          <w:b w:val="0"/>
        </w:rPr>
        <w:t>Table 11.3 Evidence files and purpose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0" w:type="dxa"/>
          <w:right w:w="80" w:type="dxa"/>
        </w:tblCellMar>
      </w:tblPr>
      <w:tblGrid>
        <w:gridCol w:w="5112"/>
        <w:gridCol w:w="4824"/>
      </w:tblGrid>
      <w:tr>
        <w:trPr>
          <w:cantSplit/>
          <w:tblHeader/>
        </w:trPr>
        <w:tc>
          <w:tcPr>
            <w:tcW w:type="dxa" w:w="51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E6ECF0"/>
          </w:tcPr>
          <w:p>
            <w:pPr>
              <w:keepNext/>
              <w:widowControl/>
              <w:spacing w:after="40" w:line="247" w:lineRule="auto" w:before="0"/>
              <w:jc w:val="left"/>
            </w:pPr>
            <w:r>
              <w:rPr>
                <w:rFonts w:ascii="Times New Roman" w:hAnsi="Times New Roman"/>
                <w:b/>
                <w:color w:val="000000"/>
                <w:sz w:val="19"/>
              </w:rPr>
              <w:t>Artifact</w:t>
            </w:r>
          </w:p>
        </w:tc>
        <w:tc>
          <w:tcPr>
            <w:tcW w:type="dxa" w:w="482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E6ECF0"/>
          </w:tcPr>
          <w:p>
            <w:pPr>
              <w:keepNext/>
              <w:widowControl/>
              <w:spacing w:after="40" w:line="247" w:lineRule="auto" w:before="0"/>
              <w:jc w:val="center"/>
            </w:pPr>
            <w:r>
              <w:rPr>
                <w:rFonts w:ascii="Times New Roman" w:hAnsi="Times New Roman"/>
                <w:b/>
                <w:color w:val="000000"/>
                <w:sz w:val="19"/>
              </w:rPr>
              <w:t>Purpose</w:t>
            </w:r>
          </w:p>
        </w:tc>
      </w:tr>
      <w:tr>
        <w:trPr>
          <w:cantSplit/>
        </w:trPr>
        <w:tc>
          <w:tcPr>
            <w:tcW w:type="dxa" w:w="51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fee_​history.csv; macro_​history.csv</w:t>
            </w:r>
          </w:p>
        </w:tc>
        <w:tc>
          <w:tcPr>
            <w:tcW w:type="dxa" w:w="482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Raw monthly historical inputs per component</w:t>
            </w:r>
          </w:p>
        </w:tc>
      </w:tr>
      <w:tr>
        <w:trPr>
          <w:cantSplit/>
        </w:trPr>
        <w:tc>
          <w:tcPr>
            <w:tcW w:type="dxa" w:w="51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macro_​baseline.csv; macro_​s4.csv</w:t>
            </w:r>
          </w:p>
        </w:tc>
        <w:tc>
          <w:tcPr>
            <w:tcW w:type="dxa" w:w="482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Future paths for Commercial and Consumer only</w:t>
            </w:r>
          </w:p>
        </w:tc>
      </w:tr>
      <w:tr>
        <w:trPr>
          <w:cantSplit/>
        </w:trPr>
        <w:tc>
          <w:tcPr>
            <w:tcW w:type="dxa" w:w="51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historical_​data_​and_​features.csv</w:t>
            </w:r>
          </w:p>
        </w:tc>
        <w:tc>
          <w:tcPr>
            <w:tcW w:type="dxa" w:w="482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Derived historical features for quantitative components</w:t>
            </w:r>
          </w:p>
        </w:tc>
      </w:tr>
      <w:tr>
        <w:trPr>
          <w:cantSplit/>
        </w:trPr>
        <w:tc>
          <w:tcPr>
            <w:tcW w:type="dxa" w:w="51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long_​run_​trials.csv; short_​run_​trials.csv; macro_​screening.csv</w:t>
            </w:r>
          </w:p>
        </w:tc>
        <w:tc>
          <w:tcPr>
            <w:tcW w:type="dxa" w:w="482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Candidate and selection records, as applicable</w:t>
            </w:r>
          </w:p>
        </w:tc>
      </w:tr>
      <w:tr>
        <w:trPr>
          <w:cantSplit/>
        </w:trPr>
        <w:tc>
          <w:tcPr>
            <w:tcW w:type="dxa" w:w="51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short_​run_​coefficients.csv; coefficients.csv</w:t>
            </w:r>
          </w:p>
        </w:tc>
        <w:tc>
          <w:tcPr>
            <w:tcW w:type="dxa" w:w="482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Final estimates and inference</w:t>
            </w:r>
          </w:p>
        </w:tc>
      </w:tr>
      <w:tr>
        <w:trPr>
          <w:cantSplit/>
        </w:trPr>
        <w:tc>
          <w:tcPr>
            <w:tcW w:type="dxa" w:w="51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eastAsia="Noto Sans CJK SC"/>
                <w:color w:val="000000"/>
                <w:sz w:val="19"/>
                <w:lang w:val="en-US" w:eastAsia="zh-CN"/>
              </w:rPr>
              <w:t>forecast_​accuracy.csv; static_​oot.csv; fully_​recursive_​oot.csv or recursive_​oot.csv</w:t>
            </w:r>
          </w:p>
        </w:tc>
        <w:tc>
          <w:tcPr>
            <w:tcW w:type="dxa" w:w="482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Historical test metrics and month-level predictions</w:t>
            </w:r>
          </w:p>
        </w:tc>
      </w:tr>
      <w:tr>
        <w:trPr>
          <w:cantSplit/>
        </w:trPr>
        <w:tc>
          <w:tcPr>
            <w:tcW w:type="dxa" w:w="51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forecast_​monthly.csv; forecast_​quarterly_​summary.csv</w:t>
            </w:r>
          </w:p>
        </w:tc>
        <w:tc>
          <w:tcPr>
            <w:tcW w:type="dxa" w:w="482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Baseline/​S4 monthly predictions and calendar-quarter sums</w:t>
            </w:r>
          </w:p>
        </w:tc>
      </w:tr>
      <w:tr>
        <w:trPr>
          <w:cantSplit/>
        </w:trPr>
        <w:tc>
          <w:tcPr>
            <w:tcW w:type="dxa" w:w="51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stress_​summary.csv; sensitivity_​summary.csv</w:t>
            </w:r>
          </w:p>
        </w:tc>
        <w:tc>
          <w:tcPr>
            <w:tcW w:type="dxa" w:w="482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Commercial and Consumer sensitivity impacts</w:t>
            </w:r>
          </w:p>
        </w:tc>
      </w:tr>
      <w:tr>
        <w:trPr>
          <w:cantSplit/>
        </w:trPr>
        <w:tc>
          <w:tcPr>
            <w:tcW w:type="dxa" w:w="51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regression_​summary.csv; regression_​candidates.csv</w:t>
            </w:r>
          </w:p>
        </w:tc>
        <w:tc>
          <w:tcPr>
            <w:tcW w:type="dxa" w:w="482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Debit four-route screening detail</w:t>
            </w:r>
          </w:p>
        </w:tc>
      </w:tr>
      <w:tr>
        <w:trPr>
          <w:cantSplit/>
        </w:trPr>
        <w:tc>
          <w:tcPr>
            <w:tcW w:type="dxa" w:w="51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monthly_​revenue.csv; quarterly_​revenue.csv; qualitative_​scenarios.csv</w:t>
            </w:r>
          </w:p>
        </w:tc>
        <w:tc>
          <w:tcPr>
            <w:tcW w:type="dxa" w:w="482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Debit treatment history and calibration</w:t>
            </w:r>
          </w:p>
        </w:tc>
      </w:tr>
    </w:tbl>
    <w:p>
      <w:pPr>
        <w:pStyle w:val="Heading2"/>
        <w:keepNext/>
      </w:pPr>
      <w:r>
        <w:t>11.3 Appendix C Feature Selection Evidence</w:t>
      </w:r>
    </w:p>
    <w:p>
      <w:pPr>
        <w:widowControl/>
      </w:pPr>
      <w:r>
        <w:rPr>
          <w:rFonts w:ascii="Times New Roman" w:hAnsi="Times New Roman" w:eastAsia="Noto Sans CJK SC"/>
          <w:color w:val="000000"/>
          <w:sz w:val="22"/>
          <w:lang w:val="en-US" w:eastAsia="zh-CN"/>
        </w:rPr>
        <w:t>Feature-selection records document the progression from candidate variables to the selected method. Commercial retains long-run trials, transformed-family stationarity screens, partial correlations and short-run additions. Consumer retains macro candidates, Student-t p-values, diagnostic gates, eligibility and selection status; its Student-t p-value determines significance eligibility and the primary ranking of eligible candidates. Debit retains diagnostics for each regression route. Candidate- and round-level records explain the decision process more fully than a final-variable list alone.</w:t>
      </w:r>
    </w:p>
    <w:p>
      <w:pPr>
        <w:widowControl/>
      </w:pPr>
      <w:r>
        <w:rPr>
          <w:rFonts w:ascii="Times New Roman" w:hAnsi="Times New Roman" w:eastAsia="Noto Sans CJK SC"/>
          <w:color w:val="000000"/>
          <w:sz w:val="22"/>
          <w:lang w:val="en-US" w:eastAsia="zh-CN"/>
        </w:rPr>
        <w:t>The body summarizes the principal selection evidence, while the inventory identifies the complete supporting files. The original input vintage and software environment should be retained with those outputs. Business challenge notes and approval of the specification provide complementary evidence and remain to be completed.</w:t>
      </w:r>
    </w:p>
    <w:p>
      <w:pPr>
        <w:pStyle w:val="Caption"/>
        <w:keepNext/>
        <w:widowControl/>
        <w:spacing w:before="180" w:after="100"/>
      </w:pPr>
      <w:r>
        <w:rPr>
          <w:b w:val="0"/>
        </w:rPr>
        <w:t>Table 11.4 Selection criteria by component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0" w:type="dxa"/>
          <w:right w:w="80" w:type="dxa"/>
        </w:tblCellMar>
      </w:tblPr>
      <w:tblGrid>
        <w:gridCol w:w="2160"/>
        <w:gridCol w:w="5040"/>
        <w:gridCol w:w="2736"/>
      </w:tblGrid>
      <w:tr>
        <w:trPr>
          <w:cantSplit/>
          <w:tblHeader/>
        </w:trPr>
        <w:tc>
          <w:tcPr>
            <w:tcW w:type="dxa" w:w="216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E6ECF0"/>
          </w:tcPr>
          <w:p>
            <w:pPr>
              <w:keepNext/>
              <w:widowControl/>
              <w:spacing w:after="40" w:line="247" w:lineRule="auto" w:before="0"/>
              <w:jc w:val="left"/>
            </w:pPr>
            <w:r>
              <w:rPr>
                <w:rFonts w:ascii="Times New Roman" w:hAnsi="Times New Roman"/>
                <w:b/>
                <w:color w:val="000000"/>
                <w:sz w:val="19"/>
              </w:rPr>
              <w:t>Stage</w:t>
            </w:r>
          </w:p>
        </w:tc>
        <w:tc>
          <w:tcPr>
            <w:tcW w:type="dxa" w:w="504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E6ECF0"/>
          </w:tcPr>
          <w:p>
            <w:pPr>
              <w:keepNext/>
              <w:widowControl/>
              <w:spacing w:after="40" w:line="247" w:lineRule="auto" w:before="0"/>
              <w:jc w:val="left"/>
            </w:pPr>
            <w:r>
              <w:rPr>
                <w:rFonts w:ascii="Times New Roman" w:hAnsi="Times New Roman"/>
                <w:b/>
                <w:color w:val="000000"/>
                <w:sz w:val="19"/>
              </w:rPr>
              <w:t>Required numerical criteria</w:t>
            </w:r>
          </w:p>
        </w:tc>
        <w:tc>
          <w:tcPr>
            <w:tcW w:type="dxa" w:w="273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E6ECF0"/>
          </w:tcPr>
          <w:p>
            <w:pPr>
              <w:keepNext/>
              <w:widowControl/>
              <w:spacing w:after="40" w:line="247" w:lineRule="auto" w:before="0"/>
              <w:jc w:val="center"/>
            </w:pPr>
            <w:r>
              <w:rPr>
                <w:rFonts w:ascii="Times New Roman" w:hAnsi="Times New Roman"/>
                <w:b/>
                <w:color w:val="000000"/>
                <w:sz w:val="19"/>
              </w:rPr>
              <w:t>Information used</w:t>
            </w:r>
          </w:p>
        </w:tc>
      </w:tr>
      <w:tr>
        <w:trPr>
          <w:cantSplit/>
        </w:trPr>
        <w:tc>
          <w:tcPr>
            <w:tcW w:type="dxa" w:w="216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Commercial long run</w:t>
            </w:r>
          </w:p>
        </w:tc>
        <w:tc>
          <w:tcPr>
            <w:tcW w:type="dxa" w:w="504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Added p &lt; .05; VIF &lt; 10; residual ADF p &lt; .05</w:t>
            </w:r>
          </w:p>
        </w:tc>
        <w:tc>
          <w:tcPr>
            <w:tcW w:type="dxa" w:w="273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Development</w:t>
            </w:r>
          </w:p>
        </w:tc>
      </w:tr>
      <w:tr>
        <w:trPr>
          <w:cantSplit/>
        </w:trPr>
        <w:tc>
          <w:tcPr>
            <w:tcW w:type="dxa" w:w="216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Commercial macro pre-screen</w:t>
            </w:r>
          </w:p>
        </w:tc>
        <w:tc>
          <w:tcPr>
            <w:tcW w:type="dxa" w:w="504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ADF p &lt; .05 OR KPSS p &gt; .05; partial-correlation p &lt; .20 in both windows; same sign</w:t>
            </w:r>
          </w:p>
        </w:tc>
        <w:tc>
          <w:tcPr>
            <w:tcW w:type="dxa" w:w="273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Development plus OOT</w:t>
            </w:r>
          </w:p>
        </w:tc>
      </w:tr>
      <w:tr>
        <w:trPr>
          <w:cantSplit/>
        </w:trPr>
        <w:tc>
          <w:tcPr>
            <w:tcW w:type="dxa" w:w="216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Commercial short run</w:t>
            </w:r>
          </w:p>
        </w:tc>
        <w:tc>
          <w:tcPr>
            <w:tcW w:type="dxa" w:w="504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EC lag 12 required; added p &lt; .05; VIF &lt; 10</w:t>
            </w:r>
          </w:p>
        </w:tc>
        <w:tc>
          <w:tcPr>
            <w:tcW w:type="dxa" w:w="273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Development coefficients; OOT-informed candidate pool</w:t>
            </w:r>
          </w:p>
        </w:tc>
      </w:tr>
      <w:tr>
        <w:trPr>
          <w:cantSplit/>
        </w:trPr>
        <w:tc>
          <w:tcPr>
            <w:tcW w:type="dxa" w:w="216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Consumer</w:t>
            </w:r>
          </w:p>
        </w:tc>
        <w:tc>
          <w:tcPr>
            <w:tcW w:type="dxa" w:w="504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eastAsia="Noto Sans CJK SC"/>
                <w:color w:val="000000"/>
                <w:sz w:val="19"/>
                <w:lang w:val="en-US" w:eastAsia="zh-CN"/>
              </w:rPr>
              <w:t>Student-t p &lt; .05; VIF &lt; 10; DW 1.5–2.5; JB p &gt; .05</w:t>
            </w:r>
          </w:p>
        </w:tc>
        <w:tc>
          <w:tcPr>
            <w:tcW w:type="dxa" w:w="273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Development; at most one term per family</w:t>
            </w:r>
          </w:p>
        </w:tc>
      </w:tr>
      <w:tr>
        <w:trPr>
          <w:cantSplit/>
        </w:trPr>
        <w:tc>
          <w:tcPr>
            <w:tcW w:type="dxa" w:w="216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Debit all four routes</w:t>
            </w:r>
          </w:p>
        </w:tc>
        <w:tc>
          <w:tcPr>
            <w:tcW w:type="dxa" w:w="504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Student-t p &lt; .05; VIF &lt; 10; DW 1.5–2.5; JB p &gt; .05</w:t>
            </w:r>
          </w:p>
        </w:tc>
        <w:tc>
          <w:tcPr>
            <w:tcW w:type="dxa" w:w="273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Design-specific development samples</w:t>
            </w:r>
          </w:p>
        </w:tc>
      </w:tr>
    </w:tbl>
    <w:p>
      <w:pPr>
        <w:widowControl/>
        <w:spacing w:before="60" w:after="120"/>
      </w:pPr>
      <w:r>
        <w:rPr>
          <w:rFonts w:ascii="Times New Roman" w:hAnsi="Times New Roman"/>
          <w:color w:val="000000"/>
          <w:sz w:val="18"/>
        </w:rPr>
        <w:t>Data sources: commercial/​commercial_​card_​model.py; consumer/​consumer_​card_​model.py; debit/​debit_​card_​model.py.</w:t>
      </w:r>
    </w:p>
    <w:p>
      <w:pPr>
        <w:pStyle w:val="Heading2"/>
        <w:keepNext/>
      </w:pPr>
      <w:r>
        <w:t>11.4 Appendix D Regression Outputs</w:t>
      </w:r>
    </w:p>
    <w:p>
      <w:pPr>
        <w:widowControl/>
      </w:pPr>
      <w:r>
        <w:rPr>
          <w:rFonts w:ascii="Times New Roman" w:hAnsi="Times New Roman" w:eastAsia="Noto Sans CJK SC"/>
          <w:color w:val="000000"/>
          <w:sz w:val="22"/>
          <w:lang w:val="en-US" w:eastAsia="zh-CN"/>
        </w:rPr>
        <w:t>Detailed regression output supports the coefficient and performance discussion in the body. Tables 3.4–3.6 contain estimates, standard errors, t-statistics and Student-t p-values. Tables 11.5 and 11.6 report Commercial’s long-run and short-run estimates separately. Consumer development and production estimates remain separately identified because they use different estimation periods. No final Debit regression is reported because none was accepted.</w:t>
      </w:r>
    </w:p>
    <w:p>
      <w:pPr>
        <w:pStyle w:val="Caption"/>
        <w:keepNext/>
        <w:widowControl/>
        <w:spacing w:before="180" w:after="100"/>
      </w:pPr>
      <w:r>
        <w:rPr>
          <w:b w:val="0"/>
        </w:rPr>
        <w:t>Table 11.5 Commercial long-run coefficients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0" w:type="dxa"/>
          <w:right w:w="80" w:type="dxa"/>
        </w:tblCellMar>
      </w:tblPr>
      <w:tblGrid>
        <w:gridCol w:w="2952"/>
        <w:gridCol w:w="1224"/>
        <w:gridCol w:w="1224"/>
        <w:gridCol w:w="2160"/>
        <w:gridCol w:w="2160"/>
      </w:tblGrid>
      <w:tr>
        <w:trPr>
          <w:cantSplit/>
          <w:tblHeader/>
        </w:trPr>
        <w:tc>
          <w:tcPr>
            <w:tcW w:type="dxa" w:w="295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E6ECF0"/>
          </w:tcPr>
          <w:p>
            <w:pPr>
              <w:keepNext/>
              <w:widowControl/>
              <w:spacing w:after="40" w:line="247" w:lineRule="auto" w:before="0"/>
              <w:jc w:val="left"/>
            </w:pPr>
            <w:r>
              <w:rPr>
                <w:rFonts w:ascii="Times New Roman" w:hAnsi="Times New Roman"/>
                <w:b/>
                <w:color w:val="000000"/>
                <w:sz w:val="19"/>
              </w:rPr>
              <w:t>Term</w:t>
            </w:r>
          </w:p>
        </w:tc>
        <w:tc>
          <w:tcPr>
            <w:tcW w:type="dxa" w:w="122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E6ECF0"/>
          </w:tcPr>
          <w:p>
            <w:pPr>
              <w:keepNext/>
              <w:widowControl/>
              <w:spacing w:after="40" w:line="247" w:lineRule="auto" w:before="0"/>
              <w:jc w:val="center"/>
            </w:pPr>
            <w:r>
              <w:rPr>
                <w:rFonts w:ascii="Times New Roman" w:hAnsi="Times New Roman"/>
                <w:b/>
                <w:color w:val="000000"/>
                <w:sz w:val="19"/>
              </w:rPr>
              <w:t>Estimate</w:t>
            </w:r>
          </w:p>
        </w:tc>
        <w:tc>
          <w:tcPr>
            <w:tcW w:type="dxa" w:w="122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E6ECF0"/>
          </w:tcPr>
          <w:p>
            <w:pPr>
              <w:keepNext/>
              <w:widowControl/>
              <w:spacing w:after="40" w:line="247" w:lineRule="auto" w:before="0"/>
              <w:jc w:val="center"/>
            </w:pPr>
            <w:r>
              <w:rPr>
                <w:rFonts w:ascii="Times New Roman" w:hAnsi="Times New Roman"/>
                <w:b/>
                <w:color w:val="000000"/>
                <w:sz w:val="19"/>
              </w:rPr>
              <w:t>Std error</w:t>
            </w:r>
          </w:p>
        </w:tc>
        <w:tc>
          <w:tcPr>
            <w:tcW w:type="dxa" w:w="216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E6ECF0"/>
          </w:tcPr>
          <w:p>
            <w:pPr>
              <w:keepNext/>
              <w:widowControl/>
              <w:spacing w:after="40" w:line="247" w:lineRule="auto" w:before="0"/>
              <w:jc w:val="center"/>
            </w:pPr>
            <w:r>
              <w:rPr>
                <w:rFonts w:ascii="Times New Roman" w:hAnsi="Times New Roman"/>
                <w:b/>
                <w:color w:val="000000"/>
                <w:sz w:val="19"/>
              </w:rPr>
              <w:t>t statistic</w:t>
            </w:r>
          </w:p>
        </w:tc>
        <w:tc>
          <w:tcPr>
            <w:tcW w:type="dxa" w:w="216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E6ECF0"/>
          </w:tcPr>
          <w:p>
            <w:pPr>
              <w:keepNext/>
              <w:widowControl/>
              <w:spacing w:after="40" w:line="247" w:lineRule="auto" w:before="0"/>
              <w:jc w:val="center"/>
            </w:pPr>
            <w:r>
              <w:rPr>
                <w:rFonts w:ascii="Times New Roman" w:hAnsi="Times New Roman"/>
                <w:b/>
                <w:color w:val="000000"/>
                <w:sz w:val="19"/>
              </w:rPr>
              <w:t>p value</w:t>
            </w:r>
          </w:p>
        </w:tc>
      </w:tr>
      <w:tr>
        <w:trPr>
          <w:cantSplit/>
        </w:trPr>
        <w:tc>
          <w:tcPr>
            <w:tcW w:type="dxa" w:w="295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Intercept</w:t>
            </w:r>
          </w:p>
        </w:tc>
        <w:tc>
          <w:tcPr>
            <w:tcW w:type="dxa" w:w="122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-3,386.96072</w:t>
            </w:r>
          </w:p>
        </w:tc>
        <w:tc>
          <w:tcPr>
            <w:tcW w:type="dxa" w:w="122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111.71744</w:t>
            </w:r>
          </w:p>
        </w:tc>
        <w:tc>
          <w:tcPr>
            <w:tcW w:type="dxa" w:w="216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 xml:space="preserve">-30.317 </w:t>
            </w:r>
            <w:r>
              <w:rPr>
                <w:rFonts w:ascii="Times New Roman" w:hAnsi="Times New Roman"/>
                <w:b w:val="0"/>
                <w:color w:val="000000"/>
                <w:sz w:val="17"/>
              </w:rPr>
              <w:t>[commercial/​long_​run_​coefficients.csv/​row 2 col 5]</w:t>
            </w:r>
          </w:p>
        </w:tc>
        <w:tc>
          <w:tcPr>
            <w:tcW w:type="dxa" w:w="216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 xml:space="preserve">&lt;0.001 </w:t>
            </w:r>
            <w:r>
              <w:rPr>
                <w:rFonts w:ascii="Times New Roman" w:hAnsi="Times New Roman"/>
                <w:b w:val="0"/>
                <w:color w:val="000000"/>
                <w:sz w:val="17"/>
              </w:rPr>
              <w:t>[commercial/​long_​run_​coefficients.csv/​row 2 col 6]</w:t>
            </w:r>
          </w:p>
        </w:tc>
      </w:tr>
      <w:tr>
        <w:trPr>
          <w:cantSplit/>
        </w:trPr>
        <w:tc>
          <w:tcPr>
            <w:tcW w:type="dxa" w:w="295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CPI level</w:t>
            </w:r>
          </w:p>
        </w:tc>
        <w:tc>
          <w:tcPr>
            <w:tcW w:type="dxa" w:w="122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19.41955</w:t>
            </w:r>
          </w:p>
        </w:tc>
        <w:tc>
          <w:tcPr>
            <w:tcW w:type="dxa" w:w="122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0.44293</w:t>
            </w:r>
          </w:p>
        </w:tc>
        <w:tc>
          <w:tcPr>
            <w:tcW w:type="dxa" w:w="216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 xml:space="preserve">43.844 </w:t>
            </w:r>
            <w:r>
              <w:rPr>
                <w:rFonts w:ascii="Times New Roman" w:hAnsi="Times New Roman"/>
                <w:b w:val="0"/>
                <w:color w:val="000000"/>
                <w:sz w:val="17"/>
              </w:rPr>
              <w:t>[commercial/​long_​run_​coefficients.csv/​row 3 col 5]</w:t>
            </w:r>
          </w:p>
        </w:tc>
        <w:tc>
          <w:tcPr>
            <w:tcW w:type="dxa" w:w="216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 xml:space="preserve">&lt;0.001 </w:t>
            </w:r>
            <w:r>
              <w:rPr>
                <w:rFonts w:ascii="Times New Roman" w:hAnsi="Times New Roman"/>
                <w:b w:val="0"/>
                <w:color w:val="000000"/>
                <w:sz w:val="17"/>
              </w:rPr>
              <w:t>[commercial/​long_​run_​coefficients.csv/​row 3 col 6]</w:t>
            </w:r>
          </w:p>
        </w:tc>
      </w:tr>
    </w:tbl>
    <w:p>
      <w:pPr>
        <w:widowControl/>
        <w:spacing w:before="60" w:after="120"/>
      </w:pPr>
      <w:r>
        <w:rPr>
          <w:rFonts w:ascii="Times New Roman" w:hAnsi="Times New Roman"/>
          <w:color w:val="000000"/>
          <w:sz w:val="18"/>
        </w:rPr>
        <w:t>Data source: commercial/​long_​run_​coefficients.csv.</w:t>
      </w:r>
    </w:p>
    <w:p>
      <w:pPr>
        <w:pStyle w:val="Caption"/>
        <w:keepNext/>
        <w:widowControl/>
        <w:spacing w:before="180" w:after="100"/>
      </w:pPr>
      <w:r>
        <w:rPr>
          <w:b w:val="0"/>
        </w:rPr>
        <w:t>Table 11.6 Commercial short-run coefficients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0" w:type="dxa"/>
          <w:right w:w="80" w:type="dxa"/>
        </w:tblCellMar>
      </w:tblPr>
      <w:tblGrid>
        <w:gridCol w:w="2952"/>
        <w:gridCol w:w="1224"/>
        <w:gridCol w:w="1224"/>
        <w:gridCol w:w="2160"/>
        <w:gridCol w:w="2160"/>
      </w:tblGrid>
      <w:tr>
        <w:trPr>
          <w:cantSplit/>
          <w:tblHeader/>
        </w:trPr>
        <w:tc>
          <w:tcPr>
            <w:tcW w:type="dxa" w:w="295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E6ECF0"/>
          </w:tcPr>
          <w:p>
            <w:pPr>
              <w:keepNext/>
              <w:widowControl/>
              <w:spacing w:after="40" w:line="247" w:lineRule="auto" w:before="0"/>
              <w:jc w:val="left"/>
            </w:pPr>
            <w:r>
              <w:rPr>
                <w:rFonts w:ascii="Times New Roman" w:hAnsi="Times New Roman"/>
                <w:b/>
                <w:color w:val="000000"/>
                <w:sz w:val="19"/>
              </w:rPr>
              <w:t>Term</w:t>
            </w:r>
          </w:p>
        </w:tc>
        <w:tc>
          <w:tcPr>
            <w:tcW w:type="dxa" w:w="122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E6ECF0"/>
          </w:tcPr>
          <w:p>
            <w:pPr>
              <w:keepNext/>
              <w:widowControl/>
              <w:spacing w:after="40" w:line="247" w:lineRule="auto" w:before="0"/>
              <w:jc w:val="center"/>
            </w:pPr>
            <w:r>
              <w:rPr>
                <w:rFonts w:ascii="Times New Roman" w:hAnsi="Times New Roman"/>
                <w:b/>
                <w:color w:val="000000"/>
                <w:sz w:val="19"/>
              </w:rPr>
              <w:t>Estimate</w:t>
            </w:r>
          </w:p>
        </w:tc>
        <w:tc>
          <w:tcPr>
            <w:tcW w:type="dxa" w:w="122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E6ECF0"/>
          </w:tcPr>
          <w:p>
            <w:pPr>
              <w:keepNext/>
              <w:widowControl/>
              <w:spacing w:after="40" w:line="247" w:lineRule="auto" w:before="0"/>
              <w:jc w:val="center"/>
            </w:pPr>
            <w:r>
              <w:rPr>
                <w:rFonts w:ascii="Times New Roman" w:hAnsi="Times New Roman"/>
                <w:b/>
                <w:color w:val="000000"/>
                <w:sz w:val="19"/>
              </w:rPr>
              <w:t>Std error</w:t>
            </w:r>
          </w:p>
        </w:tc>
        <w:tc>
          <w:tcPr>
            <w:tcW w:type="dxa" w:w="216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E6ECF0"/>
          </w:tcPr>
          <w:p>
            <w:pPr>
              <w:keepNext/>
              <w:widowControl/>
              <w:spacing w:after="40" w:line="247" w:lineRule="auto" w:before="0"/>
              <w:jc w:val="center"/>
            </w:pPr>
            <w:r>
              <w:rPr>
                <w:rFonts w:ascii="Times New Roman" w:hAnsi="Times New Roman"/>
                <w:b/>
                <w:color w:val="000000"/>
                <w:sz w:val="19"/>
              </w:rPr>
              <w:t>t statistic</w:t>
            </w:r>
          </w:p>
        </w:tc>
        <w:tc>
          <w:tcPr>
            <w:tcW w:type="dxa" w:w="216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E6ECF0"/>
          </w:tcPr>
          <w:p>
            <w:pPr>
              <w:keepNext/>
              <w:widowControl/>
              <w:spacing w:after="40" w:line="247" w:lineRule="auto" w:before="0"/>
              <w:jc w:val="center"/>
            </w:pPr>
            <w:r>
              <w:rPr>
                <w:rFonts w:ascii="Times New Roman" w:hAnsi="Times New Roman"/>
                <w:b/>
                <w:color w:val="000000"/>
                <w:sz w:val="19"/>
              </w:rPr>
              <w:t>p value</w:t>
            </w:r>
          </w:p>
        </w:tc>
      </w:tr>
      <w:tr>
        <w:trPr>
          <w:cantSplit/>
        </w:trPr>
        <w:tc>
          <w:tcPr>
            <w:tcW w:type="dxa" w:w="295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widowControl/>
              <w:spacing w:after="40" w:line="247" w:lineRule="auto" w:before="0"/>
              <w:jc w:val="left"/>
            </w:pPr>
            <w:r>
              <w:rPr>
                <w:rFonts w:ascii="Times New Roman" w:hAnsi="Times New Roman"/>
                <w:b w:val="0"/>
                <w:color w:val="000000"/>
                <w:sz w:val="19"/>
              </w:rPr>
              <w:t>Intercept</w:t>
            </w:r>
          </w:p>
        </w:tc>
        <w:tc>
          <w:tcPr>
            <w:tcW w:type="dxa" w:w="122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widowControl/>
              <w:spacing w:after="40" w:line="247" w:lineRule="auto" w:before="0"/>
              <w:jc w:val="center"/>
            </w:pPr>
            <w:r>
              <w:rPr>
                <w:rFonts w:ascii="Times New Roman" w:hAnsi="Times New Roman"/>
                <w:b w:val="0"/>
                <w:color w:val="000000"/>
                <w:sz w:val="19"/>
              </w:rPr>
              <w:t>1.78314</w:t>
            </w:r>
          </w:p>
        </w:tc>
        <w:tc>
          <w:tcPr>
            <w:tcW w:type="dxa" w:w="122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widowControl/>
              <w:spacing w:after="40" w:line="247" w:lineRule="auto" w:before="0"/>
              <w:jc w:val="center"/>
            </w:pPr>
            <w:r>
              <w:rPr>
                <w:rFonts w:ascii="Times New Roman" w:hAnsi="Times New Roman"/>
                <w:b w:val="0"/>
                <w:color w:val="000000"/>
                <w:sz w:val="19"/>
              </w:rPr>
              <w:t>0.85356</w:t>
            </w:r>
          </w:p>
        </w:tc>
        <w:tc>
          <w:tcPr>
            <w:tcW w:type="dxa" w:w="216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widowControl/>
              <w:spacing w:after="40" w:line="247" w:lineRule="auto" w:before="0"/>
              <w:jc w:val="center"/>
            </w:pPr>
            <w:r>
              <w:rPr>
                <w:rFonts w:ascii="Times New Roman" w:hAnsi="Times New Roman"/>
                <w:b w:val="0"/>
                <w:color w:val="000000"/>
                <w:sz w:val="19"/>
              </w:rPr>
              <w:t xml:space="preserve">2.089 </w:t>
            </w:r>
            <w:r>
              <w:rPr>
                <w:rFonts w:ascii="Times New Roman" w:hAnsi="Times New Roman"/>
                <w:b w:val="0"/>
                <w:color w:val="000000"/>
                <w:sz w:val="17"/>
              </w:rPr>
              <w:t>[commercial/​short_​run_​coefficients.csv/​row 2 col 5]</w:t>
            </w:r>
          </w:p>
        </w:tc>
        <w:tc>
          <w:tcPr>
            <w:tcW w:type="dxa" w:w="216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widowControl/>
              <w:spacing w:after="40" w:line="247" w:lineRule="auto" w:before="0"/>
              <w:jc w:val="center"/>
            </w:pPr>
            <w:r>
              <w:rPr>
                <w:rFonts w:ascii="Times New Roman" w:hAnsi="Times New Roman"/>
                <w:b w:val="0"/>
                <w:color w:val="000000"/>
                <w:sz w:val="19"/>
              </w:rPr>
              <w:t xml:space="preserve">0.039 </w:t>
            </w:r>
            <w:r>
              <w:rPr>
                <w:rFonts w:ascii="Times New Roman" w:hAnsi="Times New Roman"/>
                <w:b w:val="0"/>
                <w:color w:val="000000"/>
                <w:sz w:val="17"/>
              </w:rPr>
              <w:t>[commercial/​short_​run_​coefficients.csv/​row 2 col 6]</w:t>
            </w:r>
          </w:p>
        </w:tc>
      </w:tr>
      <w:tr>
        <w:trPr>
          <w:cantSplit/>
        </w:trPr>
        <w:tc>
          <w:tcPr>
            <w:tcW w:type="dxa" w:w="295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widowControl/>
              <w:spacing w:after="40" w:line="247" w:lineRule="auto" w:before="0"/>
              <w:jc w:val="left"/>
            </w:pPr>
            <w:r>
              <w:rPr>
                <w:rFonts w:ascii="Times New Roman" w:hAnsi="Times New Roman"/>
                <w:b w:val="0"/>
                <w:color w:val="000000"/>
                <w:sz w:val="19"/>
              </w:rPr>
              <w:t>Adjusted EC, lag 12</w:t>
            </w:r>
          </w:p>
        </w:tc>
        <w:tc>
          <w:tcPr>
            <w:tcW w:type="dxa" w:w="122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widowControl/>
              <w:spacing w:after="40" w:line="247" w:lineRule="auto" w:before="0"/>
              <w:jc w:val="center"/>
            </w:pPr>
            <w:r>
              <w:rPr>
                <w:rFonts w:ascii="Times New Roman" w:hAnsi="Times New Roman"/>
                <w:b w:val="0"/>
                <w:color w:val="000000"/>
                <w:sz w:val="19"/>
              </w:rPr>
              <w:t>-0.65352</w:t>
            </w:r>
          </w:p>
        </w:tc>
        <w:tc>
          <w:tcPr>
            <w:tcW w:type="dxa" w:w="122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widowControl/>
              <w:spacing w:after="40" w:line="247" w:lineRule="auto" w:before="0"/>
              <w:jc w:val="center"/>
            </w:pPr>
            <w:r>
              <w:rPr>
                <w:rFonts w:ascii="Times New Roman" w:hAnsi="Times New Roman"/>
                <w:b w:val="0"/>
                <w:color w:val="000000"/>
                <w:sz w:val="19"/>
              </w:rPr>
              <w:t>0.08291</w:t>
            </w:r>
          </w:p>
        </w:tc>
        <w:tc>
          <w:tcPr>
            <w:tcW w:type="dxa" w:w="216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widowControl/>
              <w:spacing w:after="40" w:line="247" w:lineRule="auto" w:before="0"/>
              <w:jc w:val="center"/>
            </w:pPr>
            <w:r>
              <w:rPr>
                <w:rFonts w:ascii="Times New Roman" w:hAnsi="Times New Roman"/>
                <w:b w:val="0"/>
                <w:color w:val="000000"/>
                <w:sz w:val="19"/>
              </w:rPr>
              <w:t xml:space="preserve">-7.883 </w:t>
            </w:r>
            <w:r>
              <w:rPr>
                <w:rFonts w:ascii="Times New Roman" w:hAnsi="Times New Roman"/>
                <w:b w:val="0"/>
                <w:color w:val="000000"/>
                <w:sz w:val="17"/>
              </w:rPr>
              <w:t>[commercial/​short_​run_​coefficients.csv/​row 3 col 5]</w:t>
            </w:r>
          </w:p>
        </w:tc>
        <w:tc>
          <w:tcPr>
            <w:tcW w:type="dxa" w:w="216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widowControl/>
              <w:spacing w:after="40" w:line="247" w:lineRule="auto" w:before="0"/>
              <w:jc w:val="center"/>
            </w:pPr>
            <w:r>
              <w:rPr>
                <w:rFonts w:ascii="Times New Roman" w:hAnsi="Times New Roman"/>
                <w:b w:val="0"/>
                <w:color w:val="000000"/>
                <w:sz w:val="19"/>
              </w:rPr>
              <w:t xml:space="preserve">&lt;0.001 </w:t>
            </w:r>
            <w:r>
              <w:rPr>
                <w:rFonts w:ascii="Times New Roman" w:hAnsi="Times New Roman"/>
                <w:b w:val="0"/>
                <w:color w:val="000000"/>
                <w:sz w:val="17"/>
              </w:rPr>
              <w:t>[commercial/​short_​run_​coefficients.csv/​row 3 col 6]</w:t>
            </w:r>
          </w:p>
        </w:tc>
      </w:tr>
      <w:tr>
        <w:trPr>
          <w:cantSplit/>
        </w:trPr>
        <w:tc>
          <w:tcPr>
            <w:tcW w:type="dxa" w:w="295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widowControl/>
              <w:spacing w:after="40" w:line="247" w:lineRule="auto" w:before="0"/>
              <w:jc w:val="left"/>
            </w:pPr>
            <w:r>
              <w:rPr>
                <w:rFonts w:ascii="Times New Roman" w:hAnsi="Times New Roman"/>
                <w:b w:val="0"/>
                <w:color w:val="000000"/>
                <w:sz w:val="19"/>
              </w:rPr>
              <w:t>Fee YoY growth, lag 1</w:t>
            </w:r>
          </w:p>
        </w:tc>
        <w:tc>
          <w:tcPr>
            <w:tcW w:type="dxa" w:w="122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widowControl/>
              <w:spacing w:after="40" w:line="247" w:lineRule="auto" w:before="0"/>
              <w:jc w:val="center"/>
            </w:pPr>
            <w:r>
              <w:rPr>
                <w:rFonts w:ascii="Times New Roman" w:hAnsi="Times New Roman"/>
                <w:b w:val="0"/>
                <w:color w:val="000000"/>
                <w:sz w:val="19"/>
              </w:rPr>
              <w:t>0.29638</w:t>
            </w:r>
          </w:p>
        </w:tc>
        <w:tc>
          <w:tcPr>
            <w:tcW w:type="dxa" w:w="122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widowControl/>
              <w:spacing w:after="40" w:line="247" w:lineRule="auto" w:before="0"/>
              <w:jc w:val="center"/>
            </w:pPr>
            <w:r>
              <w:rPr>
                <w:rFonts w:ascii="Times New Roman" w:hAnsi="Times New Roman"/>
                <w:b w:val="0"/>
                <w:color w:val="000000"/>
                <w:sz w:val="19"/>
              </w:rPr>
              <w:t>0.06672</w:t>
            </w:r>
          </w:p>
        </w:tc>
        <w:tc>
          <w:tcPr>
            <w:tcW w:type="dxa" w:w="216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widowControl/>
              <w:spacing w:after="40" w:line="247" w:lineRule="auto" w:before="0"/>
              <w:jc w:val="center"/>
            </w:pPr>
            <w:r>
              <w:rPr>
                <w:rFonts w:ascii="Times New Roman" w:hAnsi="Times New Roman"/>
                <w:b w:val="0"/>
                <w:color w:val="000000"/>
                <w:sz w:val="19"/>
              </w:rPr>
              <w:t xml:space="preserve">4.442 </w:t>
            </w:r>
            <w:r>
              <w:rPr>
                <w:rFonts w:ascii="Times New Roman" w:hAnsi="Times New Roman"/>
                <w:b w:val="0"/>
                <w:color w:val="000000"/>
                <w:sz w:val="17"/>
              </w:rPr>
              <w:t>[commercial/​short_​run_​coefficients.csv/​row 4 col 5]</w:t>
            </w:r>
          </w:p>
        </w:tc>
        <w:tc>
          <w:tcPr>
            <w:tcW w:type="dxa" w:w="216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widowControl/>
              <w:spacing w:after="40" w:line="247" w:lineRule="auto" w:before="0"/>
              <w:jc w:val="center"/>
            </w:pPr>
            <w:r>
              <w:rPr>
                <w:rFonts w:ascii="Times New Roman" w:hAnsi="Times New Roman"/>
                <w:b w:val="0"/>
                <w:color w:val="000000"/>
                <w:sz w:val="19"/>
              </w:rPr>
              <w:t xml:space="preserve">&lt;0.001 </w:t>
            </w:r>
            <w:r>
              <w:rPr>
                <w:rFonts w:ascii="Times New Roman" w:hAnsi="Times New Roman"/>
                <w:b w:val="0"/>
                <w:color w:val="000000"/>
                <w:sz w:val="17"/>
              </w:rPr>
              <w:t>[commercial/​short_​run_​coefficients.csv/​row 4 col 6]</w:t>
            </w:r>
          </w:p>
        </w:tc>
      </w:tr>
      <w:tr>
        <w:trPr>
          <w:cantSplit/>
        </w:trPr>
        <w:tc>
          <w:tcPr>
            <w:tcW w:type="dxa" w:w="295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widowControl/>
              <w:spacing w:after="40" w:line="247" w:lineRule="auto" w:before="0"/>
              <w:jc w:val="left"/>
            </w:pPr>
            <w:r>
              <w:rPr>
                <w:rFonts w:ascii="Times New Roman" w:hAnsi="Times New Roman"/>
                <w:b w:val="0"/>
                <w:color w:val="000000"/>
                <w:sz w:val="19"/>
              </w:rPr>
              <w:t>Fee YoY growth, lag 6</w:t>
            </w:r>
          </w:p>
        </w:tc>
        <w:tc>
          <w:tcPr>
            <w:tcW w:type="dxa" w:w="122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widowControl/>
              <w:spacing w:after="40" w:line="247" w:lineRule="auto" w:before="0"/>
              <w:jc w:val="center"/>
            </w:pPr>
            <w:r>
              <w:rPr>
                <w:rFonts w:ascii="Times New Roman" w:hAnsi="Times New Roman"/>
                <w:b w:val="0"/>
                <w:color w:val="000000"/>
                <w:sz w:val="19"/>
              </w:rPr>
              <w:t>0.25019</w:t>
            </w:r>
          </w:p>
        </w:tc>
        <w:tc>
          <w:tcPr>
            <w:tcW w:type="dxa" w:w="122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widowControl/>
              <w:spacing w:after="40" w:line="247" w:lineRule="auto" w:before="0"/>
              <w:jc w:val="center"/>
            </w:pPr>
            <w:r>
              <w:rPr>
                <w:rFonts w:ascii="Times New Roman" w:hAnsi="Times New Roman"/>
                <w:b w:val="0"/>
                <w:color w:val="000000"/>
                <w:sz w:val="19"/>
              </w:rPr>
              <w:t>0.05008</w:t>
            </w:r>
          </w:p>
        </w:tc>
        <w:tc>
          <w:tcPr>
            <w:tcW w:type="dxa" w:w="216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widowControl/>
              <w:spacing w:after="40" w:line="247" w:lineRule="auto" w:before="0"/>
              <w:jc w:val="center"/>
            </w:pPr>
            <w:r>
              <w:rPr>
                <w:rFonts w:ascii="Times New Roman" w:hAnsi="Times New Roman"/>
                <w:b w:val="0"/>
                <w:color w:val="000000"/>
                <w:sz w:val="19"/>
              </w:rPr>
              <w:t xml:space="preserve">4.996 </w:t>
            </w:r>
            <w:r>
              <w:rPr>
                <w:rFonts w:ascii="Times New Roman" w:hAnsi="Times New Roman"/>
                <w:b w:val="0"/>
                <w:color w:val="000000"/>
                <w:sz w:val="17"/>
              </w:rPr>
              <w:t>[commercial/​short_​run_​coefficients.csv/​row 5 col 5]</w:t>
            </w:r>
          </w:p>
        </w:tc>
        <w:tc>
          <w:tcPr>
            <w:tcW w:type="dxa" w:w="216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widowControl/>
              <w:spacing w:after="40" w:line="247" w:lineRule="auto" w:before="0"/>
              <w:jc w:val="center"/>
            </w:pPr>
            <w:r>
              <w:rPr>
                <w:rFonts w:ascii="Times New Roman" w:hAnsi="Times New Roman"/>
                <w:b w:val="0"/>
                <w:color w:val="000000"/>
                <w:sz w:val="19"/>
              </w:rPr>
              <w:t xml:space="preserve">&lt;0.001 </w:t>
            </w:r>
            <w:r>
              <w:rPr>
                <w:rFonts w:ascii="Times New Roman" w:hAnsi="Times New Roman"/>
                <w:b w:val="0"/>
                <w:color w:val="000000"/>
                <w:sz w:val="17"/>
              </w:rPr>
              <w:t>[commercial/​short_​run_​coefficients.csv/​row 5 col 6]</w:t>
            </w:r>
          </w:p>
        </w:tc>
      </w:tr>
      <w:tr>
        <w:trPr>
          <w:cantSplit/>
        </w:trPr>
        <w:tc>
          <w:tcPr>
            <w:tcW w:type="dxa" w:w="295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Profits YoY growth, lag 2</w:t>
            </w:r>
          </w:p>
        </w:tc>
        <w:tc>
          <w:tcPr>
            <w:tcW w:type="dxa" w:w="122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0.42202</w:t>
            </w:r>
          </w:p>
        </w:tc>
        <w:tc>
          <w:tcPr>
            <w:tcW w:type="dxa" w:w="122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0.09115</w:t>
            </w:r>
          </w:p>
        </w:tc>
        <w:tc>
          <w:tcPr>
            <w:tcW w:type="dxa" w:w="216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 xml:space="preserve">4.630 </w:t>
            </w:r>
            <w:r>
              <w:rPr>
                <w:rFonts w:ascii="Times New Roman" w:hAnsi="Times New Roman"/>
                <w:b w:val="0"/>
                <w:color w:val="000000"/>
                <w:sz w:val="17"/>
              </w:rPr>
              <w:t>[commercial/​short_​run_​coefficients.csv/​row 6 col 5]</w:t>
            </w:r>
          </w:p>
        </w:tc>
        <w:tc>
          <w:tcPr>
            <w:tcW w:type="dxa" w:w="216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 xml:space="preserve">&lt;0.001 </w:t>
            </w:r>
            <w:r>
              <w:rPr>
                <w:rFonts w:ascii="Times New Roman" w:hAnsi="Times New Roman"/>
                <w:b w:val="0"/>
                <w:color w:val="000000"/>
                <w:sz w:val="17"/>
              </w:rPr>
              <w:t>[commercial/​short_​run_​coefficients.csv/​row 6 col 6]</w:t>
            </w:r>
          </w:p>
        </w:tc>
      </w:tr>
    </w:tbl>
    <w:p>
      <w:pPr>
        <w:keepNext w:val="0"/>
        <w:keepLines/>
        <w:pageBreakBefore w:val="0"/>
        <w:widowControl/>
      </w:pPr>
      <w:r>
        <w:rPr>
          <w:rFonts w:ascii="Times New Roman" w:hAnsi="Times New Roman" w:eastAsia="Noto Sans CJK SC"/>
          <w:color w:val="000000"/>
          <w:sz w:val="22"/>
          <w:lang w:val="en-US" w:eastAsia="zh-CN"/>
        </w:rPr>
        <w:t>Table 11.6 shows the estimates, standard errors, t-statistics and Student-t p-values for the Commercial Card and Small Business short-run model. The adjusted error-correction term links the CPI-based long-run relationship to fee growth, alongside lagged fee growth and corporate profits growth.</w:t>
      </w:r>
    </w:p>
    <w:p>
      <w:pPr>
        <w:widowControl/>
        <w:spacing w:after="140"/>
      </w:pPr>
      <w:r>
        <w:rPr>
          <w:rFonts w:ascii="Times New Roman" w:hAnsi="Times New Roman"/>
          <w:color w:val="000000"/>
          <w:sz w:val="18"/>
        </w:rPr>
        <w:t>Source: commercial/​short_​run_​coefficients.csv. Classical nonrobust OLS covariance; coefficient scale is annual percentage growth.</w:t>
      </w:r>
    </w:p>
    <w:p>
      <w:pPr>
        <w:pStyle w:val="Heading2"/>
        <w:keepNext/>
      </w:pPr>
      <w:r>
        <w:t>11.5 Appendix E Scenario Detail</w:t>
      </w:r>
    </w:p>
    <w:p>
      <w:pPr>
        <w:widowControl/>
      </w:pPr>
      <w:r>
        <w:rPr>
          <w:rFonts w:ascii="Times New Roman" w:hAnsi="Times New Roman" w:eastAsia="Noto Sans CJK SC"/>
          <w:color w:val="000000"/>
          <w:sz w:val="22"/>
          <w:lang w:val="en-US" w:eastAsia="zh-CN"/>
        </w:rPr>
        <w:t>The quarterly scenario table aggregates unrounded monthly Commercial and Consumer forecasts. It excludes Debit from the combined quantitative totals because the adopted script supplies calibration levels rather than a dated nine-quarter path. Adding Debit to a suite forecast requires prior approval of its trajectory and the reporting perimeter, so that quarterly levels are not mistaken for a complete scenario projection.</w:t>
      </w:r>
    </w:p>
    <w:p>
      <w:pPr>
        <w:pStyle w:val="Caption"/>
        <w:keepNext/>
        <w:widowControl/>
        <w:spacing w:before="180" w:after="100"/>
      </w:pPr>
      <w:r>
        <w:rPr>
          <w:b w:val="0"/>
        </w:rPr>
        <w:t>Table 11.7 Quarterly quantitative component forecasts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0" w:type="dxa"/>
          <w:right w:w="80" w:type="dxa"/>
        </w:tblCellMar>
      </w:tblPr>
      <w:tblGrid>
        <w:gridCol w:w="1512"/>
        <w:gridCol w:w="2102"/>
        <w:gridCol w:w="2102"/>
        <w:gridCol w:w="2102"/>
        <w:gridCol w:w="2117"/>
      </w:tblGrid>
      <w:tr>
        <w:trPr>
          <w:cantSplit/>
          <w:tblHeader/>
        </w:trPr>
        <w:tc>
          <w:tcPr>
            <w:tcW w:type="dxa" w:w="15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E6ECF0"/>
          </w:tcPr>
          <w:p>
            <w:pPr>
              <w:keepNext/>
              <w:widowControl/>
              <w:spacing w:after="40" w:line="247" w:lineRule="auto" w:before="0"/>
              <w:jc w:val="left"/>
            </w:pPr>
            <w:r>
              <w:rPr>
                <w:rFonts w:ascii="Times New Roman" w:hAnsi="Times New Roman"/>
                <w:b/>
                <w:color w:val="000000"/>
                <w:sz w:val="19"/>
              </w:rPr>
              <w:t>Quarter</w:t>
            </w:r>
          </w:p>
        </w:tc>
        <w:tc>
          <w:tcPr>
            <w:tcW w:type="dxa" w:w="210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E6ECF0"/>
          </w:tcPr>
          <w:p>
            <w:pPr>
              <w:keepNext/>
              <w:widowControl/>
              <w:spacing w:after="40" w:line="247" w:lineRule="auto" w:before="0"/>
              <w:jc w:val="center"/>
            </w:pPr>
            <w:r>
              <w:rPr>
                <w:rFonts w:ascii="Times New Roman" w:hAnsi="Times New Roman"/>
                <w:b/>
                <w:color w:val="000000"/>
                <w:sz w:val="19"/>
              </w:rPr>
              <w:t>Commercial Base ($000)</w:t>
            </w:r>
          </w:p>
        </w:tc>
        <w:tc>
          <w:tcPr>
            <w:tcW w:type="dxa" w:w="210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E6ECF0"/>
          </w:tcPr>
          <w:p>
            <w:pPr>
              <w:keepNext/>
              <w:widowControl/>
              <w:spacing w:after="40" w:line="247" w:lineRule="auto" w:before="0"/>
              <w:jc w:val="center"/>
            </w:pPr>
            <w:r>
              <w:rPr>
                <w:rFonts w:ascii="Times New Roman" w:hAnsi="Times New Roman"/>
                <w:b/>
                <w:color w:val="000000"/>
                <w:sz w:val="19"/>
              </w:rPr>
              <w:t>Commercial S4 ($000)</w:t>
            </w:r>
          </w:p>
        </w:tc>
        <w:tc>
          <w:tcPr>
            <w:tcW w:type="dxa" w:w="210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E6ECF0"/>
          </w:tcPr>
          <w:p>
            <w:pPr>
              <w:keepNext/>
              <w:widowControl/>
              <w:spacing w:after="40" w:line="247" w:lineRule="auto" w:before="0"/>
              <w:jc w:val="center"/>
            </w:pPr>
            <w:r>
              <w:rPr>
                <w:rFonts w:ascii="Times New Roman" w:hAnsi="Times New Roman"/>
                <w:b/>
                <w:color w:val="000000"/>
                <w:sz w:val="19"/>
              </w:rPr>
              <w:t>Consumer Base ($000)</w:t>
            </w:r>
          </w:p>
        </w:tc>
        <w:tc>
          <w:tcPr>
            <w:tcW w:type="dxa" w:w="21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E6ECF0"/>
          </w:tcPr>
          <w:p>
            <w:pPr>
              <w:keepNext/>
              <w:widowControl/>
              <w:spacing w:after="40" w:line="247" w:lineRule="auto" w:before="0"/>
              <w:jc w:val="center"/>
            </w:pPr>
            <w:r>
              <w:rPr>
                <w:rFonts w:ascii="Times New Roman" w:hAnsi="Times New Roman"/>
                <w:b/>
                <w:color w:val="000000"/>
                <w:sz w:val="19"/>
              </w:rPr>
              <w:t>Consumer S4 ($000)</w:t>
            </w:r>
          </w:p>
        </w:tc>
      </w:tr>
      <w:tr>
        <w:trPr>
          <w:cantSplit/>
        </w:trPr>
        <w:tc>
          <w:tcPr>
            <w:tcW w:type="dxa" w:w="15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2026Q1</w:t>
            </w:r>
          </w:p>
        </w:tc>
        <w:tc>
          <w:tcPr>
            <w:tcW w:type="dxa" w:w="210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6,931.23</w:t>
            </w:r>
          </w:p>
        </w:tc>
        <w:tc>
          <w:tcPr>
            <w:tcW w:type="dxa" w:w="210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6,928.32</w:t>
            </w:r>
          </w:p>
        </w:tc>
        <w:tc>
          <w:tcPr>
            <w:tcW w:type="dxa" w:w="210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2,254.81</w:t>
            </w:r>
          </w:p>
        </w:tc>
        <w:tc>
          <w:tcPr>
            <w:tcW w:type="dxa" w:w="21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2,254.06</w:t>
            </w:r>
          </w:p>
        </w:tc>
      </w:tr>
      <w:tr>
        <w:trPr>
          <w:cantSplit/>
        </w:trPr>
        <w:tc>
          <w:tcPr>
            <w:tcW w:type="dxa" w:w="15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2026Q2</w:t>
            </w:r>
          </w:p>
        </w:tc>
        <w:tc>
          <w:tcPr>
            <w:tcW w:type="dxa" w:w="210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7,105.83</w:t>
            </w:r>
          </w:p>
        </w:tc>
        <w:tc>
          <w:tcPr>
            <w:tcW w:type="dxa" w:w="210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7,040.73</w:t>
            </w:r>
          </w:p>
        </w:tc>
        <w:tc>
          <w:tcPr>
            <w:tcW w:type="dxa" w:w="210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2,319.69</w:t>
            </w:r>
          </w:p>
        </w:tc>
        <w:tc>
          <w:tcPr>
            <w:tcW w:type="dxa" w:w="21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2,305.35</w:t>
            </w:r>
          </w:p>
        </w:tc>
      </w:tr>
      <w:tr>
        <w:trPr>
          <w:cantSplit/>
        </w:trPr>
        <w:tc>
          <w:tcPr>
            <w:tcW w:type="dxa" w:w="15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2026Q3</w:t>
            </w:r>
          </w:p>
        </w:tc>
        <w:tc>
          <w:tcPr>
            <w:tcW w:type="dxa" w:w="210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7,224.79</w:t>
            </w:r>
          </w:p>
        </w:tc>
        <w:tc>
          <w:tcPr>
            <w:tcW w:type="dxa" w:w="210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6,983.85</w:t>
            </w:r>
          </w:p>
        </w:tc>
        <w:tc>
          <w:tcPr>
            <w:tcW w:type="dxa" w:w="210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2,278.93</w:t>
            </w:r>
          </w:p>
        </w:tc>
        <w:tc>
          <w:tcPr>
            <w:tcW w:type="dxa" w:w="21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2,206.91</w:t>
            </w:r>
          </w:p>
        </w:tc>
      </w:tr>
      <w:tr>
        <w:trPr>
          <w:cantSplit/>
        </w:trPr>
        <w:tc>
          <w:tcPr>
            <w:tcW w:type="dxa" w:w="15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2026Q4</w:t>
            </w:r>
          </w:p>
        </w:tc>
        <w:tc>
          <w:tcPr>
            <w:tcW w:type="dxa" w:w="210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7,026.88</w:t>
            </w:r>
          </w:p>
        </w:tc>
        <w:tc>
          <w:tcPr>
            <w:tcW w:type="dxa" w:w="210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6,175.91</w:t>
            </w:r>
          </w:p>
        </w:tc>
        <w:tc>
          <w:tcPr>
            <w:tcW w:type="dxa" w:w="210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2,381.22</w:t>
            </w:r>
          </w:p>
        </w:tc>
        <w:tc>
          <w:tcPr>
            <w:tcW w:type="dxa" w:w="21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2,232.55</w:t>
            </w:r>
          </w:p>
        </w:tc>
      </w:tr>
      <w:tr>
        <w:trPr>
          <w:cantSplit/>
        </w:trPr>
        <w:tc>
          <w:tcPr>
            <w:tcW w:type="dxa" w:w="15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2027Q1</w:t>
            </w:r>
          </w:p>
        </w:tc>
        <w:tc>
          <w:tcPr>
            <w:tcW w:type="dxa" w:w="210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7,551.04</w:t>
            </w:r>
          </w:p>
        </w:tc>
        <w:tc>
          <w:tcPr>
            <w:tcW w:type="dxa" w:w="210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6,242.62</w:t>
            </w:r>
          </w:p>
        </w:tc>
        <w:tc>
          <w:tcPr>
            <w:tcW w:type="dxa" w:w="210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2,228.62</w:t>
            </w:r>
          </w:p>
        </w:tc>
        <w:tc>
          <w:tcPr>
            <w:tcW w:type="dxa" w:w="21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2,021.44</w:t>
            </w:r>
          </w:p>
        </w:tc>
      </w:tr>
      <w:tr>
        <w:trPr>
          <w:cantSplit/>
        </w:trPr>
        <w:tc>
          <w:tcPr>
            <w:tcW w:type="dxa" w:w="15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2027Q2</w:t>
            </w:r>
          </w:p>
        </w:tc>
        <w:tc>
          <w:tcPr>
            <w:tcW w:type="dxa" w:w="210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7,636.77</w:t>
            </w:r>
          </w:p>
        </w:tc>
        <w:tc>
          <w:tcPr>
            <w:tcW w:type="dxa" w:w="210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5,820.03</w:t>
            </w:r>
          </w:p>
        </w:tc>
        <w:tc>
          <w:tcPr>
            <w:tcW w:type="dxa" w:w="210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2,216.19</w:t>
            </w:r>
          </w:p>
        </w:tc>
        <w:tc>
          <w:tcPr>
            <w:tcW w:type="dxa" w:w="21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1,958.80</w:t>
            </w:r>
          </w:p>
        </w:tc>
      </w:tr>
      <w:tr>
        <w:trPr>
          <w:cantSplit/>
        </w:trPr>
        <w:tc>
          <w:tcPr>
            <w:tcW w:type="dxa" w:w="15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2027Q3</w:t>
            </w:r>
          </w:p>
        </w:tc>
        <w:tc>
          <w:tcPr>
            <w:tcW w:type="dxa" w:w="210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7,496.89</w:t>
            </w:r>
          </w:p>
        </w:tc>
        <w:tc>
          <w:tcPr>
            <w:tcW w:type="dxa" w:w="210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5,630.94</w:t>
            </w:r>
          </w:p>
        </w:tc>
        <w:tc>
          <w:tcPr>
            <w:tcW w:type="dxa" w:w="210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2,182.21</w:t>
            </w:r>
          </w:p>
        </w:tc>
        <w:tc>
          <w:tcPr>
            <w:tcW w:type="dxa" w:w="21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1,877.66</w:t>
            </w:r>
          </w:p>
        </w:tc>
      </w:tr>
      <w:tr>
        <w:trPr>
          <w:cantSplit/>
        </w:trPr>
        <w:tc>
          <w:tcPr>
            <w:tcW w:type="dxa" w:w="15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2027Q4</w:t>
            </w:r>
          </w:p>
        </w:tc>
        <w:tc>
          <w:tcPr>
            <w:tcW w:type="dxa" w:w="210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7,359.05</w:t>
            </w:r>
          </w:p>
        </w:tc>
        <w:tc>
          <w:tcPr>
            <w:tcW w:type="dxa" w:w="210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5,649.86</w:t>
            </w:r>
          </w:p>
        </w:tc>
        <w:tc>
          <w:tcPr>
            <w:tcW w:type="dxa" w:w="210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2,293.84</w:t>
            </w:r>
          </w:p>
        </w:tc>
        <w:tc>
          <w:tcPr>
            <w:tcW w:type="dxa" w:w="21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1,958.55</w:t>
            </w:r>
          </w:p>
        </w:tc>
      </w:tr>
      <w:tr>
        <w:trPr>
          <w:cantSplit/>
        </w:trPr>
        <w:tc>
          <w:tcPr>
            <w:tcW w:type="dxa" w:w="15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2028Q1</w:t>
            </w:r>
          </w:p>
        </w:tc>
        <w:tc>
          <w:tcPr>
            <w:tcW w:type="dxa" w:w="210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7,590.66</w:t>
            </w:r>
          </w:p>
        </w:tc>
        <w:tc>
          <w:tcPr>
            <w:tcW w:type="dxa" w:w="210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6,027.37</w:t>
            </w:r>
          </w:p>
        </w:tc>
        <w:tc>
          <w:tcPr>
            <w:tcW w:type="dxa" w:w="210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2,152.13</w:t>
            </w:r>
          </w:p>
        </w:tc>
        <w:tc>
          <w:tcPr>
            <w:tcW w:type="dxa" w:w="21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1,833.90</w:t>
            </w:r>
          </w:p>
        </w:tc>
      </w:tr>
    </w:tbl>
    <w:p>
      <w:pPr>
        <w:widowControl/>
        <w:spacing w:before="60" w:after="120"/>
      </w:pPr>
      <w:r>
        <w:rPr>
          <w:rFonts w:ascii="Times New Roman" w:hAnsi="Times New Roman"/>
          <w:color w:val="000000"/>
          <w:sz w:val="18"/>
        </w:rPr>
        <w:t>Data sources: commercial/​forecast_​quarterly_​summary.csv; consumer/​forecast_​quarterly_​summary.csv.</w:t>
      </w:r>
    </w:p>
    <w:p>
      <w:pPr>
        <w:pStyle w:val="Heading2"/>
        <w:keepNext/>
      </w:pPr>
      <w:r>
        <w:t>11.6 Appendix F Technical References</w:t>
      </w:r>
    </w:p>
    <w:p>
      <w:pPr>
        <w:widowControl/>
      </w:pPr>
      <w:r>
        <w:rPr>
          <w:rFonts w:ascii="Times New Roman" w:hAnsi="Times New Roman" w:eastAsia="Noto Sans CJK SC"/>
          <w:color w:val="000000"/>
          <w:sz w:val="22"/>
          <w:lang w:val="en-US" w:eastAsia="zh-CN"/>
        </w:rPr>
        <w:t>The following technical references describe the diagnostic statistics used in the model. Component code, input files and exported results provide the implementation and numerical evidence.</w:t>
      </w:r>
    </w:p>
    <w:p>
      <w:pPr>
        <w:widowControl/>
      </w:pPr>
      <w:r>
        <w:rPr>
          <w:b w:val="0"/>
        </w:rPr>
        <w:t>[R2] statsmodels, durbin_watson documentation. Definition and interpretation of the Durbin-Watson residual statistic. https://www.statsmodels.org/stable/generated/statsmodels.stats.stattools.durbin_watson.html</w:t>
      </w:r>
    </w:p>
    <w:p>
      <w:pPr>
        <w:widowControl/>
      </w:pPr>
      <w:r>
        <w:rPr>
          <w:b w:val="0"/>
        </w:rPr>
        <w:t>[R3] statsmodels, acorr_ljungbox documentation. Lag specification and model degrees-of-freedom adjustment. https://www.statsmodels.org/stable/generated/statsmodels.stats.diagnostic.acorr_ljungbox.html</w:t>
      </w:r>
    </w:p>
    <w:p>
      <w:pPr>
        <w:widowControl/>
        <w:spacing w:after="140"/>
      </w:pPr>
      <w:r>
        <w:rPr>
          <w:rFonts w:ascii="Times New Roman" w:hAnsi="Times New Roman" w:eastAsia="Noto Sans CJK SC"/>
          <w:color w:val="000000"/>
          <w:sz w:val="18"/>
          <w:lang w:val="en-US" w:eastAsia="zh-CN"/>
        </w:rPr>
        <w:t>Component-specific software requirements are in the reviewed package READMEs; the Commercial Full Recursive OOT release specifies statsmodels 0.15.0.</w:t>
      </w:r>
    </w:p>
    <w:p>
      <w:pPr>
        <w:pStyle w:val="Heading2"/>
        <w:keepNext/>
        <w:pageBreakBefore w:val="0"/>
        <w:widowControl/>
      </w:pPr>
      <w:r>
        <w:rPr>
          <w:rFonts w:ascii="Times New Roman" w:hAnsi="Times New Roman"/>
          <w:color w:val="000000"/>
        </w:rPr>
        <w:t>11.7 Appendix G Source File Locations</w:t>
      </w:r>
    </w:p>
    <w:p>
      <w:pPr>
        <w:widowControl/>
      </w:pPr>
      <w:r>
        <w:rPr>
          <w:rFonts w:ascii="Times New Roman" w:hAnsi="Times New Roman"/>
          <w:color w:val="000000"/>
        </w:rPr>
        <w:t>Statistical result annotations identify the component, actual file name and one-based CSV row and column. The header is row 1 and the first observation is row 2. For example, consumer/​rolling_​summary.csv/​row 6 col 3 identifies the Consumer rolling-summary minimum in that exact cell. File names in captions identify the inputs or outputs underlying the whole table or figure. Dates, years, forecast amounts and configured assumptions are not individually annotated. Display rounding does not change the underlying calculation.</w:t>
      </w:r>
    </w:p>
    <w:p>
      <w:pPr>
        <w:widowControl/>
      </w:pPr>
      <w:r>
        <w:rPr>
          <w:rFonts w:ascii="Times New Roman" w:hAnsi="Times New Roman"/>
          <w:color w:val="000000"/>
        </w:rPr>
        <w:t>Component prefixes distinguish identically named files. The locations below resolve each prefix to its retained local directory. The file name following the prefix is unchanged. Code references use the actual Python file name and line numbers.</w:t>
      </w:r>
    </w:p>
    <w:p>
      <w:pPr>
        <w:pStyle w:val="Heading3"/>
        <w:keepNext/>
        <w:widowControl/>
      </w:pPr>
      <w:r>
        <w:rPr>
          <w:rFonts w:ascii="Times New Roman" w:hAnsi="Times New Roman"/>
          <w:color w:val="000000"/>
        </w:rPr>
        <w:t>Commercial source locations</w:t>
      </w:r>
    </w:p>
    <w:p>
      <w:pPr>
        <w:widowControl/>
        <w:spacing w:before="60" w:after="120"/>
      </w:pPr>
      <w:r>
        <w:rPr>
          <w:rFonts w:ascii="Times New Roman" w:hAnsi="Times New Roman" w:eastAsia="Noto Sans CJK SC"/>
          <w:color w:val="000000"/>
          <w:sz w:val="18"/>
          <w:lang w:val="en-US" w:eastAsia="zh-CN"/>
        </w:rPr>
        <w:t>commercial/​data/​ → /​Users/​hyx/​Documents/​ChatGPT/​Cardfee/​outputs/​commercial_​card_​full_​recursive_​20261013/​commercial_​card_​model/​data</w:t>
      </w:r>
    </w:p>
    <w:p>
      <w:pPr>
        <w:widowControl/>
        <w:spacing w:before="60" w:after="120"/>
      </w:pPr>
      <w:r>
        <w:rPr>
          <w:rFonts w:ascii="Times New Roman" w:hAnsi="Times New Roman" w:eastAsia="Noto Sans CJK SC"/>
          <w:color w:val="000000"/>
          <w:sz w:val="18"/>
          <w:lang w:val="en-US" w:eastAsia="zh-CN"/>
        </w:rPr>
        <w:t>commercial/​ CSV outputs → /​Users/​hyx/​Documents/​ChatGPT/​Cardfee/​.commercial_​card_​full_​recursive_​20261013/​results</w:t>
      </w:r>
    </w:p>
    <w:p>
      <w:pPr>
        <w:widowControl/>
        <w:spacing w:before="60" w:after="120"/>
      </w:pPr>
      <w:r>
        <w:rPr>
          <w:rFonts w:ascii="Times New Roman" w:hAnsi="Times New Roman" w:eastAsia="Noto Sans CJK SC"/>
          <w:color w:val="000000"/>
          <w:sz w:val="18"/>
          <w:lang w:val="en-US" w:eastAsia="zh-CN"/>
        </w:rPr>
        <w:t>commercial/​commercial_​card_​model.py → /​Users/​hyx/​Documents/​ChatGPT/​Cardfee/​outputs/​commercial_​card_​full_​recursive_​20261013/​commercial_​card_​model/​commercial_​card_​model.py</w:t>
      </w:r>
    </w:p>
    <w:p>
      <w:pPr>
        <w:pStyle w:val="Heading3"/>
        <w:keepNext/>
        <w:widowControl/>
      </w:pPr>
      <w:r>
        <w:rPr>
          <w:rFonts w:ascii="Times New Roman" w:hAnsi="Times New Roman"/>
          <w:color w:val="000000"/>
        </w:rPr>
        <w:t>Consumer source locations</w:t>
      </w:r>
    </w:p>
    <w:p>
      <w:pPr>
        <w:widowControl/>
        <w:spacing w:before="60" w:after="120"/>
      </w:pPr>
      <w:r>
        <w:rPr>
          <w:rFonts w:ascii="Times New Roman" w:hAnsi="Times New Roman" w:eastAsia="Noto Sans CJK SC"/>
          <w:color w:val="000000"/>
          <w:sz w:val="18"/>
          <w:lang w:val="en-US" w:eastAsia="zh-CN"/>
        </w:rPr>
        <w:t>consumer/​data/​ → /​Users/​hyx/​Documents/​ChatGPT/​Cardfee/​.consumer_​student_​t_​build_​20261013/​consumer_​card_​model/​data</w:t>
      </w:r>
    </w:p>
    <w:p>
      <w:pPr>
        <w:widowControl/>
        <w:spacing w:before="60" w:after="120"/>
      </w:pPr>
      <w:r>
        <w:rPr>
          <w:rFonts w:ascii="Times New Roman" w:hAnsi="Times New Roman" w:eastAsia="Noto Sans CJK SC"/>
          <w:color w:val="000000"/>
          <w:sz w:val="18"/>
          <w:lang w:val="en-US" w:eastAsia="zh-CN"/>
        </w:rPr>
        <w:t>consumer/​ CSV outputs → /​Users/​hyx/​Documents/​ChatGPT/​Cardfee/​outputs/​consumer_​card_​student_​t_​20261013/​results</w:t>
      </w:r>
    </w:p>
    <w:p>
      <w:pPr>
        <w:widowControl/>
        <w:spacing w:before="60" w:after="120"/>
      </w:pPr>
      <w:r>
        <w:rPr>
          <w:rFonts w:ascii="Times New Roman" w:hAnsi="Times New Roman" w:eastAsia="Noto Sans CJK SC"/>
          <w:color w:val="000000"/>
          <w:sz w:val="18"/>
          <w:lang w:val="en-US" w:eastAsia="zh-CN"/>
        </w:rPr>
        <w:t>consumer/​consumer_​card_​model.py → /​Users/​hyx/​Documents/​ChatGPT/​Cardfee/​.consumer_​student_​t_​build_​20261013/​consumer_​card_​model/​consumer_​card_​model.py</w:t>
      </w:r>
    </w:p>
    <w:p>
      <w:pPr>
        <w:pStyle w:val="Heading3"/>
        <w:keepNext/>
        <w:widowControl/>
      </w:pPr>
      <w:r>
        <w:rPr>
          <w:rFonts w:ascii="Times New Roman" w:hAnsi="Times New Roman"/>
          <w:color w:val="000000"/>
        </w:rPr>
        <w:t>Debit source locations</w:t>
      </w:r>
    </w:p>
    <w:p>
      <w:pPr>
        <w:widowControl/>
        <w:spacing w:before="60" w:after="120"/>
      </w:pPr>
      <w:r>
        <w:rPr>
          <w:rFonts w:ascii="Times New Roman" w:hAnsi="Times New Roman"/>
          <w:color w:val="000000"/>
          <w:sz w:val="18"/>
        </w:rPr>
        <w:t>debit/​data/​ → /​Users/​hyx/​Documents/​ChatGPT/​Cardfee/​outputs/​cardfee_​standardized_​20261001/​debit_​card_​model/​data</w:t>
      </w:r>
    </w:p>
    <w:p>
      <w:pPr>
        <w:widowControl/>
        <w:spacing w:before="60" w:after="120"/>
      </w:pPr>
      <w:r>
        <w:rPr>
          <w:rFonts w:ascii="Times New Roman" w:hAnsi="Times New Roman"/>
          <w:color w:val="000000"/>
          <w:sz w:val="18"/>
        </w:rPr>
        <w:t>debit/​ CSV outputs → /​Users/​hyx/​Documents/​ChatGPT/​Cardfee/​.card_​fee_​mdd_​20261009/​results/​debit</w:t>
      </w:r>
    </w:p>
    <w:p>
      <w:pPr>
        <w:widowControl/>
        <w:spacing w:before="60" w:after="120"/>
      </w:pPr>
      <w:r>
        <w:rPr>
          <w:rFonts w:ascii="Times New Roman" w:hAnsi="Times New Roman"/>
          <w:color w:val="000000"/>
          <w:sz w:val="18"/>
        </w:rPr>
        <w:t>debit/​debit_​card_​model.py → /​Users/​hyx/​Documents/​ChatGPT/​Cardfee/​outputs/​cardfee_​standardized_​20261001/​debit_​card_​model/​debit_​card_​model.py</w:t>
      </w:r>
    </w:p>
    <w:sectPr w:rsidR="00FC693F" w:rsidRPr="0006063C" w:rsidSect="00034616">
      <w:footerReference w:type="default" r:id="rId9"/>
      <w:pgSz w:w="12240" w:h="15840"/>
      <w:pgMar w:top="1008" w:right="1152" w:bottom="1008" w:left="1152" w:header="720" w:footer="432"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Reviewer" w:initials="RV" w:date="2026-10-09T23:31:54Z">
    <w:p>
      <w:pPr>
        <w:pStyle w:val="CommentText"/>
      </w:pPr>
      <w:r>
        <w:rPr>
          <w:rStyle w:val="CommentReference"/>
        </w:rPr>
        <w:annotationRef/>
      </w:r>
      <w:r>
        <w:t>Revised narrative and supporting exhibits for this section. Existing component results and source references retained; unverified approvals remain completion items.</w:t>
      </w:r>
    </w:p>
  </w:comment>
  <w:comment w:id="1" w:author="Reviewer" w:initials="RV" w:date="2026-10-09T23:31:54Z">
    <w:p>
      <w:pPr>
        <w:pStyle w:val="CommentText"/>
      </w:pPr>
      <w:r>
        <w:rPr>
          <w:rStyle w:val="CommentReference"/>
        </w:rPr>
        <w:annotationRef/>
      </w:r>
      <w:r>
        <w:t>Revised narrative and supporting exhibits for this section. Existing component results and source references retained; unverified approvals remain completion items.</w:t>
      </w:r>
    </w:p>
  </w:comment>
  <w:comment w:id="2" w:author="Reviewer" w:initials="RV" w:date="2026-10-09T23:31:54Z">
    <w:p>
      <w:pPr>
        <w:pStyle w:val="CommentText"/>
      </w:pPr>
      <w:r>
        <w:rPr>
          <w:rStyle w:val="CommentReference"/>
        </w:rPr>
        <w:annotationRef/>
      </w:r>
      <w:r>
        <w:t>Revised narrative and supporting exhibits for this section. Existing component results and source references retained; unverified approvals remain completion items.</w:t>
      </w:r>
    </w:p>
  </w:comment>
  <w:comment w:id="3" w:author="Reviewer" w:initials="RV" w:date="2026-10-09T23:31:54Z">
    <w:p>
      <w:pPr>
        <w:pStyle w:val="CommentText"/>
      </w:pPr>
      <w:r>
        <w:rPr>
          <w:rStyle w:val="CommentReference"/>
        </w:rPr>
        <w:annotationRef/>
      </w:r>
      <w:r>
        <w:t>Revised narrative and supporting exhibits for this section. Existing component results and source references retained; unverified approvals remain completion items.</w:t>
      </w:r>
    </w:p>
  </w:comment>
  <w:comment w:id="4" w:author="Reviewer" w:initials="RV" w:date="2026-10-09T23:31:54Z">
    <w:p>
      <w:pPr>
        <w:pStyle w:val="CommentText"/>
      </w:pPr>
      <w:r>
        <w:rPr>
          <w:rStyle w:val="CommentReference"/>
        </w:rPr>
        <w:annotationRef/>
      </w:r>
      <w:r>
        <w:t>Revised narrative and supporting exhibits for this section. Existing component results and source references retained; unverified approvals remain completion items.</w:t>
      </w:r>
    </w:p>
  </w:comment>
  <w:comment w:id="5" w:author="Reviewer" w:initials="RV" w:date="2026-10-09T23:31:54Z">
    <w:p>
      <w:pPr>
        <w:pStyle w:val="CommentText"/>
      </w:pPr>
      <w:r>
        <w:rPr>
          <w:rStyle w:val="CommentReference"/>
        </w:rPr>
        <w:annotationRef/>
      </w:r>
      <w:r>
        <w:t>Revised narrative and supporting exhibits for this section. Existing component results and source references retained; unverified approvals remain completion items.</w:t>
      </w:r>
    </w:p>
  </w:comment>
  <w:comment w:id="6" w:author="Reviewer" w:initials="RV" w:date="2026-10-09T23:31:55Z">
    <w:p>
      <w:pPr>
        <w:pStyle w:val="CommentText"/>
      </w:pPr>
      <w:r>
        <w:rPr>
          <w:rStyle w:val="CommentReference"/>
        </w:rPr>
        <w:annotationRef/>
      </w:r>
      <w:r>
        <w:t>Revised narrative and supporting exhibits for this section. Existing component results and source references retained; unverified approvals remain completion items.</w:t>
      </w:r>
    </w:p>
  </w:comment>
  <w:comment w:id="7" w:author="Reviewer" w:initials="RV" w:date="2026-10-09T23:31:55Z">
    <w:p>
      <w:pPr>
        <w:pStyle w:val="CommentText"/>
      </w:pPr>
      <w:r>
        <w:rPr>
          <w:rStyle w:val="CommentReference"/>
        </w:rPr>
        <w:annotationRef/>
      </w:r>
      <w:r>
        <w:t>Revised narrative and supporting exhibits for this section. Existing component results and source references retained; unverified approvals remain completion items.</w:t>
      </w:r>
    </w:p>
  </w:comment>
  <w:comment w:id="8" w:author="Reviewer" w:initials="RV" w:date="2026-10-09T23:31:55Z">
    <w:p>
      <w:pPr>
        <w:pStyle w:val="CommentText"/>
      </w:pPr>
      <w:r>
        <w:rPr>
          <w:rStyle w:val="CommentReference"/>
        </w:rPr>
        <w:annotationRef/>
      </w:r>
      <w:r>
        <w:t>Revised narrative and supporting exhibits for this section. Existing component results and source references retained; unverified approvals remain completion items.</w:t>
      </w:r>
    </w:p>
  </w:comment>
  <w:comment w:id="9" w:author="Reviewer" w:initials="RV" w:date="2026-10-09T23:31:55Z">
    <w:p>
      <w:pPr>
        <w:pStyle w:val="CommentText"/>
      </w:pPr>
      <w:r>
        <w:rPr>
          <w:rStyle w:val="CommentReference"/>
        </w:rPr>
        <w:annotationRef/>
      </w:r>
      <w:r>
        <w:t>Revised narrative and supporting exhibits for this section. Existing component results and source references retained; unverified approvals remain completion items.</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imes New Roman" w:hAnsi="Times New Roman" w:eastAsia="Times New Roman" w:cs="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imes New Roman" w:hAnsi="Times New Roman" w:eastAsia="Times New Roman" w:cs="Times New Roman"/>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imes New Roman" w:hAnsi="Times New Roman" w:eastAsia="Times New Roman" w:cs="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pPr>
    <w:rPr>
      <w:rFonts w:ascii="Times New Roman" w:hAnsi="Times New Roman" w:eastAsia="Times New Roman" w:cs="Times New Roman"/>
      <w:b/>
      <w:bCs/>
      <w:i w:val="0"/>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comments" Target="comments.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Card Fee Model Development Documentation v5</dc:title>
  <dc:subject>Version 6</dc:subject>
  <dc:creator/>
  <cp:keywords/>
  <dc:description>Updated against Commercial Full Recursive OOT and Consumer Student-t code packages dated 2026-10-13.</dc:description>
  <cp:lastModifiedBy/>
  <cp:revision>1</cp:revision>
  <dcterms:created xsi:type="dcterms:W3CDTF">2013-12-23T23:15:00Z</dcterms:created>
  <dcterms:modified xsi:type="dcterms:W3CDTF">2013-12-23T23:15:00Z</dcterms:modified>
  <cp:category/>
  <cp:version>5</cp:version>
  <dc:language>en-US</dc:language>
</cp:coreProperties>
</file>