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9A86DC" w14:textId="77777777" w:rsidR="00B17EE3" w:rsidRDefault="00000000">
      <w:pPr>
        <w:pStyle w:val="aa"/>
      </w:pPr>
      <w:r>
        <w:t>Debit Card Fee Model</w:t>
      </w:r>
    </w:p>
    <w:p w14:paraId="53348AED" w14:textId="77777777" w:rsidR="00B17EE3" w:rsidRDefault="00000000">
      <w:pPr>
        <w:spacing w:after="240"/>
      </w:pPr>
      <w:r>
        <w:rPr>
          <w:color w:val="555555"/>
          <w:sz w:val="23"/>
        </w:rPr>
        <w:t>Model development and adopted forecast treatment</w:t>
      </w:r>
    </w:p>
    <w:p w14:paraId="21C27A3F" w14:textId="77777777" w:rsidR="00B17EE3" w:rsidRDefault="00000000">
      <w:pPr>
        <w:pStyle w:val="1"/>
      </w:pPr>
      <w:r>
        <w:t>Model Conclusion</w:t>
      </w:r>
    </w:p>
    <w:p w14:paraId="3CD875B0" w14:textId="77777777" w:rsidR="00B17EE3" w:rsidRDefault="00000000">
      <w:pPr>
        <w:spacing w:after="140"/>
      </w:pPr>
      <w:r>
        <w:t>This analysis evaluates debit card fee revenue and documents why the adopted treatment uses a current-run-rate baseline and a historically calibrated stress floor instead of a fitted macro regression. The four regression frameworks tested did not pass standard diagnostics, and the series shows an unexplained, sustained level shift beginning in Q1 2015.</w:t>
      </w:r>
    </w:p>
    <w:p w14:paraId="5727C09F" w14:textId="77777777" w:rsidR="00B17EE3" w:rsidRDefault="00000000">
      <w:pPr>
        <w:pStyle w:val="1"/>
      </w:pPr>
      <w:r>
        <w:t>Data Scope and Adjustments</w:t>
      </w:r>
    </w:p>
    <w:p w14:paraId="2B156BE1" w14:textId="77777777" w:rsidR="00B17EE3" w:rsidRDefault="00000000">
      <w:r>
        <w:t>The target is debit card fee revenue. Calendar year 2011 is excluded entirely because the Durbin Amendment's debit interchange cap for large covered issuers with more than $10 billion in assets took effect on October 1, 2011. The series shows the textbook signature of a directly covered issuer: fee revenue fell approximately 59% in the month the cap took effect.</w:t>
      </w:r>
    </w:p>
    <w:p w14:paraId="6FD86197" w14:textId="77777777" w:rsidR="00B17EE3" w:rsidRDefault="00000000">
      <w:pPr>
        <w:spacing w:after="140"/>
      </w:pPr>
      <w:r>
        <w:t>Two additional one-time anomalies, March 2012 ($1,650) and December 2012 ($2,916), were confirmed by the business as reversals of accrued purchase-perks and card-rewards expense unrelated to core transactional activity. Each observation is replaced with the average of its adjacent months.</w:t>
      </w:r>
    </w:p>
    <w:p w14:paraId="5B24C94D" w14:textId="77777777" w:rsidR="00B17EE3" w:rsidRDefault="00000000">
      <w:pPr>
        <w:pStyle w:val="1"/>
      </w:pPr>
      <w:r>
        <w:t>1 Regression Exploration</w:t>
      </w:r>
    </w:p>
    <w:p w14:paraId="2D4B7AF2" w14:textId="77777777" w:rsidR="00B17EE3" w:rsidRDefault="00000000">
      <w:pPr>
        <w:keepNext/>
      </w:pPr>
      <w:r>
        <w:t>The target's order of integration was tested first because it determines which modeling framework is valid. At the raw, spike-contaminated level, the augmented Dickey-Fuller test (ADF, p = 0.013) and the Kwiatkowski-Phillips-Schmidt-Shin test (KPSS, p = 0.010) contradicted each other. After the two confirmed one-time spikes are cleaned, the contradiction resolves: ADF fails to reject the unit root (p = 0.586), while KPSS rejects stationarity (p = 0.010). Both tests therefore indicate that the level is genuinely I(1). Four specifications were built and compared.</w:t>
      </w:r>
    </w:p>
    <w:tbl>
      <w:tblPr>
        <w:tblStyle w:val="aff1"/>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744"/>
        <w:gridCol w:w="1872"/>
        <w:gridCol w:w="4248"/>
      </w:tblGrid>
      <w:tr w:rsidR="00B17EE3" w14:paraId="381C27CF" w14:textId="77777777">
        <w:trPr>
          <w:cantSplit/>
          <w:tblHeader/>
          <w:jc w:val="center"/>
        </w:trPr>
        <w:tc>
          <w:tcPr>
            <w:tcW w:w="3744" w:type="dxa"/>
            <w:shd w:val="clear" w:color="auto" w:fill="1F4E78"/>
            <w:tcMar>
              <w:top w:w="95" w:type="dxa"/>
              <w:left w:w="115" w:type="dxa"/>
              <w:bottom w:w="95" w:type="dxa"/>
              <w:right w:w="115" w:type="dxa"/>
            </w:tcMar>
            <w:vAlign w:val="center"/>
          </w:tcPr>
          <w:p w14:paraId="43B865F0" w14:textId="77777777" w:rsidR="00B17EE3" w:rsidRDefault="00000000">
            <w:pPr>
              <w:spacing w:after="0" w:line="252" w:lineRule="auto"/>
            </w:pPr>
            <w:r>
              <w:rPr>
                <w:b/>
                <w:color w:val="FFFFFF"/>
                <w:sz w:val="18"/>
              </w:rPr>
              <w:t>Approach</w:t>
            </w:r>
          </w:p>
        </w:tc>
        <w:tc>
          <w:tcPr>
            <w:tcW w:w="1872" w:type="dxa"/>
            <w:shd w:val="clear" w:color="auto" w:fill="1F4E78"/>
            <w:tcMar>
              <w:top w:w="95" w:type="dxa"/>
              <w:left w:w="115" w:type="dxa"/>
              <w:bottom w:w="95" w:type="dxa"/>
              <w:right w:w="115" w:type="dxa"/>
            </w:tcMar>
            <w:vAlign w:val="center"/>
          </w:tcPr>
          <w:p w14:paraId="142B81BB" w14:textId="77777777" w:rsidR="00B17EE3" w:rsidRDefault="00000000">
            <w:pPr>
              <w:spacing w:after="0" w:line="252" w:lineRule="auto"/>
              <w:jc w:val="center"/>
            </w:pPr>
            <w:r>
              <w:rPr>
                <w:b/>
                <w:color w:val="FFFFFF"/>
                <w:sz w:val="18"/>
              </w:rPr>
              <w:t>Target stationarity</w:t>
            </w:r>
          </w:p>
        </w:tc>
        <w:tc>
          <w:tcPr>
            <w:tcW w:w="4248" w:type="dxa"/>
            <w:shd w:val="clear" w:color="auto" w:fill="1F4E78"/>
            <w:tcMar>
              <w:top w:w="95" w:type="dxa"/>
              <w:left w:w="115" w:type="dxa"/>
              <w:bottom w:w="95" w:type="dxa"/>
              <w:right w:w="115" w:type="dxa"/>
            </w:tcMar>
            <w:vAlign w:val="center"/>
          </w:tcPr>
          <w:p w14:paraId="641C98BB" w14:textId="77777777" w:rsidR="00B17EE3" w:rsidRDefault="00000000">
            <w:pPr>
              <w:spacing w:after="0" w:line="252" w:lineRule="auto"/>
            </w:pPr>
            <w:r>
              <w:rPr>
                <w:b/>
                <w:color w:val="FFFFFF"/>
                <w:sz w:val="18"/>
              </w:rPr>
              <w:t>Diagnostics</w:t>
            </w:r>
          </w:p>
        </w:tc>
      </w:tr>
      <w:tr w:rsidR="00B17EE3" w14:paraId="33086A50" w14:textId="77777777">
        <w:trPr>
          <w:cantSplit/>
          <w:jc w:val="center"/>
        </w:trPr>
        <w:tc>
          <w:tcPr>
            <w:tcW w:w="3744" w:type="dxa"/>
            <w:shd w:val="clear" w:color="auto" w:fill="EAF2F8"/>
            <w:tcMar>
              <w:top w:w="95" w:type="dxa"/>
              <w:left w:w="115" w:type="dxa"/>
              <w:bottom w:w="95" w:type="dxa"/>
              <w:right w:w="115" w:type="dxa"/>
            </w:tcMar>
            <w:vAlign w:val="center"/>
          </w:tcPr>
          <w:p w14:paraId="2B2FFCED" w14:textId="77777777" w:rsidR="00B17EE3" w:rsidRDefault="00000000">
            <w:pPr>
              <w:spacing w:after="0" w:line="252" w:lineRule="auto"/>
            </w:pPr>
            <w:r>
              <w:rPr>
                <w:b/>
                <w:sz w:val="18"/>
              </w:rPr>
              <w:t>Level, direct ARDL (</w:t>
            </w:r>
            <w:bookmarkStart w:id="0" w:name="OLE_LINK2"/>
            <w:r>
              <w:rPr>
                <w:b/>
                <w:sz w:val="18"/>
              </w:rPr>
              <w:t>AR(1) + DPI + Unrate</w:t>
            </w:r>
            <w:bookmarkEnd w:id="0"/>
            <w:r>
              <w:rPr>
                <w:b/>
                <w:sz w:val="18"/>
              </w:rPr>
              <w:t>)</w:t>
            </w:r>
          </w:p>
        </w:tc>
        <w:tc>
          <w:tcPr>
            <w:tcW w:w="1872" w:type="dxa"/>
            <w:shd w:val="clear" w:color="auto" w:fill="EAF2F8"/>
            <w:tcMar>
              <w:top w:w="95" w:type="dxa"/>
              <w:left w:w="115" w:type="dxa"/>
              <w:bottom w:w="95" w:type="dxa"/>
              <w:right w:w="115" w:type="dxa"/>
            </w:tcMar>
            <w:vAlign w:val="center"/>
          </w:tcPr>
          <w:p w14:paraId="6B06E9EF" w14:textId="77777777" w:rsidR="00B17EE3" w:rsidRDefault="00000000">
            <w:pPr>
              <w:spacing w:after="0" w:line="252" w:lineRule="auto"/>
              <w:jc w:val="center"/>
            </w:pPr>
            <w:r>
              <w:rPr>
                <w:sz w:val="18"/>
              </w:rPr>
              <w:t>I(1), spike-cleaned</w:t>
            </w:r>
          </w:p>
        </w:tc>
        <w:tc>
          <w:tcPr>
            <w:tcW w:w="4248" w:type="dxa"/>
            <w:shd w:val="clear" w:color="auto" w:fill="EAF2F8"/>
            <w:tcMar>
              <w:top w:w="95" w:type="dxa"/>
              <w:left w:w="115" w:type="dxa"/>
              <w:bottom w:w="95" w:type="dxa"/>
              <w:right w:w="115" w:type="dxa"/>
            </w:tcMar>
            <w:vAlign w:val="center"/>
          </w:tcPr>
          <w:p w14:paraId="03496DDD" w14:textId="77777777" w:rsidR="00B17EE3" w:rsidRDefault="00000000">
            <w:pPr>
              <w:spacing w:before="40" w:after="40" w:line="252" w:lineRule="auto"/>
            </w:pPr>
            <w:r>
              <w:rPr>
                <w:sz w:val="18"/>
              </w:rPr>
              <w:t>No first-step model: 0/194 candidates passed all four gates. Only y_lag2 met DW, but JB p = 0.00285. y_lag1 failed DW (2.5363).</w:t>
            </w:r>
          </w:p>
        </w:tc>
      </w:tr>
      <w:tr w:rsidR="00B17EE3" w14:paraId="45B3DD31" w14:textId="77777777">
        <w:trPr>
          <w:cantSplit/>
          <w:jc w:val="center"/>
        </w:trPr>
        <w:tc>
          <w:tcPr>
            <w:tcW w:w="3744" w:type="dxa"/>
            <w:shd w:val="clear" w:color="auto" w:fill="FFFFFF"/>
            <w:tcMar>
              <w:top w:w="95" w:type="dxa"/>
              <w:left w:w="115" w:type="dxa"/>
              <w:bottom w:w="95" w:type="dxa"/>
              <w:right w:w="115" w:type="dxa"/>
            </w:tcMar>
            <w:vAlign w:val="center"/>
          </w:tcPr>
          <w:p w14:paraId="64E34D4A" w14:textId="77777777" w:rsidR="00B17EE3" w:rsidRDefault="00000000">
            <w:pPr>
              <w:spacing w:after="0" w:line="252" w:lineRule="auto"/>
            </w:pPr>
            <w:r>
              <w:rPr>
                <w:b/>
                <w:sz w:val="18"/>
              </w:rPr>
              <w:t>YoY, Engle-Granger long-run + ECM short-run</w:t>
            </w:r>
          </w:p>
        </w:tc>
        <w:tc>
          <w:tcPr>
            <w:tcW w:w="1872" w:type="dxa"/>
            <w:shd w:val="clear" w:color="auto" w:fill="FFFFFF"/>
            <w:tcMar>
              <w:top w:w="95" w:type="dxa"/>
              <w:left w:w="115" w:type="dxa"/>
              <w:bottom w:w="95" w:type="dxa"/>
              <w:right w:w="115" w:type="dxa"/>
            </w:tcMar>
            <w:vAlign w:val="center"/>
          </w:tcPr>
          <w:p w14:paraId="7F18F2A3" w14:textId="77777777" w:rsidR="00B17EE3" w:rsidRDefault="00000000">
            <w:pPr>
              <w:spacing w:after="0" w:line="252" w:lineRule="auto"/>
              <w:jc w:val="center"/>
            </w:pPr>
            <w:r>
              <w:rPr>
                <w:sz w:val="18"/>
              </w:rPr>
              <w:t>I(0) after transform</w:t>
            </w:r>
          </w:p>
        </w:tc>
        <w:tc>
          <w:tcPr>
            <w:tcW w:w="4248" w:type="dxa"/>
            <w:shd w:val="clear" w:color="auto" w:fill="FFFFFF"/>
            <w:tcMar>
              <w:top w:w="95" w:type="dxa"/>
              <w:left w:w="115" w:type="dxa"/>
              <w:bottom w:w="95" w:type="dxa"/>
              <w:right w:w="115" w:type="dxa"/>
            </w:tcMar>
            <w:vAlign w:val="center"/>
          </w:tcPr>
          <w:p w14:paraId="7B21407C" w14:textId="77777777" w:rsidR="00B17EE3" w:rsidRDefault="00000000">
            <w:pPr>
              <w:spacing w:before="40" w:after="40" w:line="252" w:lineRule="auto"/>
            </w:pPr>
            <w:r>
              <w:rPr>
                <w:sz w:val="18"/>
              </w:rPr>
              <w:t>Stopped before EG/ECM: 0/14 contemporaneous YoY macro candidates passed; all failed JB (highest p = 9.56e-23). No cointegration test or ECM was estimated.</w:t>
            </w:r>
          </w:p>
        </w:tc>
      </w:tr>
      <w:tr w:rsidR="00B17EE3" w14:paraId="6CD7A543" w14:textId="77777777">
        <w:trPr>
          <w:cantSplit/>
          <w:jc w:val="center"/>
        </w:trPr>
        <w:tc>
          <w:tcPr>
            <w:tcW w:w="3744" w:type="dxa"/>
            <w:shd w:val="clear" w:color="auto" w:fill="EAF2F8"/>
            <w:tcMar>
              <w:top w:w="95" w:type="dxa"/>
              <w:left w:w="115" w:type="dxa"/>
              <w:bottom w:w="95" w:type="dxa"/>
              <w:right w:w="115" w:type="dxa"/>
            </w:tcMar>
            <w:vAlign w:val="center"/>
          </w:tcPr>
          <w:p w14:paraId="20397C4A" w14:textId="77777777" w:rsidR="00B17EE3" w:rsidRDefault="00000000">
            <w:pPr>
              <w:spacing w:after="0" w:line="252" w:lineRule="auto"/>
            </w:pPr>
            <w:r>
              <w:rPr>
                <w:b/>
                <w:sz w:val="18"/>
              </w:rPr>
              <w:t>MoM, ARDL (best fallback: y_lag1 only)</w:t>
            </w:r>
          </w:p>
        </w:tc>
        <w:tc>
          <w:tcPr>
            <w:tcW w:w="1872" w:type="dxa"/>
            <w:shd w:val="clear" w:color="auto" w:fill="EAF2F8"/>
            <w:tcMar>
              <w:top w:w="95" w:type="dxa"/>
              <w:left w:w="115" w:type="dxa"/>
              <w:bottom w:w="95" w:type="dxa"/>
              <w:right w:w="115" w:type="dxa"/>
            </w:tcMar>
            <w:vAlign w:val="center"/>
          </w:tcPr>
          <w:p w14:paraId="5861F467" w14:textId="77777777" w:rsidR="00B17EE3" w:rsidRDefault="00000000">
            <w:pPr>
              <w:spacing w:after="0" w:line="252" w:lineRule="auto"/>
              <w:jc w:val="center"/>
            </w:pPr>
            <w:r>
              <w:rPr>
                <w:sz w:val="18"/>
              </w:rPr>
              <w:t>I(0), unambiguous</w:t>
            </w:r>
          </w:p>
        </w:tc>
        <w:tc>
          <w:tcPr>
            <w:tcW w:w="4248" w:type="dxa"/>
            <w:shd w:val="clear" w:color="auto" w:fill="EAF2F8"/>
            <w:tcMar>
              <w:top w:w="95" w:type="dxa"/>
              <w:left w:w="115" w:type="dxa"/>
              <w:bottom w:w="95" w:type="dxa"/>
              <w:right w:w="115" w:type="dxa"/>
            </w:tcMar>
            <w:vAlign w:val="center"/>
          </w:tcPr>
          <w:p w14:paraId="40EA053C" w14:textId="77777777" w:rsidR="00B17EE3" w:rsidRDefault="00000000">
            <w:pPr>
              <w:spacing w:before="40" w:after="40" w:line="252" w:lineRule="auto"/>
            </w:pPr>
            <w:r>
              <w:rPr>
                <w:sz w:val="18"/>
              </w:rPr>
              <w:t>No first-step model: 0/194 candidates passed. All failed JB; y_lag1 had DW = 2.1139 but JB p = 8.13e-181.</w:t>
            </w:r>
          </w:p>
        </w:tc>
      </w:tr>
      <w:tr w:rsidR="00B17EE3" w14:paraId="331F1F0F" w14:textId="77777777">
        <w:trPr>
          <w:cantSplit/>
          <w:jc w:val="center"/>
        </w:trPr>
        <w:tc>
          <w:tcPr>
            <w:tcW w:w="3744" w:type="dxa"/>
            <w:shd w:val="clear" w:color="auto" w:fill="FFFFFF"/>
            <w:tcMar>
              <w:top w:w="95" w:type="dxa"/>
              <w:left w:w="115" w:type="dxa"/>
              <w:bottom w:w="95" w:type="dxa"/>
              <w:right w:w="115" w:type="dxa"/>
            </w:tcMar>
            <w:vAlign w:val="center"/>
          </w:tcPr>
          <w:p w14:paraId="27EBECB5" w14:textId="77777777" w:rsidR="00B17EE3" w:rsidRDefault="00000000">
            <w:pPr>
              <w:spacing w:after="0" w:line="252" w:lineRule="auto"/>
            </w:pPr>
            <w:r>
              <w:rPr>
                <w:b/>
                <w:sz w:val="18"/>
              </w:rPr>
              <w:t>QoQ, ARDL (best fallback: y_lag3 only)</w:t>
            </w:r>
          </w:p>
        </w:tc>
        <w:tc>
          <w:tcPr>
            <w:tcW w:w="1872" w:type="dxa"/>
            <w:shd w:val="clear" w:color="auto" w:fill="FFFFFF"/>
            <w:tcMar>
              <w:top w:w="95" w:type="dxa"/>
              <w:left w:w="115" w:type="dxa"/>
              <w:bottom w:w="95" w:type="dxa"/>
              <w:right w:w="115" w:type="dxa"/>
            </w:tcMar>
            <w:vAlign w:val="center"/>
          </w:tcPr>
          <w:p w14:paraId="20E4AEDA" w14:textId="77777777" w:rsidR="00B17EE3" w:rsidRDefault="00000000">
            <w:pPr>
              <w:spacing w:after="0" w:line="252" w:lineRule="auto"/>
              <w:jc w:val="center"/>
            </w:pPr>
            <w:r>
              <w:rPr>
                <w:sz w:val="18"/>
              </w:rPr>
              <w:t>I(0), less clean</w:t>
            </w:r>
          </w:p>
        </w:tc>
        <w:tc>
          <w:tcPr>
            <w:tcW w:w="4248" w:type="dxa"/>
            <w:shd w:val="clear" w:color="auto" w:fill="FFFFFF"/>
            <w:tcMar>
              <w:top w:w="95" w:type="dxa"/>
              <w:left w:w="115" w:type="dxa"/>
              <w:bottom w:w="95" w:type="dxa"/>
              <w:right w:w="115" w:type="dxa"/>
            </w:tcMar>
            <w:vAlign w:val="center"/>
          </w:tcPr>
          <w:p w14:paraId="0014A589" w14:textId="01F2DAE4" w:rsidR="00B17EE3" w:rsidRDefault="007C03F1">
            <w:pPr>
              <w:spacing w:before="40" w:after="40" w:line="252" w:lineRule="auto"/>
            </w:pPr>
            <w:proofErr w:type="gramStart"/>
            <w:r>
              <w:rPr>
                <w:rFonts w:hint="eastAsia"/>
                <w:sz w:val="18"/>
                <w:lang w:eastAsia="zh-CN"/>
              </w:rPr>
              <w:t>No</w:t>
            </w:r>
            <w:proofErr w:type="gramEnd"/>
            <w:r w:rsidR="00285460">
              <w:rPr>
                <w:sz w:val="18"/>
                <w:lang w:eastAsia="zh-CN"/>
              </w:rPr>
              <w:t xml:space="preserve"> </w:t>
            </w:r>
            <w:r>
              <w:rPr>
                <w:rFonts w:hint="eastAsia"/>
                <w:sz w:val="18"/>
                <w:lang w:eastAsia="zh-CN"/>
              </w:rPr>
              <w:t>first-step model</w:t>
            </w:r>
            <w:r>
              <w:rPr>
                <w:rFonts w:ascii="微软雅黑" w:eastAsia="微软雅黑" w:hAnsi="微软雅黑" w:cs="微软雅黑"/>
                <w:sz w:val="18"/>
                <w:lang w:eastAsia="zh-CN"/>
              </w:rPr>
              <w:t>:</w:t>
            </w:r>
            <w:r w:rsidR="00000000">
              <w:rPr>
                <w:sz w:val="18"/>
              </w:rPr>
              <w:t xml:space="preserve"> 0/74 candidates passed; all failed JB (highest p = 0.01629). </w:t>
            </w:r>
          </w:p>
        </w:tc>
      </w:tr>
    </w:tbl>
    <w:p w14:paraId="4BF75552" w14:textId="290D5A51" w:rsidR="00B17EE3" w:rsidRDefault="00000000">
      <w:pPr>
        <w:spacing w:before="120" w:after="160" w:line="252" w:lineRule="auto"/>
      </w:pPr>
      <w:r>
        <w:rPr>
          <w:sz w:val="18"/>
        </w:rPr>
        <w:t xml:space="preserve">Diagnostics scope. Fresh intercept-only, single-term forward selection with 14 macro series, monthly lags up to 12 or quarterly lags up to 4, and a September 2023 training cutoff. Each addition required new-term OLS p &lt; 0.05, DW between 1.5 and 2.5, JB p &gt; 0.05 and all nonconstant VIF &lt; 10. </w:t>
      </w:r>
    </w:p>
    <w:p w14:paraId="6A910E37" w14:textId="77777777" w:rsidR="00B17EE3" w:rsidRDefault="00B17EE3">
      <w:pPr>
        <w:spacing w:before="20" w:after="0" w:line="240" w:lineRule="auto"/>
      </w:pPr>
    </w:p>
    <w:p w14:paraId="59DB559B" w14:textId="77777777" w:rsidR="00B17EE3" w:rsidRDefault="00000000">
      <w:pPr>
        <w:pStyle w:val="1"/>
      </w:pPr>
      <w:r>
        <w:lastRenderedPageBreak/>
        <w:t>2 Unconfirmed Anomaly in 2014</w:t>
      </w:r>
    </w:p>
    <w:p w14:paraId="4E6FFE4A" w14:textId="77777777" w:rsidR="00B17EE3" w:rsidRDefault="00000000">
      <w:pPr>
        <w:spacing w:after="140"/>
      </w:pPr>
      <w:r>
        <w:t>The short-run and growth-rate specifications' Jarque-Bera failures trace to a specific, previously unidentified event. Fee revenue rose 78% month over month in March 2014, reaching $1,506 from a baseline of approximately $700 to $1,100. It rose 37% month over month in June 2014, reaching $1,504. Each increase was followed by a partial reversal in the next month: -34.5% in April 2014 and -26.5% in July 2014.</w:t>
      </w:r>
    </w:p>
    <w:p w14:paraId="397B34B3" w14:textId="77777777" w:rsidR="00B17EE3" w:rsidRDefault="00000000">
      <w:pPr>
        <w:pStyle w:val="1"/>
      </w:pPr>
      <w:r>
        <w:t>3 Permanent Break in Q1 2015</w:t>
      </w:r>
    </w:p>
    <w:p w14:paraId="46A18C5F" w14:textId="77777777" w:rsidR="00B17EE3" w:rsidRDefault="00000000">
      <w:pPr>
        <w:keepNext/>
      </w:pPr>
      <w:r>
        <w:t>Quarterly fee revenue reveals a third anomaly that is materially larger than the confirmed 2012 or suspected 2014 events: a sustained, non-reverting step-up in the level beginning in Q1 2015.</w:t>
      </w:r>
    </w:p>
    <w:tbl>
      <w:tblPr>
        <w:tblStyle w:val="aff1"/>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4824"/>
        <w:gridCol w:w="3384"/>
        <w:gridCol w:w="1656"/>
      </w:tblGrid>
      <w:tr w:rsidR="00B17EE3" w14:paraId="18926BCE" w14:textId="77777777">
        <w:trPr>
          <w:cantSplit/>
          <w:tblHeader/>
          <w:jc w:val="center"/>
        </w:trPr>
        <w:tc>
          <w:tcPr>
            <w:tcW w:w="4824" w:type="dxa"/>
            <w:shd w:val="clear" w:color="auto" w:fill="1F4E78"/>
            <w:tcMar>
              <w:top w:w="95" w:type="dxa"/>
              <w:left w:w="115" w:type="dxa"/>
              <w:bottom w:w="95" w:type="dxa"/>
              <w:right w:w="115" w:type="dxa"/>
            </w:tcMar>
            <w:vAlign w:val="center"/>
          </w:tcPr>
          <w:p w14:paraId="3E92EE15" w14:textId="77777777" w:rsidR="00B17EE3" w:rsidRDefault="00000000">
            <w:pPr>
              <w:spacing w:after="0" w:line="252" w:lineRule="auto"/>
            </w:pPr>
            <w:r>
              <w:rPr>
                <w:b/>
                <w:color w:val="FFFFFF"/>
                <w:sz w:val="18"/>
              </w:rPr>
              <w:t>Period</w:t>
            </w:r>
          </w:p>
        </w:tc>
        <w:tc>
          <w:tcPr>
            <w:tcW w:w="3384" w:type="dxa"/>
            <w:shd w:val="clear" w:color="auto" w:fill="1F4E78"/>
            <w:tcMar>
              <w:top w:w="95" w:type="dxa"/>
              <w:left w:w="115" w:type="dxa"/>
              <w:bottom w:w="95" w:type="dxa"/>
              <w:right w:w="115" w:type="dxa"/>
            </w:tcMar>
            <w:vAlign w:val="center"/>
          </w:tcPr>
          <w:p w14:paraId="25C45FBE" w14:textId="77777777" w:rsidR="00B17EE3" w:rsidRDefault="00000000">
            <w:pPr>
              <w:spacing w:after="0" w:line="252" w:lineRule="auto"/>
              <w:jc w:val="center"/>
            </w:pPr>
            <w:r>
              <w:rPr>
                <w:b/>
                <w:color w:val="FFFFFF"/>
                <w:sz w:val="18"/>
              </w:rPr>
              <w:t>Quarterly mean (spike-cleaned)</w:t>
            </w:r>
          </w:p>
        </w:tc>
        <w:tc>
          <w:tcPr>
            <w:tcW w:w="1656" w:type="dxa"/>
            <w:shd w:val="clear" w:color="auto" w:fill="1F4E78"/>
            <w:tcMar>
              <w:top w:w="95" w:type="dxa"/>
              <w:left w:w="115" w:type="dxa"/>
              <w:bottom w:w="95" w:type="dxa"/>
              <w:right w:w="115" w:type="dxa"/>
            </w:tcMar>
            <w:vAlign w:val="center"/>
          </w:tcPr>
          <w:p w14:paraId="7999B3C4" w14:textId="77777777" w:rsidR="00B17EE3" w:rsidRDefault="00000000">
            <w:pPr>
              <w:spacing w:after="0" w:line="252" w:lineRule="auto"/>
              <w:jc w:val="center"/>
            </w:pPr>
            <w:r>
              <w:rPr>
                <w:b/>
                <w:color w:val="FFFFFF"/>
                <w:sz w:val="18"/>
              </w:rPr>
              <w:t>n (quarters)</w:t>
            </w:r>
          </w:p>
        </w:tc>
      </w:tr>
      <w:tr w:rsidR="00B17EE3" w14:paraId="3896A460" w14:textId="77777777">
        <w:trPr>
          <w:cantSplit/>
          <w:jc w:val="center"/>
        </w:trPr>
        <w:tc>
          <w:tcPr>
            <w:tcW w:w="4824" w:type="dxa"/>
            <w:shd w:val="clear" w:color="auto" w:fill="EAF2F8"/>
            <w:tcMar>
              <w:top w:w="95" w:type="dxa"/>
              <w:left w:w="115" w:type="dxa"/>
              <w:bottom w:w="95" w:type="dxa"/>
              <w:right w:w="115" w:type="dxa"/>
            </w:tcMar>
            <w:vAlign w:val="center"/>
          </w:tcPr>
          <w:p w14:paraId="443E6C37" w14:textId="77777777" w:rsidR="00B17EE3" w:rsidRDefault="00000000">
            <w:pPr>
              <w:spacing w:after="0" w:line="252" w:lineRule="auto"/>
            </w:pPr>
            <w:r>
              <w:rPr>
                <w:b/>
                <w:sz w:val="18"/>
              </w:rPr>
              <w:t>2012 Q1 to 2014 Q4</w:t>
            </w:r>
          </w:p>
        </w:tc>
        <w:tc>
          <w:tcPr>
            <w:tcW w:w="3384" w:type="dxa"/>
            <w:shd w:val="clear" w:color="auto" w:fill="EAF2F8"/>
            <w:tcMar>
              <w:top w:w="95" w:type="dxa"/>
              <w:left w:w="115" w:type="dxa"/>
              <w:bottom w:w="95" w:type="dxa"/>
              <w:right w:w="115" w:type="dxa"/>
            </w:tcMar>
            <w:vAlign w:val="center"/>
          </w:tcPr>
          <w:p w14:paraId="29CA6488" w14:textId="77777777" w:rsidR="00B17EE3" w:rsidRDefault="00000000">
            <w:pPr>
              <w:spacing w:after="0" w:line="252" w:lineRule="auto"/>
              <w:jc w:val="center"/>
            </w:pPr>
            <w:r>
              <w:rPr>
                <w:sz w:val="18"/>
              </w:rPr>
              <w:t>$2,919</w:t>
            </w:r>
          </w:p>
        </w:tc>
        <w:tc>
          <w:tcPr>
            <w:tcW w:w="1656" w:type="dxa"/>
            <w:shd w:val="clear" w:color="auto" w:fill="EAF2F8"/>
            <w:tcMar>
              <w:top w:w="95" w:type="dxa"/>
              <w:left w:w="115" w:type="dxa"/>
              <w:bottom w:w="95" w:type="dxa"/>
              <w:right w:w="115" w:type="dxa"/>
            </w:tcMar>
            <w:vAlign w:val="center"/>
          </w:tcPr>
          <w:p w14:paraId="547F741F" w14:textId="77777777" w:rsidR="00B17EE3" w:rsidRDefault="00000000">
            <w:pPr>
              <w:spacing w:after="0" w:line="252" w:lineRule="auto"/>
              <w:jc w:val="center"/>
            </w:pPr>
            <w:r>
              <w:rPr>
                <w:sz w:val="18"/>
              </w:rPr>
              <w:t>12</w:t>
            </w:r>
          </w:p>
        </w:tc>
      </w:tr>
      <w:tr w:rsidR="00B17EE3" w14:paraId="3FDD3A46" w14:textId="77777777">
        <w:trPr>
          <w:cantSplit/>
          <w:jc w:val="center"/>
        </w:trPr>
        <w:tc>
          <w:tcPr>
            <w:tcW w:w="4824" w:type="dxa"/>
            <w:shd w:val="clear" w:color="auto" w:fill="FFFFFF"/>
            <w:tcMar>
              <w:top w:w="95" w:type="dxa"/>
              <w:left w:w="115" w:type="dxa"/>
              <w:bottom w:w="95" w:type="dxa"/>
              <w:right w:w="115" w:type="dxa"/>
            </w:tcMar>
            <w:vAlign w:val="center"/>
          </w:tcPr>
          <w:p w14:paraId="062CCBEC" w14:textId="77777777" w:rsidR="00B17EE3" w:rsidRDefault="00000000">
            <w:pPr>
              <w:spacing w:after="0" w:line="252" w:lineRule="auto"/>
            </w:pPr>
            <w:r>
              <w:rPr>
                <w:b/>
                <w:sz w:val="18"/>
              </w:rPr>
              <w:t>2015 Q1 to 2023 Q3 (in-sample)</w:t>
            </w:r>
          </w:p>
        </w:tc>
        <w:tc>
          <w:tcPr>
            <w:tcW w:w="3384" w:type="dxa"/>
            <w:shd w:val="clear" w:color="auto" w:fill="FFFFFF"/>
            <w:tcMar>
              <w:top w:w="95" w:type="dxa"/>
              <w:left w:w="115" w:type="dxa"/>
              <w:bottom w:w="95" w:type="dxa"/>
              <w:right w:w="115" w:type="dxa"/>
            </w:tcMar>
            <w:vAlign w:val="center"/>
          </w:tcPr>
          <w:p w14:paraId="7F97D66D" w14:textId="77777777" w:rsidR="00B17EE3" w:rsidRDefault="00000000">
            <w:pPr>
              <w:spacing w:after="0" w:line="252" w:lineRule="auto"/>
              <w:jc w:val="center"/>
            </w:pPr>
            <w:r>
              <w:rPr>
                <w:sz w:val="18"/>
              </w:rPr>
              <w:t>$4,493</w:t>
            </w:r>
          </w:p>
        </w:tc>
        <w:tc>
          <w:tcPr>
            <w:tcW w:w="1656" w:type="dxa"/>
            <w:shd w:val="clear" w:color="auto" w:fill="FFFFFF"/>
            <w:tcMar>
              <w:top w:w="95" w:type="dxa"/>
              <w:left w:w="115" w:type="dxa"/>
              <w:bottom w:w="95" w:type="dxa"/>
              <w:right w:w="115" w:type="dxa"/>
            </w:tcMar>
            <w:vAlign w:val="center"/>
          </w:tcPr>
          <w:p w14:paraId="7F0A0E8D" w14:textId="77777777" w:rsidR="00B17EE3" w:rsidRDefault="00000000">
            <w:pPr>
              <w:spacing w:after="0" w:line="252" w:lineRule="auto"/>
              <w:jc w:val="center"/>
            </w:pPr>
            <w:r>
              <w:rPr>
                <w:sz w:val="18"/>
              </w:rPr>
              <w:t>35</w:t>
            </w:r>
          </w:p>
        </w:tc>
      </w:tr>
      <w:tr w:rsidR="00B17EE3" w14:paraId="2087B1EA" w14:textId="77777777">
        <w:trPr>
          <w:cantSplit/>
          <w:jc w:val="center"/>
        </w:trPr>
        <w:tc>
          <w:tcPr>
            <w:tcW w:w="4824" w:type="dxa"/>
            <w:shd w:val="clear" w:color="auto" w:fill="EAF2F8"/>
            <w:tcMar>
              <w:top w:w="95" w:type="dxa"/>
              <w:left w:w="115" w:type="dxa"/>
              <w:bottom w:w="95" w:type="dxa"/>
              <w:right w:w="115" w:type="dxa"/>
            </w:tcMar>
            <w:vAlign w:val="center"/>
          </w:tcPr>
          <w:p w14:paraId="25115D6F" w14:textId="77777777" w:rsidR="00B17EE3" w:rsidRDefault="00000000">
            <w:pPr>
              <w:spacing w:after="0" w:line="252" w:lineRule="auto"/>
            </w:pPr>
            <w:r>
              <w:rPr>
                <w:b/>
                <w:sz w:val="18"/>
              </w:rPr>
              <w:t>2015 Q1 to 2025 Q4 (all available actuals)</w:t>
            </w:r>
          </w:p>
        </w:tc>
        <w:tc>
          <w:tcPr>
            <w:tcW w:w="3384" w:type="dxa"/>
            <w:shd w:val="clear" w:color="auto" w:fill="EAF2F8"/>
            <w:tcMar>
              <w:top w:w="95" w:type="dxa"/>
              <w:left w:w="115" w:type="dxa"/>
              <w:bottom w:w="95" w:type="dxa"/>
              <w:right w:w="115" w:type="dxa"/>
            </w:tcMar>
            <w:vAlign w:val="center"/>
          </w:tcPr>
          <w:p w14:paraId="263A222C" w14:textId="77777777" w:rsidR="00B17EE3" w:rsidRDefault="00000000">
            <w:pPr>
              <w:spacing w:after="0" w:line="252" w:lineRule="auto"/>
              <w:jc w:val="center"/>
            </w:pPr>
            <w:r>
              <w:rPr>
                <w:sz w:val="18"/>
              </w:rPr>
              <w:t>$4,554</w:t>
            </w:r>
          </w:p>
        </w:tc>
        <w:tc>
          <w:tcPr>
            <w:tcW w:w="1656" w:type="dxa"/>
            <w:shd w:val="clear" w:color="auto" w:fill="EAF2F8"/>
            <w:tcMar>
              <w:top w:w="95" w:type="dxa"/>
              <w:left w:w="115" w:type="dxa"/>
              <w:bottom w:w="95" w:type="dxa"/>
              <w:right w:w="115" w:type="dxa"/>
            </w:tcMar>
            <w:vAlign w:val="center"/>
          </w:tcPr>
          <w:p w14:paraId="1F3DCA54" w14:textId="77777777" w:rsidR="00B17EE3" w:rsidRDefault="00000000">
            <w:pPr>
              <w:spacing w:after="0" w:line="252" w:lineRule="auto"/>
              <w:jc w:val="center"/>
            </w:pPr>
            <w:r>
              <w:rPr>
                <w:sz w:val="18"/>
              </w:rPr>
              <w:t>44</w:t>
            </w:r>
          </w:p>
        </w:tc>
      </w:tr>
    </w:tbl>
    <w:p w14:paraId="10C116BB" w14:textId="77777777" w:rsidR="00B17EE3" w:rsidRDefault="00B17EE3">
      <w:pPr>
        <w:spacing w:before="20" w:after="0" w:line="240" w:lineRule="auto"/>
      </w:pPr>
    </w:p>
    <w:p w14:paraId="5A91CAAA" w14:textId="77777777" w:rsidR="00B17EE3" w:rsidRDefault="00000000">
      <w:pPr>
        <w:spacing w:after="140"/>
      </w:pPr>
      <w:r>
        <w:t>The level increases 50% relative to 2012-2013 and does not revert across the subsequent nine years. No macro variable tested explains the step; it behaves as a regime change.</w:t>
      </w:r>
    </w:p>
    <w:p w14:paraId="2618C795" w14:textId="77777777" w:rsidR="00B17EE3" w:rsidRDefault="00000000">
      <w:pPr>
        <w:pStyle w:val="1"/>
      </w:pPr>
      <w:r>
        <w:t>4 Adopted Treatment Baseline and Stress Floor</w:t>
      </w:r>
    </w:p>
    <w:p w14:paraId="1FAD6138" w14:textId="77777777" w:rsidR="00B17EE3" w:rsidRDefault="00000000">
      <w:pPr>
        <w:spacing w:after="140"/>
        <w:rPr>
          <w:rFonts w:hint="eastAsia"/>
          <w:lang w:eastAsia="zh-CN"/>
        </w:rPr>
      </w:pPr>
      <w:r>
        <w:t>Because the 2015 regime change is not explained by any macro regressor and each of the four regression framings fails standard diagnostics, this fee line is modeled with a current-run-rate baseline and a historically calibrated downside floor rather than a fitted macro regression. This treatment gives up an explicit scenario-to-macro linkage in exchange for an approach that is diagnostically clean and grounded entirely in confirmed, disclosed data.</w:t>
      </w:r>
    </w:p>
    <w:p w14:paraId="59775CC3" w14:textId="77777777" w:rsidR="00B17EE3" w:rsidRDefault="00000000">
      <w:pPr>
        <w:pStyle w:val="21"/>
      </w:pPr>
      <w:r>
        <w:t>Baseline</w:t>
      </w:r>
    </w:p>
    <w:p w14:paraId="532E8040" w14:textId="77777777" w:rsidR="00B17EE3" w:rsidRDefault="00000000">
      <w:pPr>
        <w:keepNext/>
      </w:pPr>
      <w:r>
        <w:t>The baseline is the trailing eight-quarter average of actual fee revenue ending with the latest available quarter, 2025 Q4.</w:t>
      </w:r>
    </w:p>
    <w:tbl>
      <w:tblPr>
        <w:tblStyle w:val="aff1"/>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544"/>
        <w:gridCol w:w="4320"/>
      </w:tblGrid>
      <w:tr w:rsidR="00B17EE3" w14:paraId="1FBA3942" w14:textId="77777777">
        <w:trPr>
          <w:cantSplit/>
          <w:tblHeader/>
          <w:jc w:val="center"/>
        </w:trPr>
        <w:tc>
          <w:tcPr>
            <w:tcW w:w="5544" w:type="dxa"/>
            <w:shd w:val="clear" w:color="auto" w:fill="1F4E78"/>
            <w:tcMar>
              <w:top w:w="95" w:type="dxa"/>
              <w:left w:w="115" w:type="dxa"/>
              <w:bottom w:w="95" w:type="dxa"/>
              <w:right w:w="115" w:type="dxa"/>
            </w:tcMar>
            <w:vAlign w:val="center"/>
          </w:tcPr>
          <w:p w14:paraId="39FB082B" w14:textId="77777777" w:rsidR="00B17EE3" w:rsidRDefault="00000000">
            <w:pPr>
              <w:spacing w:after="0" w:line="252" w:lineRule="auto"/>
            </w:pPr>
            <w:r>
              <w:rPr>
                <w:b/>
                <w:color w:val="FFFFFF"/>
                <w:sz w:val="18"/>
              </w:rPr>
              <w:t>Quarter</w:t>
            </w:r>
          </w:p>
        </w:tc>
        <w:tc>
          <w:tcPr>
            <w:tcW w:w="4320" w:type="dxa"/>
            <w:shd w:val="clear" w:color="auto" w:fill="1F4E78"/>
            <w:tcMar>
              <w:top w:w="95" w:type="dxa"/>
              <w:left w:w="115" w:type="dxa"/>
              <w:bottom w:w="95" w:type="dxa"/>
              <w:right w:w="115" w:type="dxa"/>
            </w:tcMar>
            <w:vAlign w:val="center"/>
          </w:tcPr>
          <w:p w14:paraId="6E752931" w14:textId="77777777" w:rsidR="00B17EE3" w:rsidRDefault="00000000">
            <w:pPr>
              <w:spacing w:after="0" w:line="252" w:lineRule="auto"/>
              <w:jc w:val="right"/>
            </w:pPr>
            <w:r>
              <w:rPr>
                <w:b/>
                <w:color w:val="FFFFFF"/>
                <w:sz w:val="18"/>
              </w:rPr>
              <w:t>Fee revenue</w:t>
            </w:r>
          </w:p>
        </w:tc>
      </w:tr>
      <w:tr w:rsidR="00B17EE3" w14:paraId="11AAF460" w14:textId="77777777">
        <w:trPr>
          <w:cantSplit/>
          <w:jc w:val="center"/>
        </w:trPr>
        <w:tc>
          <w:tcPr>
            <w:tcW w:w="5544" w:type="dxa"/>
            <w:shd w:val="clear" w:color="auto" w:fill="EAF2F8"/>
            <w:tcMar>
              <w:top w:w="95" w:type="dxa"/>
              <w:left w:w="115" w:type="dxa"/>
              <w:bottom w:w="95" w:type="dxa"/>
              <w:right w:w="115" w:type="dxa"/>
            </w:tcMar>
            <w:vAlign w:val="center"/>
          </w:tcPr>
          <w:p w14:paraId="46336794" w14:textId="77777777" w:rsidR="00B17EE3" w:rsidRDefault="00000000">
            <w:pPr>
              <w:spacing w:after="0" w:line="252" w:lineRule="auto"/>
            </w:pPr>
            <w:r>
              <w:rPr>
                <w:b/>
                <w:sz w:val="19"/>
              </w:rPr>
              <w:t>2024 Q1</w:t>
            </w:r>
          </w:p>
        </w:tc>
        <w:tc>
          <w:tcPr>
            <w:tcW w:w="4320" w:type="dxa"/>
            <w:shd w:val="clear" w:color="auto" w:fill="EAF2F8"/>
            <w:tcMar>
              <w:top w:w="95" w:type="dxa"/>
              <w:left w:w="115" w:type="dxa"/>
              <w:bottom w:w="95" w:type="dxa"/>
              <w:right w:w="115" w:type="dxa"/>
            </w:tcMar>
            <w:vAlign w:val="center"/>
          </w:tcPr>
          <w:p w14:paraId="3D1960FF" w14:textId="77777777" w:rsidR="00B17EE3" w:rsidRDefault="00000000">
            <w:pPr>
              <w:spacing w:after="0" w:line="252" w:lineRule="auto"/>
              <w:jc w:val="right"/>
            </w:pPr>
            <w:r>
              <w:rPr>
                <w:sz w:val="19"/>
              </w:rPr>
              <w:t>$4,148</w:t>
            </w:r>
          </w:p>
        </w:tc>
      </w:tr>
      <w:tr w:rsidR="00B17EE3" w14:paraId="52718887" w14:textId="77777777">
        <w:trPr>
          <w:cantSplit/>
          <w:jc w:val="center"/>
        </w:trPr>
        <w:tc>
          <w:tcPr>
            <w:tcW w:w="5544" w:type="dxa"/>
            <w:shd w:val="clear" w:color="auto" w:fill="FFFFFF"/>
            <w:tcMar>
              <w:top w:w="95" w:type="dxa"/>
              <w:left w:w="115" w:type="dxa"/>
              <w:bottom w:w="95" w:type="dxa"/>
              <w:right w:w="115" w:type="dxa"/>
            </w:tcMar>
            <w:vAlign w:val="center"/>
          </w:tcPr>
          <w:p w14:paraId="666DC344" w14:textId="77777777" w:rsidR="00B17EE3" w:rsidRDefault="00000000">
            <w:pPr>
              <w:spacing w:after="0" w:line="252" w:lineRule="auto"/>
            </w:pPr>
            <w:r>
              <w:rPr>
                <w:b/>
                <w:sz w:val="19"/>
              </w:rPr>
              <w:t>2024 Q2</w:t>
            </w:r>
          </w:p>
        </w:tc>
        <w:tc>
          <w:tcPr>
            <w:tcW w:w="4320" w:type="dxa"/>
            <w:shd w:val="clear" w:color="auto" w:fill="FFFFFF"/>
            <w:tcMar>
              <w:top w:w="95" w:type="dxa"/>
              <w:left w:w="115" w:type="dxa"/>
              <w:bottom w:w="95" w:type="dxa"/>
              <w:right w:w="115" w:type="dxa"/>
            </w:tcMar>
            <w:vAlign w:val="center"/>
          </w:tcPr>
          <w:p w14:paraId="1BE8F0FB" w14:textId="77777777" w:rsidR="00B17EE3" w:rsidRDefault="00000000">
            <w:pPr>
              <w:spacing w:after="0" w:line="252" w:lineRule="auto"/>
              <w:jc w:val="right"/>
            </w:pPr>
            <w:r>
              <w:rPr>
                <w:sz w:val="19"/>
              </w:rPr>
              <w:t>$4,873</w:t>
            </w:r>
          </w:p>
        </w:tc>
      </w:tr>
      <w:tr w:rsidR="00B17EE3" w14:paraId="7080AC30" w14:textId="77777777">
        <w:trPr>
          <w:cantSplit/>
          <w:jc w:val="center"/>
        </w:trPr>
        <w:tc>
          <w:tcPr>
            <w:tcW w:w="5544" w:type="dxa"/>
            <w:shd w:val="clear" w:color="auto" w:fill="EAF2F8"/>
            <w:tcMar>
              <w:top w:w="95" w:type="dxa"/>
              <w:left w:w="115" w:type="dxa"/>
              <w:bottom w:w="95" w:type="dxa"/>
              <w:right w:w="115" w:type="dxa"/>
            </w:tcMar>
            <w:vAlign w:val="center"/>
          </w:tcPr>
          <w:p w14:paraId="688F777C" w14:textId="77777777" w:rsidR="00B17EE3" w:rsidRDefault="00000000">
            <w:pPr>
              <w:spacing w:after="0" w:line="252" w:lineRule="auto"/>
            </w:pPr>
            <w:r>
              <w:rPr>
                <w:b/>
                <w:sz w:val="19"/>
              </w:rPr>
              <w:t>2024 Q3</w:t>
            </w:r>
          </w:p>
        </w:tc>
        <w:tc>
          <w:tcPr>
            <w:tcW w:w="4320" w:type="dxa"/>
            <w:shd w:val="clear" w:color="auto" w:fill="EAF2F8"/>
            <w:tcMar>
              <w:top w:w="95" w:type="dxa"/>
              <w:left w:w="115" w:type="dxa"/>
              <w:bottom w:w="95" w:type="dxa"/>
              <w:right w:w="115" w:type="dxa"/>
            </w:tcMar>
            <w:vAlign w:val="center"/>
          </w:tcPr>
          <w:p w14:paraId="62E7C515" w14:textId="77777777" w:rsidR="00B17EE3" w:rsidRDefault="00000000">
            <w:pPr>
              <w:spacing w:after="0" w:line="252" w:lineRule="auto"/>
              <w:jc w:val="right"/>
            </w:pPr>
            <w:r>
              <w:rPr>
                <w:sz w:val="19"/>
              </w:rPr>
              <w:t>$4,691</w:t>
            </w:r>
          </w:p>
        </w:tc>
      </w:tr>
      <w:tr w:rsidR="00B17EE3" w14:paraId="70C1B8F7" w14:textId="77777777">
        <w:trPr>
          <w:cantSplit/>
          <w:jc w:val="center"/>
        </w:trPr>
        <w:tc>
          <w:tcPr>
            <w:tcW w:w="5544" w:type="dxa"/>
            <w:shd w:val="clear" w:color="auto" w:fill="FFFFFF"/>
            <w:tcMar>
              <w:top w:w="95" w:type="dxa"/>
              <w:left w:w="115" w:type="dxa"/>
              <w:bottom w:w="95" w:type="dxa"/>
              <w:right w:w="115" w:type="dxa"/>
            </w:tcMar>
            <w:vAlign w:val="center"/>
          </w:tcPr>
          <w:p w14:paraId="135AAD6B" w14:textId="77777777" w:rsidR="00B17EE3" w:rsidRDefault="00000000">
            <w:pPr>
              <w:spacing w:after="0" w:line="252" w:lineRule="auto"/>
            </w:pPr>
            <w:r>
              <w:rPr>
                <w:b/>
                <w:sz w:val="19"/>
              </w:rPr>
              <w:t>2024 Q4</w:t>
            </w:r>
          </w:p>
        </w:tc>
        <w:tc>
          <w:tcPr>
            <w:tcW w:w="4320" w:type="dxa"/>
            <w:shd w:val="clear" w:color="auto" w:fill="FFFFFF"/>
            <w:tcMar>
              <w:top w:w="95" w:type="dxa"/>
              <w:left w:w="115" w:type="dxa"/>
              <w:bottom w:w="95" w:type="dxa"/>
              <w:right w:w="115" w:type="dxa"/>
            </w:tcMar>
            <w:vAlign w:val="center"/>
          </w:tcPr>
          <w:p w14:paraId="18BB9EA4" w14:textId="77777777" w:rsidR="00B17EE3" w:rsidRDefault="00000000">
            <w:pPr>
              <w:spacing w:after="0" w:line="252" w:lineRule="auto"/>
              <w:jc w:val="right"/>
            </w:pPr>
            <w:r>
              <w:rPr>
                <w:sz w:val="19"/>
              </w:rPr>
              <w:t>$4,949</w:t>
            </w:r>
          </w:p>
        </w:tc>
      </w:tr>
      <w:tr w:rsidR="00B17EE3" w14:paraId="301B3CFC" w14:textId="77777777">
        <w:trPr>
          <w:cantSplit/>
          <w:jc w:val="center"/>
        </w:trPr>
        <w:tc>
          <w:tcPr>
            <w:tcW w:w="5544" w:type="dxa"/>
            <w:shd w:val="clear" w:color="auto" w:fill="EAF2F8"/>
            <w:tcMar>
              <w:top w:w="95" w:type="dxa"/>
              <w:left w:w="115" w:type="dxa"/>
              <w:bottom w:w="95" w:type="dxa"/>
              <w:right w:w="115" w:type="dxa"/>
            </w:tcMar>
            <w:vAlign w:val="center"/>
          </w:tcPr>
          <w:p w14:paraId="52E1CF32" w14:textId="77777777" w:rsidR="00B17EE3" w:rsidRDefault="00000000">
            <w:pPr>
              <w:spacing w:after="0" w:line="252" w:lineRule="auto"/>
            </w:pPr>
            <w:r>
              <w:rPr>
                <w:b/>
                <w:sz w:val="19"/>
              </w:rPr>
              <w:t>2025 Q1</w:t>
            </w:r>
          </w:p>
        </w:tc>
        <w:tc>
          <w:tcPr>
            <w:tcW w:w="4320" w:type="dxa"/>
            <w:shd w:val="clear" w:color="auto" w:fill="EAF2F8"/>
            <w:tcMar>
              <w:top w:w="95" w:type="dxa"/>
              <w:left w:w="115" w:type="dxa"/>
              <w:bottom w:w="95" w:type="dxa"/>
              <w:right w:w="115" w:type="dxa"/>
            </w:tcMar>
            <w:vAlign w:val="center"/>
          </w:tcPr>
          <w:p w14:paraId="3BD6878F" w14:textId="77777777" w:rsidR="00B17EE3" w:rsidRDefault="00000000">
            <w:pPr>
              <w:spacing w:after="0" w:line="252" w:lineRule="auto"/>
              <w:jc w:val="right"/>
            </w:pPr>
            <w:r>
              <w:rPr>
                <w:sz w:val="19"/>
              </w:rPr>
              <w:t>$4,600</w:t>
            </w:r>
          </w:p>
        </w:tc>
      </w:tr>
      <w:tr w:rsidR="00B17EE3" w14:paraId="14227E8B" w14:textId="77777777">
        <w:trPr>
          <w:cantSplit/>
          <w:jc w:val="center"/>
        </w:trPr>
        <w:tc>
          <w:tcPr>
            <w:tcW w:w="5544" w:type="dxa"/>
            <w:shd w:val="clear" w:color="auto" w:fill="FFFFFF"/>
            <w:tcMar>
              <w:top w:w="95" w:type="dxa"/>
              <w:left w:w="115" w:type="dxa"/>
              <w:bottom w:w="95" w:type="dxa"/>
              <w:right w:w="115" w:type="dxa"/>
            </w:tcMar>
            <w:vAlign w:val="center"/>
          </w:tcPr>
          <w:p w14:paraId="1FFF66B1" w14:textId="77777777" w:rsidR="00B17EE3" w:rsidRDefault="00000000">
            <w:pPr>
              <w:spacing w:after="0" w:line="252" w:lineRule="auto"/>
            </w:pPr>
            <w:r>
              <w:rPr>
                <w:b/>
                <w:sz w:val="19"/>
              </w:rPr>
              <w:t>2025 Q2</w:t>
            </w:r>
          </w:p>
        </w:tc>
        <w:tc>
          <w:tcPr>
            <w:tcW w:w="4320" w:type="dxa"/>
            <w:shd w:val="clear" w:color="auto" w:fill="FFFFFF"/>
            <w:tcMar>
              <w:top w:w="95" w:type="dxa"/>
              <w:left w:w="115" w:type="dxa"/>
              <w:bottom w:w="95" w:type="dxa"/>
              <w:right w:w="115" w:type="dxa"/>
            </w:tcMar>
            <w:vAlign w:val="center"/>
          </w:tcPr>
          <w:p w14:paraId="2413514B" w14:textId="77777777" w:rsidR="00B17EE3" w:rsidRDefault="00000000">
            <w:pPr>
              <w:spacing w:after="0" w:line="252" w:lineRule="auto"/>
              <w:jc w:val="right"/>
            </w:pPr>
            <w:r>
              <w:rPr>
                <w:sz w:val="19"/>
              </w:rPr>
              <w:t>$4,869</w:t>
            </w:r>
          </w:p>
        </w:tc>
      </w:tr>
      <w:tr w:rsidR="00B17EE3" w14:paraId="241DD107" w14:textId="77777777">
        <w:trPr>
          <w:cantSplit/>
          <w:jc w:val="center"/>
        </w:trPr>
        <w:tc>
          <w:tcPr>
            <w:tcW w:w="5544" w:type="dxa"/>
            <w:shd w:val="clear" w:color="auto" w:fill="EAF2F8"/>
            <w:tcMar>
              <w:top w:w="95" w:type="dxa"/>
              <w:left w:w="115" w:type="dxa"/>
              <w:bottom w:w="95" w:type="dxa"/>
              <w:right w:w="115" w:type="dxa"/>
            </w:tcMar>
            <w:vAlign w:val="center"/>
          </w:tcPr>
          <w:p w14:paraId="0A5D5B3D" w14:textId="77777777" w:rsidR="00B17EE3" w:rsidRDefault="00000000">
            <w:pPr>
              <w:spacing w:after="0" w:line="252" w:lineRule="auto"/>
            </w:pPr>
            <w:r>
              <w:rPr>
                <w:b/>
                <w:sz w:val="19"/>
              </w:rPr>
              <w:t>2025 Q3</w:t>
            </w:r>
          </w:p>
        </w:tc>
        <w:tc>
          <w:tcPr>
            <w:tcW w:w="4320" w:type="dxa"/>
            <w:shd w:val="clear" w:color="auto" w:fill="EAF2F8"/>
            <w:tcMar>
              <w:top w:w="95" w:type="dxa"/>
              <w:left w:w="115" w:type="dxa"/>
              <w:bottom w:w="95" w:type="dxa"/>
              <w:right w:w="115" w:type="dxa"/>
            </w:tcMar>
            <w:vAlign w:val="center"/>
          </w:tcPr>
          <w:p w14:paraId="3A81E43D" w14:textId="77777777" w:rsidR="00B17EE3" w:rsidRDefault="00000000">
            <w:pPr>
              <w:spacing w:after="0" w:line="252" w:lineRule="auto"/>
              <w:jc w:val="right"/>
            </w:pPr>
            <w:r>
              <w:rPr>
                <w:sz w:val="19"/>
              </w:rPr>
              <w:t>$4,988</w:t>
            </w:r>
          </w:p>
        </w:tc>
      </w:tr>
      <w:tr w:rsidR="00B17EE3" w14:paraId="41F242F7" w14:textId="77777777">
        <w:trPr>
          <w:cantSplit/>
          <w:jc w:val="center"/>
        </w:trPr>
        <w:tc>
          <w:tcPr>
            <w:tcW w:w="5544" w:type="dxa"/>
            <w:shd w:val="clear" w:color="auto" w:fill="FFFFFF"/>
            <w:tcMar>
              <w:top w:w="95" w:type="dxa"/>
              <w:left w:w="115" w:type="dxa"/>
              <w:bottom w:w="95" w:type="dxa"/>
              <w:right w:w="115" w:type="dxa"/>
            </w:tcMar>
            <w:vAlign w:val="center"/>
          </w:tcPr>
          <w:p w14:paraId="26E8BD5B" w14:textId="77777777" w:rsidR="00B17EE3" w:rsidRDefault="00000000">
            <w:pPr>
              <w:spacing w:after="0" w:line="252" w:lineRule="auto"/>
            </w:pPr>
            <w:r>
              <w:rPr>
                <w:b/>
                <w:sz w:val="19"/>
              </w:rPr>
              <w:t>2025 Q4</w:t>
            </w:r>
          </w:p>
        </w:tc>
        <w:tc>
          <w:tcPr>
            <w:tcW w:w="4320" w:type="dxa"/>
            <w:shd w:val="clear" w:color="auto" w:fill="FFFFFF"/>
            <w:tcMar>
              <w:top w:w="95" w:type="dxa"/>
              <w:left w:w="115" w:type="dxa"/>
              <w:bottom w:w="95" w:type="dxa"/>
              <w:right w:w="115" w:type="dxa"/>
            </w:tcMar>
            <w:vAlign w:val="center"/>
          </w:tcPr>
          <w:p w14:paraId="49B50E4C" w14:textId="77777777" w:rsidR="00B17EE3" w:rsidRDefault="00000000">
            <w:pPr>
              <w:spacing w:after="0" w:line="252" w:lineRule="auto"/>
              <w:jc w:val="right"/>
            </w:pPr>
            <w:r>
              <w:rPr>
                <w:sz w:val="19"/>
              </w:rPr>
              <w:t>$4,863</w:t>
            </w:r>
          </w:p>
        </w:tc>
      </w:tr>
    </w:tbl>
    <w:p w14:paraId="05FFD0E8" w14:textId="77777777" w:rsidR="00B17EE3" w:rsidRDefault="00B17EE3">
      <w:pPr>
        <w:spacing w:before="20" w:after="0" w:line="240" w:lineRule="auto"/>
      </w:pPr>
    </w:p>
    <w:p w14:paraId="41FDF939" w14:textId="77777777" w:rsidR="00B17EE3" w:rsidRDefault="00000000">
      <w:pPr>
        <w:spacing w:after="140"/>
      </w:pPr>
      <w:r>
        <w:rPr>
          <w:b/>
        </w:rPr>
        <w:t xml:space="preserve">Baseline mean  </w:t>
      </w:r>
      <w:r>
        <w:t>$4,747.6 per quarter. The trailing eight-quarter window is used instead of the full 2015-2025 average of $4,554 because the post-2015 period has a significant upward trend. A full-period average would understate the current run rate by 4%.</w:t>
      </w:r>
    </w:p>
    <w:p w14:paraId="474EC83D" w14:textId="77777777" w:rsidR="00B17EE3" w:rsidRDefault="00000000">
      <w:pPr>
        <w:pStyle w:val="21"/>
      </w:pPr>
      <w:r>
        <w:lastRenderedPageBreak/>
        <w:t>Stress Floor</w:t>
      </w:r>
    </w:p>
    <w:p w14:paraId="34649F68" w14:textId="77777777" w:rsidR="00B17EE3" w:rsidRDefault="00000000">
      <w:pPr>
        <w:keepNext/>
      </w:pPr>
      <w:r>
        <w:t>The stress floor equals the mean minus two standard deviations, calculated over the full post-2015 regime from 2015 Q1 through 2025 Q4. This longer window provides a materially more stable dispersion estimate than the eight observations in the baseline window. It also captures the full range of outcomes observed since the 2015 level reset, including the 2020 COVID episode.</w:t>
      </w:r>
    </w:p>
    <w:tbl>
      <w:tblPr>
        <w:tblStyle w:val="aff1"/>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5400"/>
        <w:gridCol w:w="4464"/>
      </w:tblGrid>
      <w:tr w:rsidR="00B17EE3" w14:paraId="2D98E7C2" w14:textId="77777777">
        <w:trPr>
          <w:cantSplit/>
          <w:tblHeader/>
          <w:jc w:val="center"/>
        </w:trPr>
        <w:tc>
          <w:tcPr>
            <w:tcW w:w="5400" w:type="dxa"/>
            <w:shd w:val="clear" w:color="auto" w:fill="1F4E78"/>
            <w:tcMar>
              <w:top w:w="95" w:type="dxa"/>
              <w:left w:w="115" w:type="dxa"/>
              <w:bottom w:w="95" w:type="dxa"/>
              <w:right w:w="115" w:type="dxa"/>
            </w:tcMar>
            <w:vAlign w:val="center"/>
          </w:tcPr>
          <w:p w14:paraId="13442B0E" w14:textId="77777777" w:rsidR="00B17EE3" w:rsidRDefault="00000000">
            <w:pPr>
              <w:spacing w:after="0" w:line="252" w:lineRule="auto"/>
            </w:pPr>
            <w:r>
              <w:rPr>
                <w:b/>
                <w:color w:val="FFFFFF"/>
                <w:sz w:val="18"/>
              </w:rPr>
              <w:t>Statistic (2015 Q1 to 2025 Q4, n = 44)</w:t>
            </w:r>
          </w:p>
        </w:tc>
        <w:tc>
          <w:tcPr>
            <w:tcW w:w="4464" w:type="dxa"/>
            <w:shd w:val="clear" w:color="auto" w:fill="1F4E78"/>
            <w:tcMar>
              <w:top w:w="95" w:type="dxa"/>
              <w:left w:w="115" w:type="dxa"/>
              <w:bottom w:w="95" w:type="dxa"/>
              <w:right w:w="115" w:type="dxa"/>
            </w:tcMar>
            <w:vAlign w:val="center"/>
          </w:tcPr>
          <w:p w14:paraId="39347C7F" w14:textId="77777777" w:rsidR="00B17EE3" w:rsidRDefault="00000000">
            <w:pPr>
              <w:spacing w:after="0" w:line="252" w:lineRule="auto"/>
              <w:jc w:val="right"/>
            </w:pPr>
            <w:r>
              <w:rPr>
                <w:b/>
                <w:color w:val="FFFFFF"/>
                <w:sz w:val="18"/>
              </w:rPr>
              <w:t>Value</w:t>
            </w:r>
          </w:p>
        </w:tc>
      </w:tr>
      <w:tr w:rsidR="00B17EE3" w14:paraId="7F6530A6" w14:textId="77777777">
        <w:trPr>
          <w:cantSplit/>
          <w:jc w:val="center"/>
        </w:trPr>
        <w:tc>
          <w:tcPr>
            <w:tcW w:w="5400" w:type="dxa"/>
            <w:shd w:val="clear" w:color="auto" w:fill="EAF2F8"/>
            <w:tcMar>
              <w:top w:w="95" w:type="dxa"/>
              <w:left w:w="115" w:type="dxa"/>
              <w:bottom w:w="95" w:type="dxa"/>
              <w:right w:w="115" w:type="dxa"/>
            </w:tcMar>
            <w:vAlign w:val="center"/>
          </w:tcPr>
          <w:p w14:paraId="5DFFCC3A" w14:textId="77777777" w:rsidR="00B17EE3" w:rsidRDefault="00000000">
            <w:pPr>
              <w:spacing w:after="0" w:line="252" w:lineRule="auto"/>
            </w:pPr>
            <w:r>
              <w:rPr>
                <w:b/>
                <w:sz w:val="18"/>
              </w:rPr>
              <w:t>Mean</w:t>
            </w:r>
          </w:p>
        </w:tc>
        <w:tc>
          <w:tcPr>
            <w:tcW w:w="4464" w:type="dxa"/>
            <w:shd w:val="clear" w:color="auto" w:fill="EAF2F8"/>
            <w:tcMar>
              <w:top w:w="95" w:type="dxa"/>
              <w:left w:w="115" w:type="dxa"/>
              <w:bottom w:w="95" w:type="dxa"/>
              <w:right w:w="115" w:type="dxa"/>
            </w:tcMar>
            <w:vAlign w:val="center"/>
          </w:tcPr>
          <w:p w14:paraId="394AA33D" w14:textId="77777777" w:rsidR="00B17EE3" w:rsidRDefault="00000000">
            <w:pPr>
              <w:spacing w:after="0" w:line="252" w:lineRule="auto"/>
              <w:jc w:val="right"/>
            </w:pPr>
            <w:r>
              <w:rPr>
                <w:sz w:val="18"/>
              </w:rPr>
              <w:t>$4,553.9 per quarter</w:t>
            </w:r>
          </w:p>
        </w:tc>
      </w:tr>
      <w:tr w:rsidR="00B17EE3" w14:paraId="544518D7" w14:textId="77777777">
        <w:trPr>
          <w:cantSplit/>
          <w:jc w:val="center"/>
        </w:trPr>
        <w:tc>
          <w:tcPr>
            <w:tcW w:w="5400" w:type="dxa"/>
            <w:shd w:val="clear" w:color="auto" w:fill="FFFFFF"/>
            <w:tcMar>
              <w:top w:w="95" w:type="dxa"/>
              <w:left w:w="115" w:type="dxa"/>
              <w:bottom w:w="95" w:type="dxa"/>
              <w:right w:w="115" w:type="dxa"/>
            </w:tcMar>
            <w:vAlign w:val="center"/>
          </w:tcPr>
          <w:p w14:paraId="68085A2C" w14:textId="77777777" w:rsidR="00B17EE3" w:rsidRDefault="00000000">
            <w:pPr>
              <w:spacing w:after="0" w:line="252" w:lineRule="auto"/>
            </w:pPr>
            <w:r>
              <w:rPr>
                <w:b/>
                <w:sz w:val="18"/>
              </w:rPr>
              <w:t>Standard deviation</w:t>
            </w:r>
          </w:p>
        </w:tc>
        <w:tc>
          <w:tcPr>
            <w:tcW w:w="4464" w:type="dxa"/>
            <w:shd w:val="clear" w:color="auto" w:fill="FFFFFF"/>
            <w:tcMar>
              <w:top w:w="95" w:type="dxa"/>
              <w:left w:w="115" w:type="dxa"/>
              <w:bottom w:w="95" w:type="dxa"/>
              <w:right w:w="115" w:type="dxa"/>
            </w:tcMar>
            <w:vAlign w:val="center"/>
          </w:tcPr>
          <w:p w14:paraId="23782C38" w14:textId="77777777" w:rsidR="00B17EE3" w:rsidRDefault="00000000">
            <w:pPr>
              <w:spacing w:after="0" w:line="252" w:lineRule="auto"/>
              <w:jc w:val="right"/>
            </w:pPr>
            <w:r>
              <w:rPr>
                <w:sz w:val="18"/>
              </w:rPr>
              <w:t>$369.0 per quarter</w:t>
            </w:r>
          </w:p>
        </w:tc>
      </w:tr>
      <w:tr w:rsidR="00B17EE3" w14:paraId="7E11AC49" w14:textId="77777777">
        <w:trPr>
          <w:cantSplit/>
          <w:jc w:val="center"/>
        </w:trPr>
        <w:tc>
          <w:tcPr>
            <w:tcW w:w="5400" w:type="dxa"/>
            <w:shd w:val="clear" w:color="auto" w:fill="EAF2F8"/>
            <w:tcMar>
              <w:top w:w="95" w:type="dxa"/>
              <w:left w:w="115" w:type="dxa"/>
              <w:bottom w:w="95" w:type="dxa"/>
              <w:right w:w="115" w:type="dxa"/>
            </w:tcMar>
            <w:vAlign w:val="center"/>
          </w:tcPr>
          <w:p w14:paraId="79D6C84B" w14:textId="77777777" w:rsidR="00B17EE3" w:rsidRDefault="00000000">
            <w:pPr>
              <w:spacing w:after="0" w:line="252" w:lineRule="auto"/>
            </w:pPr>
            <w:r>
              <w:rPr>
                <w:b/>
                <w:sz w:val="18"/>
              </w:rPr>
              <w:t>Skew</w:t>
            </w:r>
          </w:p>
        </w:tc>
        <w:tc>
          <w:tcPr>
            <w:tcW w:w="4464" w:type="dxa"/>
            <w:shd w:val="clear" w:color="auto" w:fill="EAF2F8"/>
            <w:tcMar>
              <w:top w:w="95" w:type="dxa"/>
              <w:left w:w="115" w:type="dxa"/>
              <w:bottom w:w="95" w:type="dxa"/>
              <w:right w:w="115" w:type="dxa"/>
            </w:tcMar>
            <w:vAlign w:val="center"/>
          </w:tcPr>
          <w:p w14:paraId="3FCEDD6E" w14:textId="77777777" w:rsidR="00B17EE3" w:rsidRDefault="00000000">
            <w:pPr>
              <w:spacing w:after="0" w:line="252" w:lineRule="auto"/>
              <w:jc w:val="right"/>
            </w:pPr>
            <w:r>
              <w:rPr>
                <w:sz w:val="18"/>
              </w:rPr>
              <w:t>0.53</w:t>
            </w:r>
          </w:p>
        </w:tc>
      </w:tr>
      <w:tr w:rsidR="00B17EE3" w14:paraId="6134E21A" w14:textId="77777777">
        <w:trPr>
          <w:cantSplit/>
          <w:jc w:val="center"/>
        </w:trPr>
        <w:tc>
          <w:tcPr>
            <w:tcW w:w="5400" w:type="dxa"/>
            <w:shd w:val="clear" w:color="auto" w:fill="FFFFFF"/>
            <w:tcMar>
              <w:top w:w="95" w:type="dxa"/>
              <w:left w:w="115" w:type="dxa"/>
              <w:bottom w:w="95" w:type="dxa"/>
              <w:right w:w="115" w:type="dxa"/>
            </w:tcMar>
            <w:vAlign w:val="center"/>
          </w:tcPr>
          <w:p w14:paraId="070B58DF" w14:textId="77777777" w:rsidR="00B17EE3" w:rsidRDefault="00000000">
            <w:pPr>
              <w:spacing w:after="0" w:line="252" w:lineRule="auto"/>
            </w:pPr>
            <w:r>
              <w:rPr>
                <w:b/>
                <w:sz w:val="18"/>
              </w:rPr>
              <w:t>Shapiro-Wilk p</w:t>
            </w:r>
          </w:p>
        </w:tc>
        <w:tc>
          <w:tcPr>
            <w:tcW w:w="4464" w:type="dxa"/>
            <w:shd w:val="clear" w:color="auto" w:fill="FFFFFF"/>
            <w:tcMar>
              <w:top w:w="95" w:type="dxa"/>
              <w:left w:w="115" w:type="dxa"/>
              <w:bottom w:w="95" w:type="dxa"/>
              <w:right w:w="115" w:type="dxa"/>
            </w:tcMar>
            <w:vAlign w:val="center"/>
          </w:tcPr>
          <w:p w14:paraId="595D0926" w14:textId="77777777" w:rsidR="00B17EE3" w:rsidRDefault="00000000">
            <w:pPr>
              <w:spacing w:after="0" w:line="252" w:lineRule="auto"/>
              <w:jc w:val="right"/>
            </w:pPr>
            <w:r>
              <w:rPr>
                <w:sz w:val="18"/>
              </w:rPr>
              <w:t>0.053</w:t>
            </w:r>
          </w:p>
        </w:tc>
      </w:tr>
      <w:tr w:rsidR="00B17EE3" w14:paraId="33AA3612" w14:textId="77777777">
        <w:trPr>
          <w:cantSplit/>
          <w:jc w:val="center"/>
        </w:trPr>
        <w:tc>
          <w:tcPr>
            <w:tcW w:w="5400" w:type="dxa"/>
            <w:shd w:val="clear" w:color="auto" w:fill="EAF2F8"/>
            <w:tcMar>
              <w:top w:w="95" w:type="dxa"/>
              <w:left w:w="115" w:type="dxa"/>
              <w:bottom w:w="95" w:type="dxa"/>
              <w:right w:w="115" w:type="dxa"/>
            </w:tcMar>
            <w:vAlign w:val="center"/>
          </w:tcPr>
          <w:p w14:paraId="44D2DD7B" w14:textId="77777777" w:rsidR="00B17EE3" w:rsidRDefault="00000000">
            <w:pPr>
              <w:spacing w:after="0" w:line="252" w:lineRule="auto"/>
            </w:pPr>
            <w:r>
              <w:rPr>
                <w:b/>
                <w:sz w:val="18"/>
              </w:rPr>
              <w:t>Minimum observed</w:t>
            </w:r>
          </w:p>
        </w:tc>
        <w:tc>
          <w:tcPr>
            <w:tcW w:w="4464" w:type="dxa"/>
            <w:shd w:val="clear" w:color="auto" w:fill="EAF2F8"/>
            <w:tcMar>
              <w:top w:w="95" w:type="dxa"/>
              <w:left w:w="115" w:type="dxa"/>
              <w:bottom w:w="95" w:type="dxa"/>
              <w:right w:w="115" w:type="dxa"/>
            </w:tcMar>
            <w:vAlign w:val="center"/>
          </w:tcPr>
          <w:p w14:paraId="68878FF2" w14:textId="77777777" w:rsidR="00B17EE3" w:rsidRDefault="00000000">
            <w:pPr>
              <w:spacing w:after="0" w:line="252" w:lineRule="auto"/>
              <w:jc w:val="right"/>
            </w:pPr>
            <w:r>
              <w:rPr>
                <w:sz w:val="18"/>
              </w:rPr>
              <w:t>$3,954 (2020 Q2, COVID)</w:t>
            </w:r>
          </w:p>
        </w:tc>
      </w:tr>
      <w:tr w:rsidR="00B17EE3" w14:paraId="7B1D5C58" w14:textId="77777777">
        <w:trPr>
          <w:cantSplit/>
          <w:jc w:val="center"/>
        </w:trPr>
        <w:tc>
          <w:tcPr>
            <w:tcW w:w="5400" w:type="dxa"/>
            <w:shd w:val="clear" w:color="auto" w:fill="FFFFFF"/>
            <w:tcMar>
              <w:top w:w="95" w:type="dxa"/>
              <w:left w:w="115" w:type="dxa"/>
              <w:bottom w:w="95" w:type="dxa"/>
              <w:right w:w="115" w:type="dxa"/>
            </w:tcMar>
            <w:vAlign w:val="center"/>
          </w:tcPr>
          <w:p w14:paraId="23E90D62" w14:textId="77777777" w:rsidR="00B17EE3" w:rsidRDefault="00000000">
            <w:pPr>
              <w:spacing w:after="0" w:line="252" w:lineRule="auto"/>
            </w:pPr>
            <w:r>
              <w:rPr>
                <w:b/>
                <w:sz w:val="18"/>
              </w:rPr>
              <w:t>Mean minus 2 standard deviations</w:t>
            </w:r>
          </w:p>
        </w:tc>
        <w:tc>
          <w:tcPr>
            <w:tcW w:w="4464" w:type="dxa"/>
            <w:shd w:val="clear" w:color="auto" w:fill="FFFFFF"/>
            <w:tcMar>
              <w:top w:w="95" w:type="dxa"/>
              <w:left w:w="115" w:type="dxa"/>
              <w:bottom w:w="95" w:type="dxa"/>
              <w:right w:w="115" w:type="dxa"/>
            </w:tcMar>
            <w:vAlign w:val="center"/>
          </w:tcPr>
          <w:p w14:paraId="3EB32EF6" w14:textId="77777777" w:rsidR="00B17EE3" w:rsidRDefault="00000000">
            <w:pPr>
              <w:spacing w:after="0" w:line="252" w:lineRule="auto"/>
              <w:jc w:val="right"/>
            </w:pPr>
            <w:r>
              <w:rPr>
                <w:sz w:val="18"/>
              </w:rPr>
              <w:t>$3,815.9 per quarter (approximately $1,272.0 per month)</w:t>
            </w:r>
          </w:p>
        </w:tc>
      </w:tr>
    </w:tbl>
    <w:p w14:paraId="306C9906" w14:textId="77777777" w:rsidR="00B17EE3" w:rsidRDefault="00B17EE3">
      <w:pPr>
        <w:spacing w:before="20" w:after="0" w:line="240" w:lineRule="auto"/>
      </w:pPr>
    </w:p>
    <w:p w14:paraId="51375B29" w14:textId="77777777" w:rsidR="00B17EE3" w:rsidRDefault="00000000">
      <w:pPr>
        <w:spacing w:after="140"/>
      </w:pPr>
      <w:r>
        <w:rPr>
          <w:i/>
        </w:rPr>
        <w:t>None of the 44 post-2015 quarters has fallen below this floor, including the COVID trough. The floor represents a level not yet observed in the post-2015 regime, which is the intended property of a severely adverse assumption.</w:t>
      </w:r>
    </w:p>
    <w:p w14:paraId="53B127E2" w14:textId="77777777" w:rsidR="00B17EE3" w:rsidRDefault="00000000">
      <w:pPr>
        <w:pStyle w:val="21"/>
      </w:pPr>
      <w:r>
        <w:t>Severity Sanity Check</w:t>
      </w:r>
    </w:p>
    <w:p w14:paraId="4E53E9D5" w14:textId="77777777" w:rsidR="00B17EE3" w:rsidRDefault="00000000">
      <w:pPr>
        <w:spacing w:after="0"/>
        <w:rPr>
          <w:lang w:eastAsia="zh-CN"/>
        </w:rPr>
      </w:pPr>
      <w:r>
        <w:t>A decline from the $4,747.6 baseline to the $3,815.9 floor is 19.6%. For context, the worst realized shock in the full post-2015 record was the COVID decline of 7.3%, from the pre-COVID average of $4,264 in 2019 H2 to the $3,954 trough in 2020 Q2. The proposed floor is approximately 2.7 times more severe than any decline actually realized in nine years of post-2015 data. It is therefore more conservative than the worst historical quarter without being disconnected from the series' observed behavior.</w:t>
      </w:r>
    </w:p>
    <w:p w14:paraId="063C3C56" w14:textId="77777777" w:rsidR="00285460" w:rsidRDefault="00285460">
      <w:pPr>
        <w:spacing w:after="0"/>
        <w:rPr>
          <w:lang w:eastAsia="zh-CN"/>
        </w:rPr>
      </w:pPr>
    </w:p>
    <w:p w14:paraId="60D923D1" w14:textId="77777777" w:rsidR="00285460" w:rsidRDefault="00285460">
      <w:pPr>
        <w:spacing w:after="0"/>
        <w:rPr>
          <w:lang w:eastAsia="zh-CN"/>
        </w:rPr>
      </w:pPr>
    </w:p>
    <w:p w14:paraId="012D10E2" w14:textId="477ABBF0" w:rsidR="00285460" w:rsidRDefault="00285460">
      <w:pPr>
        <w:spacing w:after="0"/>
        <w:rPr>
          <w:rFonts w:hint="eastAsia"/>
          <w:lang w:eastAsia="zh-CN"/>
        </w:rPr>
      </w:pPr>
      <w:r>
        <w:rPr>
          <w:rFonts w:ascii="微软雅黑" w:eastAsia="微软雅黑" w:hAnsi="微软雅黑" w:cs="微软雅黑" w:hint="eastAsia"/>
          <w:lang w:eastAsia="zh-CN"/>
        </w:rPr>
        <w:t>三年一照</w:t>
      </w:r>
    </w:p>
    <w:sectPr w:rsidR="00285460" w:rsidSect="00034616">
      <w:footerReference w:type="default" r:id="rId8"/>
      <w:pgSz w:w="12240" w:h="15840"/>
      <w:pgMar w:top="979" w:right="1037" w:bottom="907" w:left="103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4FE72A" w14:textId="77777777" w:rsidR="000905A0" w:rsidRDefault="000905A0">
      <w:pPr>
        <w:spacing w:after="0" w:line="240" w:lineRule="auto"/>
      </w:pPr>
      <w:r>
        <w:separator/>
      </w:r>
    </w:p>
  </w:endnote>
  <w:endnote w:type="continuationSeparator" w:id="0">
    <w:p w14:paraId="0AD9F0AE" w14:textId="77777777" w:rsidR="000905A0" w:rsidRDefault="00090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86229" w14:textId="77777777" w:rsidR="00B17EE3" w:rsidRDefault="00000000">
    <w:pPr>
      <w:pStyle w:val="a7"/>
      <w:jc w:val="center"/>
    </w:pPr>
    <w:r>
      <w:rPr>
        <w:color w:val="555555"/>
        <w:sz w:val="18"/>
      </w:rPr>
      <w:fldChar w:fldCharType="begin"/>
    </w:r>
    <w:r>
      <w:rPr>
        <w:color w:val="555555"/>
        <w:sz w:val="18"/>
      </w:rPr>
      <w:instrText xml:space="preserve"> PAGE </w:instrText>
    </w:r>
    <w:r w:rsidR="007C03F1">
      <w:rPr>
        <w:color w:val="555555"/>
        <w:sz w:val="18"/>
      </w:rPr>
      <w:fldChar w:fldCharType="separate"/>
    </w:r>
    <w:r w:rsidR="007C03F1">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0BFA26" w14:textId="77777777" w:rsidR="000905A0" w:rsidRDefault="000905A0">
      <w:pPr>
        <w:spacing w:after="0" w:line="240" w:lineRule="auto"/>
      </w:pPr>
      <w:r>
        <w:separator/>
      </w:r>
    </w:p>
  </w:footnote>
  <w:footnote w:type="continuationSeparator" w:id="0">
    <w:p w14:paraId="55010C22" w14:textId="77777777" w:rsidR="000905A0" w:rsidRDefault="00090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4682337">
    <w:abstractNumId w:val="8"/>
  </w:num>
  <w:num w:numId="2" w16cid:durableId="185797312">
    <w:abstractNumId w:val="6"/>
  </w:num>
  <w:num w:numId="3" w16cid:durableId="1443577213">
    <w:abstractNumId w:val="5"/>
  </w:num>
  <w:num w:numId="4" w16cid:durableId="2132554008">
    <w:abstractNumId w:val="4"/>
  </w:num>
  <w:num w:numId="5" w16cid:durableId="658391604">
    <w:abstractNumId w:val="7"/>
  </w:num>
  <w:num w:numId="6" w16cid:durableId="1686400917">
    <w:abstractNumId w:val="3"/>
  </w:num>
  <w:num w:numId="7" w16cid:durableId="1851795679">
    <w:abstractNumId w:val="2"/>
  </w:num>
  <w:num w:numId="8" w16cid:durableId="1339040253">
    <w:abstractNumId w:val="1"/>
  </w:num>
  <w:num w:numId="9" w16cid:durableId="18848272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5A0"/>
    <w:rsid w:val="0015074B"/>
    <w:rsid w:val="00285460"/>
    <w:rsid w:val="0029639D"/>
    <w:rsid w:val="00326F90"/>
    <w:rsid w:val="007C03F1"/>
    <w:rsid w:val="00A254BC"/>
    <w:rsid w:val="00AA1D8D"/>
    <w:rsid w:val="00B17EE3"/>
    <w:rsid w:val="00B47730"/>
    <w:rsid w:val="00C13AF5"/>
    <w:rsid w:val="00CB0664"/>
    <w:rsid w:val="00CD4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7164C"/>
  <w14:defaultImageDpi w14:val="300"/>
  <w15:docId w15:val="{7A4AB824-A5F8-2749-A706-DDF08F6D3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eastAsia="Arial" w:hAnsi="Arial"/>
      <w:color w:val="000000"/>
      <w:sz w:val="21"/>
    </w:rPr>
  </w:style>
  <w:style w:type="paragraph" w:styleId="1">
    <w:name w:val="heading 1"/>
    <w:basedOn w:val="a1"/>
    <w:next w:val="a1"/>
    <w:link w:val="10"/>
    <w:uiPriority w:val="9"/>
    <w:qFormat/>
    <w:rsid w:val="00FC693F"/>
    <w:pPr>
      <w:keepNext/>
      <w:keepLines/>
      <w:spacing w:before="220" w:after="10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160" w:line="240" w:lineRule="auto"/>
      <w:contextualSpacing/>
    </w:pPr>
    <w:rPr>
      <w:rFonts w:asciiTheme="majorHAnsi" w:eastAsiaTheme="majorEastAsia" w:hAnsiTheme="majorHAnsi" w:cstheme="majorBidi"/>
      <w:b/>
      <w:spacing w:val="5"/>
      <w:kern w:val="28"/>
      <w:sz w:val="5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932</Words>
  <Characters>5318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Debit Card Fee Model</dc:title>
  <dc:subject>Debit card fee revenue model development and adopted treatment</dc:subject>
  <dc:creator/>
  <cp:keywords>debit card fee revenue, baseline, stress floor, ARDL, regime change</cp:keywords>
  <dc:description>generated by python-docx</dc:description>
  <cp:lastModifiedBy>宇轩 黄</cp:lastModifiedBy>
  <cp:revision>4</cp:revision>
  <dcterms:created xsi:type="dcterms:W3CDTF">2013-12-23T23:15:00Z</dcterms:created>
  <dcterms:modified xsi:type="dcterms:W3CDTF">2026-09-25T20:13:00Z</dcterms:modified>
  <cp:category/>
</cp:coreProperties>
</file>