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300"/>
        <w:jc w:val="center"/>
      </w:pPr>
      <w:r>
        <w:rPr>
          <w:rFonts w:ascii="Aptos Display" w:hAnsi="Aptos Display" w:eastAsia="Aptos Display"/>
          <w:b/>
          <w:color w:val="000000"/>
          <w:sz w:val="52"/>
        </w:rPr>
        <w:t>Trust Fee Revenue Model Development Document</w:t>
      </w:r>
    </w:p>
    <w:p>
      <w:pPr>
        <w:pStyle w:val="DocumentSubtitle"/>
        <w:jc w:val="center"/>
      </w:pPr>
      <w:r>
        <w:rPr>
          <w:rFonts w:ascii="Aptos" w:hAnsi="Aptos" w:eastAsia="Aptos"/>
          <w:color w:val="000000"/>
          <w:sz w:val="26"/>
        </w:rPr>
        <w:t>Reorganized Draft</w:t>
      </w:r>
    </w:p>
    <w:p>
      <w:pPr>
        <w:spacing w:before="360"/>
        <w:jc w:val="center"/>
      </w:pPr>
      <w:r>
        <w:rPr>
          <w:rFonts w:ascii="Aptos" w:hAnsi="Aptos" w:eastAsia="Aptos"/>
          <w:color w:val="000000"/>
          <w:sz w:val="22"/>
        </w:rPr>
        <w:t>Pinnacle</w:t>
      </w:r>
    </w:p>
    <w:p>
      <w:r>
        <w:br w:type="page"/>
      </w:r>
    </w:p>
    <w:p>
      <w:pPr>
        <w:pStyle w:val="Heading1"/>
      </w:pPr>
      <w:r>
        <w:t>Contents</w:t>
      </w:r>
    </w:p>
    <w:p>
      <w:pPr>
        <w:spacing w:after="40"/>
      </w:pPr>
    </w:p>
    <w:p>
      <w:pPr>
        <w:spacing w:after="80"/>
        <w:ind w:left="259"/>
      </w:pPr>
      <w:r>
        <w:rPr>
          <w:rFonts w:ascii="Aptos" w:hAnsi="Aptos" w:eastAsia="Aptos"/>
          <w:color w:val="000000"/>
          <w:sz w:val="22"/>
        </w:rPr>
        <w:t>1 Executive Summary</w:t>
      </w:r>
    </w:p>
    <w:p>
      <w:pPr>
        <w:spacing w:after="80"/>
        <w:ind w:left="259"/>
      </w:pPr>
      <w:r>
        <w:rPr>
          <w:rFonts w:ascii="Aptos" w:hAnsi="Aptos" w:eastAsia="Aptos"/>
          <w:color w:val="000000"/>
          <w:sz w:val="22"/>
        </w:rPr>
        <w:t>2 Model Theory and Design</w:t>
      </w:r>
    </w:p>
    <w:p>
      <w:pPr>
        <w:spacing w:after="80"/>
        <w:ind w:left="259"/>
      </w:pPr>
      <w:r>
        <w:rPr>
          <w:rFonts w:ascii="Aptos" w:hAnsi="Aptos" w:eastAsia="Aptos"/>
          <w:color w:val="000000"/>
          <w:sz w:val="22"/>
        </w:rPr>
        <w:t>3 Model Estimation</w:t>
      </w:r>
    </w:p>
    <w:p>
      <w:pPr>
        <w:spacing w:after="80"/>
        <w:ind w:left="259"/>
      </w:pPr>
      <w:r>
        <w:rPr>
          <w:rFonts w:ascii="Aptos" w:hAnsi="Aptos" w:eastAsia="Aptos"/>
          <w:color w:val="000000"/>
          <w:sz w:val="22"/>
        </w:rPr>
        <w:t>4 Model Development Data</w:t>
      </w:r>
    </w:p>
    <w:p>
      <w:pPr>
        <w:spacing w:after="80"/>
        <w:ind w:left="259"/>
      </w:pPr>
      <w:r>
        <w:rPr>
          <w:rFonts w:ascii="Aptos" w:hAnsi="Aptos" w:eastAsia="Aptos"/>
          <w:color w:val="000000"/>
          <w:sz w:val="22"/>
        </w:rPr>
        <w:t>5 Linkages with Other Models</w:t>
      </w:r>
    </w:p>
    <w:p>
      <w:pPr>
        <w:spacing w:after="80"/>
        <w:ind w:left="259"/>
      </w:pPr>
      <w:r>
        <w:rPr>
          <w:rFonts w:ascii="Aptos" w:hAnsi="Aptos" w:eastAsia="Aptos"/>
          <w:color w:val="000000"/>
          <w:sz w:val="22"/>
        </w:rPr>
        <w:t>6 Model Testing</w:t>
      </w:r>
    </w:p>
    <w:p>
      <w:pPr>
        <w:spacing w:after="80"/>
        <w:ind w:left="259"/>
      </w:pPr>
      <w:r>
        <w:rPr>
          <w:rFonts w:ascii="Aptos" w:hAnsi="Aptos" w:eastAsia="Aptos"/>
          <w:color w:val="000000"/>
          <w:sz w:val="22"/>
        </w:rPr>
        <w:t>7 Model Implementation</w:t>
      </w:r>
    </w:p>
    <w:p>
      <w:pPr>
        <w:spacing w:after="80"/>
        <w:ind w:left="259"/>
      </w:pPr>
      <w:r>
        <w:rPr>
          <w:rFonts w:ascii="Aptos" w:hAnsi="Aptos" w:eastAsia="Aptos"/>
          <w:color w:val="000000"/>
          <w:sz w:val="22"/>
        </w:rPr>
        <w:t>8 Model Monitoring</w:t>
      </w:r>
    </w:p>
    <w:p>
      <w:pPr>
        <w:spacing w:after="80"/>
        <w:ind w:left="259"/>
      </w:pPr>
      <w:r>
        <w:rPr>
          <w:rFonts w:ascii="Aptos" w:hAnsi="Aptos" w:eastAsia="Aptos"/>
          <w:color w:val="000000"/>
          <w:sz w:val="22"/>
        </w:rPr>
        <w:t>9 Procedures</w:t>
      </w:r>
    </w:p>
    <w:p>
      <w:pPr>
        <w:spacing w:after="80"/>
        <w:ind w:left="259"/>
      </w:pPr>
      <w:r>
        <w:rPr>
          <w:rFonts w:ascii="Aptos" w:hAnsi="Aptos" w:eastAsia="Aptos"/>
          <w:color w:val="000000"/>
          <w:sz w:val="22"/>
        </w:rPr>
        <w:t>10 Governance</w:t>
      </w:r>
    </w:p>
    <w:p>
      <w:pPr>
        <w:spacing w:after="80"/>
        <w:ind w:left="259"/>
      </w:pPr>
      <w:r>
        <w:rPr>
          <w:rFonts w:ascii="Aptos" w:hAnsi="Aptos" w:eastAsia="Aptos"/>
          <w:color w:val="000000"/>
          <w:sz w:val="22"/>
        </w:rPr>
        <w:t>11 Appendix Information</w:t>
      </w:r>
    </w:p>
    <w:p>
      <w:pPr>
        <w:spacing w:after="80"/>
        <w:ind w:left="259"/>
      </w:pPr>
      <w:r>
        <w:rPr>
          <w:rFonts w:ascii="Aptos" w:hAnsi="Aptos" w:eastAsia="Aptos"/>
          <w:color w:val="000000"/>
          <w:sz w:val="22"/>
        </w:rPr>
        <w:t>12 FAQs</w:t>
      </w:r>
    </w:p>
    <w:p>
      <w:pPr>
        <w:pStyle w:val="Heading1"/>
      </w:pPr>
      <w:r>
        <w:t>1 Executive Summary</w:t>
      </w:r>
    </w:p>
    <w:p>
      <w:r>
        <w:rPr>
          <w:rFonts w:ascii="Aptos" w:hAnsi="Aptos" w:eastAsia="Aptos"/>
          <w:i w:val="0"/>
          <w:color w:val="000000"/>
          <w:sz w:val="21"/>
        </w:rPr>
        <w:t>The Dodd-Frank Wall Street Reform and Consumer Protection Act requires bank holding companies with total consolidated assets greater than $100B to undergo the Comprehensive Capital Analysis and Review (CCAR) stress testing exercise. Pinnacle crossed the $100B total asset threshold at the beginning of 2026, subjecting the Bank to the enhanced regulatory and supervisory stress-testing requirements applicable to banks of that size. In response, the Bank has launched the Large Bank Advancement (LBA) initiative to build out new governance, documentation, and modeling infrastructure needed to meet those requirements. Pre-Provisioning (PPNR) estimation is a required component of that annual company-run stress tests.</w:t>
      </w:r>
    </w:p>
    <w:p>
      <w:r>
        <w:rPr>
          <w:rFonts w:ascii="Aptos" w:hAnsi="Aptos" w:eastAsia="Aptos"/>
          <w:i w:val="0"/>
          <w:color w:val="000000"/>
          <w:sz w:val="21"/>
        </w:rPr>
        <w:t>The Document covers Trust fee.</w:t>
      </w:r>
    </w:p>
    <w:p>
      <w:r>
        <w:rPr>
          <w:rFonts w:ascii="Aptos" w:hAnsi="Aptos" w:eastAsia="Aptos"/>
          <w:i w:val="0"/>
          <w:color w:val="000000"/>
          <w:sz w:val="21"/>
        </w:rPr>
        <w:t>Key personnel:</w:t>
      </w:r>
    </w:p>
    <w:p>
      <w:pPr>
        <w:pStyle w:val="ListBullet"/>
        <w:keepNext/>
        <w:keepLines/>
      </w:pPr>
      <w:r>
        <w:rPr>
          <w:rFonts w:ascii="Aptos" w:hAnsi="Aptos" w:eastAsia="Aptos"/>
          <w:color w:val="000000"/>
          <w:sz w:val="21"/>
        </w:rPr>
        <w:t>Model Owner: Haoyu Zhou</w:t>
      </w:r>
    </w:p>
    <w:p>
      <w:pPr>
        <w:pStyle w:val="ListBullet"/>
        <w:keepNext/>
        <w:keepLines/>
      </w:pPr>
      <w:r>
        <w:rPr>
          <w:rFonts w:ascii="Aptos" w:hAnsi="Aptos" w:eastAsia="Aptos"/>
          <w:color w:val="000000"/>
          <w:sz w:val="21"/>
        </w:rPr>
        <w:t>Model Developer: Haoyu Zhou</w:t>
      </w:r>
    </w:p>
    <w:p>
      <w:pPr>
        <w:pStyle w:val="ListBullet"/>
        <w:keepNext w:val="0"/>
        <w:keepLines/>
      </w:pPr>
      <w:r>
        <w:rPr>
          <w:rFonts w:ascii="Aptos" w:hAnsi="Aptos" w:eastAsia="Aptos"/>
          <w:color w:val="000000"/>
          <w:sz w:val="21"/>
        </w:rPr>
        <w:t>Model Developer: Ethan Li</w:t>
      </w:r>
    </w:p>
    <w:p>
      <w:pPr>
        <w:pStyle w:val="Heading1"/>
      </w:pPr>
      <w:r>
        <w:t>2 Model Theory and Design</w:t>
      </w:r>
    </w:p>
    <w:p>
      <w:pPr>
        <w:pStyle w:val="Heading2"/>
      </w:pPr>
      <w:r>
        <w:t>2.1 Trust AUM Fee</w:t>
      </w:r>
    </w:p>
    <w:p>
      <w:r>
        <w:rPr>
          <w:rFonts w:ascii="Aptos" w:hAnsi="Aptos" w:eastAsia="Aptos"/>
          <w:i w:val="0"/>
          <w:color w:val="000000"/>
          <w:sz w:val="21"/>
        </w:rPr>
        <w:t>Trust fee revenue is composed of three segments: TFO (family office), IT (institutional trust), and PT (private trust).</w:t>
      </w:r>
    </w:p>
    <w:p>
      <w:r>
        <w:rPr>
          <w:rFonts w:ascii="Aptos" w:hAnsi="Aptos" w:eastAsia="Aptos"/>
          <w:i w:val="0"/>
          <w:color w:val="000000"/>
          <w:sz w:val="21"/>
        </w:rPr>
        <w:t>All three segments share the same CCAR methodology: a fixed rate assumption (full-history average for baseline; average minus 2 standard deviations for stress) applied to a balance assumption (linear trend extrapolation of the recent 24 month for baseline; the recent 24-month average, stepped down by a market-stress decline, for stress). The stress balance decline is a uniform 10% peak decline applied to all three segments, calibrated to the Jan-Jun 2020 (Covid) window - a genuine market-stress episode - since the recent 24 months alone are too mild to calibrate a stress move (largest drawdown under 3.5% across all segments). The decline is held flat at the 10% trough for the first 6 quarters, then phased out linearly over the final 3 quarters, returning to -2.5% by Mar-28.</w:t>
      </w:r>
    </w:p>
    <w:p>
      <w:pPr>
        <w:pStyle w:val="Placeholder"/>
        <w:jc w:val="center"/>
      </w:pPr>
      <w:r>
        <w:rPr>
          <w:rFonts w:ascii="Aptos" w:hAnsi="Aptos" w:eastAsia="Aptos"/>
          <w:i/>
          <w:color w:val="666666"/>
          <w:sz w:val="20"/>
        </w:rPr>
        <w:t>[AUM Ramp Down Path in Stress]</w:t>
      </w:r>
    </w:p>
    <w:p>
      <w:pPr>
        <w:pStyle w:val="Heading2"/>
      </w:pPr>
      <w:r>
        <w:t>2.2 Trust AUC Fee</w:t>
      </w:r>
    </w:p>
    <w:p>
      <w:r>
        <w:rPr>
          <w:rFonts w:ascii="Aptos" w:hAnsi="Aptos" w:eastAsia="Aptos"/>
          <w:i w:val="0"/>
          <w:color w:val="000000"/>
          <w:sz w:val="21"/>
        </w:rPr>
        <w:t>AUC fees are the custody-side counterpart to AUM fees within the trust fee line (TFO/IT/PT). AUC fee revenue is materially smaller than AUM fee revenue - less than 10% of the AUM fee amount - so unlike the AUM estimate, it is not worth the effort to model TFO, IT, and PT individually. Instead, AUC is estimated on a blended basis: a single balance-weighted rate applied to the total AUC balance, for both the baseline and stress legs.</w:t>
      </w:r>
    </w:p>
    <w:p>
      <w:pPr>
        <w:pStyle w:val="Heading2"/>
      </w:pPr>
      <w:r>
        <w:t>2.3 Asset Management Income</w:t>
      </w:r>
    </w:p>
    <w:p>
      <w:r>
        <w:rPr>
          <w:rFonts w:ascii="Aptos" w:hAnsi="Aptos" w:eastAsia="Aptos"/>
          <w:i w:val="0"/>
          <w:color w:val="000000"/>
          <w:sz w:val="21"/>
        </w:rPr>
        <w:t>To simplify, it is decided that whatever the estimation from IA, it is scaled up by 1.5% to compensate for ignoring revenue from those two lines. IA is modeled directly off AUM / revenue history.</w:t>
      </w:r>
    </w:p>
    <w:p>
      <w:pPr>
        <w:pStyle w:val="Heading1"/>
      </w:pPr>
      <w:r>
        <w:t>3 Model Estimation</w:t>
      </w:r>
    </w:p>
    <w:p>
      <w:pPr>
        <w:pStyle w:val="Heading2"/>
      </w:pPr>
      <w:r>
        <w:t>3.1 Trust AUM Fee</w:t>
      </w:r>
    </w:p>
    <w:p>
      <w:pPr>
        <w:pStyle w:val="Heading3"/>
      </w:pPr>
      <w:r>
        <w:t>3.1.1 TFO</w:t>
      </w:r>
    </w:p>
    <w:p>
      <w:pPr>
        <w:pStyle w:val="Heading4"/>
      </w:pPr>
      <w:r>
        <w:t>a Rate</w:t>
      </w:r>
    </w:p>
    <w:p>
      <w:r>
        <w:rPr>
          <w:rFonts w:ascii="Aptos" w:hAnsi="Aptos" w:eastAsia="Aptos"/>
          <w:i w:val="0"/>
          <w:color w:val="000000"/>
          <w:sz w:val="21"/>
        </w:rPr>
        <w:t>TFO's AUM charge rate is stable over the full history, averaging 0.2486% (std dev 0.0188%), with no material trend or regime breaks. The full-history average is used as the baseline rate; average minus 2 standard deviations (0.2110%) is used as the stress rate.</w:t>
      </w:r>
    </w:p>
    <w:p>
      <w:pPr>
        <w:pStyle w:val="Heading4"/>
      </w:pPr>
      <w:r>
        <w:t>b Balance</w:t>
      </w:r>
    </w:p>
    <w:p>
      <w:r>
        <w:rPr>
          <w:rFonts w:ascii="Aptos" w:hAnsi="Aptos" w:eastAsia="Aptos"/>
          <w:i w:val="0"/>
          <w:color w:val="000000"/>
          <w:sz w:val="21"/>
        </w:rPr>
        <w:t>TFO's AUM balance has grown steadily with only mild month-to-month volatility, supporting a linear trend fit to the recent 24 months (Jan 2024-Dec 2025) for the baseline projection. TFO's own COVID-window (Jan-Jun 2020) drawdown was -8.9%, within the range used to calibrate the shared uniform 10% stress decline described above.</w:t>
      </w:r>
    </w:p>
    <w:p>
      <w:pPr>
        <w:pStyle w:val="Placeholder"/>
        <w:jc w:val="center"/>
      </w:pPr>
      <w:r>
        <w:rPr>
          <w:rFonts w:ascii="Aptos" w:hAnsi="Aptos" w:eastAsia="Aptos"/>
          <w:i/>
          <w:color w:val="666666"/>
          <w:sz w:val="20"/>
        </w:rPr>
        <w:t>[TFO AUM Balance Path]</w:t>
      </w:r>
    </w:p>
    <w:p>
      <w:pPr>
        <w:pStyle w:val="Heading3"/>
      </w:pPr>
      <w:r>
        <w:t>3.1.2 IT</w:t>
      </w:r>
    </w:p>
    <w:p>
      <w:pPr>
        <w:pStyle w:val="Heading4"/>
      </w:pPr>
      <w:r>
        <w:t>a Rate</w:t>
      </w:r>
    </w:p>
    <w:p>
      <w:r>
        <w:rPr>
          <w:rFonts w:ascii="Aptos" w:hAnsi="Aptos" w:eastAsia="Aptos"/>
          <w:i w:val="0"/>
          <w:color w:val="000000"/>
          <w:sz w:val="21"/>
        </w:rPr>
        <w:t>IT's AUM charge rate is stable over the full history, averaging 0.2627% (std dev 0.0275%, the highest of the three segments), with no material trend or regime break. The full-history average is used as the baseline rate; average minus 2 standard deviations (0.2076%) is used as the stress rate.</w:t>
      </w:r>
    </w:p>
    <w:p>
      <w:pPr>
        <w:pStyle w:val="Heading4"/>
      </w:pPr>
      <w:r>
        <w:t>b Balance</w:t>
      </w:r>
    </w:p>
    <w:p>
      <w:r>
        <w:rPr>
          <w:rFonts w:ascii="Aptos" w:hAnsi="Aptos" w:eastAsia="Aptos"/>
          <w:i w:val="0"/>
          <w:color w:val="000000"/>
          <w:sz w:val="21"/>
        </w:rPr>
        <w:t>The largest observed AUM drawdown in IT's full history was -39.7% (Dec 2020 to Nov 2022); however, that move coincides almost exactly with an offsetting jump in IT_AUC over the same months - assets were reclassified from the IT AUM bucket into the IT AUC bucket (a business/product decision), not lost to market stress or client attrition. That period is therefore excluded as a stress anchor. IT's own COVID window (Jan-Jun 2020) drawdown was -4.6%, the mildest of the three AUM segments, but is nonetheless assumed to warrant the same shared uniform 10% stress decline that was described above.</w:t>
      </w:r>
    </w:p>
    <w:p>
      <w:pPr>
        <w:pStyle w:val="Placeholder"/>
        <w:jc w:val="center"/>
      </w:pPr>
      <w:r>
        <w:rPr>
          <w:rFonts w:ascii="Aptos" w:hAnsi="Aptos" w:eastAsia="Aptos"/>
          <w:i/>
          <w:color w:val="666666"/>
          <w:sz w:val="20"/>
        </w:rPr>
        <w:t>[IT AUM Balance Path]</w:t>
      </w:r>
    </w:p>
    <w:p>
      <w:pPr>
        <w:pStyle w:val="Heading3"/>
      </w:pPr>
      <w:r>
        <w:t>3.1.3 PT</w:t>
      </w:r>
    </w:p>
    <w:p>
      <w:pPr>
        <w:pStyle w:val="Heading4"/>
      </w:pPr>
      <w:r>
        <w:t>a Rate</w:t>
      </w:r>
    </w:p>
    <w:p>
      <w:r>
        <w:rPr>
          <w:rFonts w:ascii="Aptos" w:hAnsi="Aptos" w:eastAsia="Aptos"/>
          <w:i w:val="0"/>
          <w:color w:val="000000"/>
          <w:sz w:val="21"/>
        </w:rPr>
        <w:t>PT's AUM charge rate is stable over the full history, averaging 0.7076%, several times higher than TFO or IT, with std dev 0.0226%, and no material trend or regime break. The full-history average is used as the baseline rate; average minus 2 standard deviations (0.6623%) is used as the stress rate.</w:t>
      </w:r>
    </w:p>
    <w:p>
      <w:pPr>
        <w:pStyle w:val="Heading4"/>
      </w:pPr>
      <w:r>
        <w:t>b Balance</w:t>
      </w:r>
    </w:p>
    <w:p>
      <w:r>
        <w:rPr>
          <w:rFonts w:ascii="Aptos" w:hAnsi="Aptos" w:eastAsia="Aptos"/>
          <w:i w:val="0"/>
          <w:color w:val="000000"/>
          <w:sz w:val="21"/>
        </w:rPr>
        <w:t>PT's AUM balance has grown steadily with only mild month-to-month volatility, supporting a linear trend to the recent 24 months for the baseline projection. PT's own COVID-window (Jan-Jun 2020) drawdown was -7.1%, within the range used to calibrate the shared uniform 10% stress decline described above.</w:t>
      </w:r>
    </w:p>
    <w:p>
      <w:pPr>
        <w:pStyle w:val="Placeholder"/>
        <w:jc w:val="center"/>
      </w:pPr>
      <w:r>
        <w:rPr>
          <w:rFonts w:ascii="Aptos" w:hAnsi="Aptos" w:eastAsia="Aptos"/>
          <w:i/>
          <w:color w:val="666666"/>
          <w:sz w:val="20"/>
        </w:rPr>
        <w:t>[PT AUM Balance Path]</w:t>
      </w:r>
    </w:p>
    <w:p>
      <w:pPr>
        <w:pStyle w:val="Heading2"/>
      </w:pPr>
      <w:r>
        <w:t>3.2 Trust AUC Fee</w:t>
      </w:r>
    </w:p>
    <w:p>
      <w:pPr>
        <w:pStyle w:val="Heading3"/>
      </w:pPr>
      <w:r>
        <w:t>a Rate</w:t>
      </w:r>
    </w:p>
    <w:p>
      <w:r>
        <w:rPr>
          <w:rFonts w:ascii="Aptos" w:hAnsi="Aptos" w:eastAsia="Aptos"/>
          <w:i w:val="0"/>
          <w:color w:val="000000"/>
          <w:sz w:val="21"/>
        </w:rPr>
        <w:t>Using the full post-2023 window, the blended AUC rate average and standard deviation are:</w:t>
      </w:r>
    </w:p>
    <w:p>
      <w:pPr>
        <w:pStyle w:val="Placeholder"/>
        <w:jc w:val="center"/>
      </w:pPr>
      <w:r>
        <w:rPr>
          <w:rFonts w:ascii="Aptos" w:hAnsi="Aptos" w:eastAsia="Aptos"/>
          <w:i/>
          <w:color w:val="666666"/>
          <w:sz w:val="20"/>
        </w:rPr>
        <w:t>[Blended AUC Rate Summary]</w:t>
      </w:r>
    </w:p>
    <w:p>
      <w:r>
        <w:rPr>
          <w:rFonts w:ascii="Aptos" w:hAnsi="Aptos" w:eastAsia="Aptos"/>
          <w:i w:val="0"/>
          <w:color w:val="000000"/>
          <w:sz w:val="21"/>
        </w:rPr>
        <w:t>The post-2023 average (0.0845%) is used as the baseline rate; post-2023 (average - 2 std dev) (0.0673%) is used as the stress rate. The full-history average and std dev are wider (0.0745%/0.0160%) due to the 2021-2022 mix-shift period discussed above - using full history for either scenario would let that mix-shift distortion leak into a rate that is meant to represent the current book, which is why post-2023 data is used for both legs.</w:t>
      </w:r>
    </w:p>
    <w:p>
      <w:pPr>
        <w:pStyle w:val="Heading3"/>
      </w:pPr>
      <w:r>
        <w:t>b Balance</w:t>
      </w:r>
    </w:p>
    <w:p>
      <w:r>
        <w:rPr>
          <w:rFonts w:ascii="Aptos" w:hAnsi="Aptos" w:eastAsia="Aptos"/>
          <w:i w:val="0"/>
          <w:color w:val="000000"/>
          <w:sz w:val="21"/>
        </w:rPr>
        <w:t>Two amount related assumptions are used, mirroring the companion AUM report:</w:t>
      </w:r>
    </w:p>
    <w:p>
      <w:pPr>
        <w:pStyle w:val="ListBullet"/>
        <w:keepNext/>
        <w:keepLines/>
      </w:pPr>
      <w:r>
        <w:rPr>
          <w:rFonts w:ascii="Aptos" w:hAnsi="Aptos" w:eastAsia="Aptos"/>
          <w:color w:val="000000"/>
          <w:sz w:val="21"/>
        </w:rPr>
        <w:t>Baseline amount - linear trend fit to the recent 24 months (Jan 2024-Dec 2025) of total AUC balance, projected forward quarter by quarter across the 9-quarter horizon.</w:t>
      </w:r>
    </w:p>
    <w:p>
      <w:pPr>
        <w:pStyle w:val="ListBullet"/>
        <w:keepNext w:val="0"/>
        <w:keepLines/>
      </w:pPr>
      <w:r>
        <w:rPr>
          <w:rFonts w:ascii="Aptos" w:hAnsi="Aptos" w:eastAsia="Aptos"/>
          <w:color w:val="000000"/>
          <w:sz w:val="21"/>
        </w:rPr>
        <w:t>Stress amount - the recent 24-month average total AUC balance, stepped down by an explicit market-stress decline (see below) rather than held flat.</w:t>
      </w:r>
    </w:p>
    <w:p>
      <w:r>
        <w:rPr>
          <w:rFonts w:ascii="Aptos" w:hAnsi="Aptos" w:eastAsia="Aptos"/>
          <w:i w:val="0"/>
          <w:color w:val="000000"/>
          <w:sz w:val="21"/>
        </w:rPr>
        <w:t>Calibrating the decline: the recent 12-month window is too mild to calibrate a stress move on its own - the largest peak-to-trough drawdown of total AUC balance over that window was only -0.7%. Looking at full history, the largest AUC balance move was the Feb-Oct 2022 decline (total AUC balance -34.0%, driven mainly by IT AUC falling as rates rose sharply). However, per the same narrative established above, that decline was a business-driven mix shift rather than a market-stress event: it reflects assets moving from the IT AUC bucket into IT AUM as part of ordinary business flow, not assets losing value or leaving the firm. It is therefore excluded as a stress anchor, consistent with companion AUM report, which uses the same reasoning to exclude the mirror-image 2021 IT AUM drawdown.</w:t>
      </w:r>
    </w:p>
    <w:p>
      <w:r>
        <w:rPr>
          <w:rFonts w:ascii="Aptos" w:hAnsi="Aptos" w:eastAsia="Aptos"/>
          <w:i w:val="0"/>
          <w:color w:val="000000"/>
          <w:sz w:val="21"/>
        </w:rPr>
        <w:t>In the absence of a clean AUC-specific market-stress episode in this history, the AUC stress decline is set consistent with the AUM report's calibration - a uniform 10% peak decline, held flat for the first 6 quarters and phased out linearly over the final 3 quarters - rather than deriving a separate, AUC-specific severity from a move that is not actually a market-stress event.</w:t>
      </w:r>
    </w:p>
    <w:p>
      <w:pPr>
        <w:pStyle w:val="Placeholder"/>
        <w:jc w:val="center"/>
      </w:pPr>
      <w:r>
        <w:rPr>
          <w:rFonts w:ascii="Aptos" w:hAnsi="Aptos" w:eastAsia="Aptos"/>
          <w:i/>
          <w:color w:val="666666"/>
          <w:sz w:val="20"/>
        </w:rPr>
        <w:t>[AUC Stress Ramp Down Path]</w:t>
      </w:r>
    </w:p>
    <w:p>
      <w:pPr>
        <w:pStyle w:val="Placeholder"/>
        <w:jc w:val="center"/>
      </w:pPr>
      <w:r>
        <w:rPr>
          <w:rFonts w:ascii="Aptos" w:hAnsi="Aptos" w:eastAsia="Aptos"/>
          <w:i/>
          <w:color w:val="666666"/>
          <w:sz w:val="20"/>
        </w:rPr>
        <w:t>[Recent 24-month Average AUC Balance]</w:t>
      </w:r>
    </w:p>
    <w:p>
      <w:r>
        <w:rPr>
          <w:rFonts w:ascii="Aptos" w:hAnsi="Aptos" w:eastAsia="Aptos"/>
          <w:i w:val="0"/>
          <w:color w:val="000000"/>
          <w:sz w:val="21"/>
        </w:rPr>
        <w:t>The stress amount uses the total of these three ($3,924) as the starting point for the decline path.</w:t>
      </w:r>
    </w:p>
    <w:p>
      <w:pPr>
        <w:pStyle w:val="Placeholder"/>
        <w:jc w:val="center"/>
      </w:pPr>
      <w:r>
        <w:rPr>
          <w:rFonts w:ascii="Aptos" w:hAnsi="Aptos" w:eastAsia="Aptos"/>
          <w:i/>
          <w:color w:val="666666"/>
          <w:sz w:val="20"/>
        </w:rPr>
        <w:t>[AUC Balance Path]</w:t>
      </w:r>
    </w:p>
    <w:p>
      <w:pPr>
        <w:pStyle w:val="Heading2"/>
      </w:pPr>
      <w:r>
        <w:t>3.3 Asset Management Income</w:t>
      </w:r>
    </w:p>
    <w:p>
      <w:pPr>
        <w:pStyle w:val="Heading3"/>
      </w:pPr>
      <w:r>
        <w:t>a Methodology</w:t>
      </w:r>
    </w:p>
    <w:p>
      <w:r>
        <w:rPr>
          <w:rFonts w:ascii="Aptos" w:hAnsi="Aptos" w:eastAsia="Aptos"/>
          <w:i w:val="0"/>
          <w:color w:val="000000"/>
          <w:sz w:val="21"/>
        </w:rPr>
        <w:t>The revenue/AUM yield has been remarkably stable at ~50 bps annualized (12.3 - 13.3 bps/quarter) for three straight years, while AUM (+40%) and account count (+12%) have both grown steadily. In baseline and stress, the flat trailing-twelve-month realized yield (50.22 bps annualized) is applied across the horizon.</w:t>
      </w:r>
    </w:p>
    <w:p>
      <w:pPr>
        <w:pStyle w:val="Heading3"/>
      </w:pPr>
      <w:r>
        <w:t>b Balance</w:t>
      </w:r>
    </w:p>
    <w:p>
      <w:r>
        <w:rPr>
          <w:rFonts w:ascii="Aptos" w:hAnsi="Aptos" w:eastAsia="Aptos"/>
          <w:i w:val="0"/>
          <w:color w:val="000000"/>
          <w:sz w:val="21"/>
        </w:rPr>
        <w:t>The projected balance evolves each quarter by applying the scenario-specific S&amp;P 500 percentage change to the prior quarter balance. This approach assumes that changes in fee-generating assets are primarily driven by market valuation effects rather than net flows.</w:t>
      </w:r>
    </w:p>
    <w:p>
      <w:r>
        <w:rPr>
          <w:rFonts w:ascii="Aptos" w:hAnsi="Aptos" w:eastAsia="Aptos"/>
          <w:i w:val="0"/>
          <w:color w:val="000000"/>
          <w:sz w:val="21"/>
        </w:rPr>
        <w:t>The resulting quarterly market shocks are:</w:t>
      </w:r>
    </w:p>
    <w:p>
      <w:pPr>
        <w:pStyle w:val="Placeholder"/>
        <w:jc w:val="center"/>
      </w:pPr>
      <w:r>
        <w:rPr>
          <w:rFonts w:ascii="Aptos" w:hAnsi="Aptos" w:eastAsia="Aptos"/>
          <w:i/>
          <w:color w:val="666666"/>
          <w:sz w:val="20"/>
        </w:rPr>
        <w:t>[Quarterly Market Shocks]</w:t>
      </w:r>
    </w:p>
    <w:p>
      <w:r>
        <w:rPr>
          <w:rFonts w:ascii="Aptos" w:hAnsi="Aptos" w:eastAsia="Aptos"/>
          <w:i w:val="0"/>
          <w:color w:val="000000"/>
          <w:sz w:val="21"/>
        </w:rPr>
        <w:t>Applying these changes to the current IA asset base produces the following balance path:</w:t>
      </w:r>
    </w:p>
    <w:p>
      <w:pPr>
        <w:pStyle w:val="Placeholder"/>
        <w:jc w:val="center"/>
      </w:pPr>
      <w:r>
        <w:rPr>
          <w:rFonts w:ascii="Aptos" w:hAnsi="Aptos" w:eastAsia="Aptos"/>
          <w:i/>
          <w:color w:val="666666"/>
          <w:sz w:val="20"/>
        </w:rPr>
        <w:t>[IA Balance Path]</w:t>
      </w:r>
    </w:p>
    <w:p>
      <w:pPr>
        <w:pStyle w:val="Heading1"/>
      </w:pPr>
      <w:r>
        <w:t>4 Model Development Data</w:t>
      </w:r>
    </w:p>
    <w:p>
      <w:pPr>
        <w:pStyle w:val="Heading2"/>
      </w:pPr>
      <w:r>
        <w:t>4.1 Trust Revenue Data</w:t>
      </w:r>
    </w:p>
    <w:p>
      <w:r>
        <w:rPr>
          <w:rFonts w:ascii="Aptos" w:hAnsi="Aptos" w:eastAsia="Aptos"/>
          <w:i w:val="0"/>
          <w:color w:val="000000"/>
          <w:sz w:val="21"/>
        </w:rPr>
        <w:t>Trust fee includes fee from AUM, AUC and Asset Management Income. AUM and AUC together brought in $71.2mm from Strategic Finance, tying with the mega GL account "TRUSTFEE" $71.1mm. The Asset Management Income from SSI is $12.3mm in 2025, closely matching GL 4976205 $12.0mm.</w:t>
      </w:r>
    </w:p>
    <w:p>
      <w:pPr>
        <w:pStyle w:val="Heading2"/>
      </w:pPr>
      <w:r>
        <w:t>4.2 Trust AUM Fee Data</w:t>
      </w:r>
    </w:p>
    <w:p>
      <w:r>
        <w:rPr>
          <w:rFonts w:ascii="Aptos" w:hAnsi="Aptos" w:eastAsia="Aptos"/>
          <w:i w:val="0"/>
          <w:color w:val="000000"/>
          <w:sz w:val="21"/>
        </w:rPr>
        <w:t>Each segment carries its own AUM balance and its own trailing 3-month average charge rate, available monthly from October 2019 through December 2025. Below are the rates and AUM (in ,000) for each type.</w:t>
      </w:r>
    </w:p>
    <w:p>
      <w:pPr>
        <w:pStyle w:val="Placeholder"/>
        <w:jc w:val="center"/>
      </w:pPr>
      <w:r>
        <w:rPr>
          <w:rFonts w:ascii="Aptos" w:hAnsi="Aptos" w:eastAsia="Aptos"/>
          <w:i/>
          <w:color w:val="666666"/>
          <w:sz w:val="20"/>
        </w:rPr>
        <w:t>[AUM rate by type]</w:t>
      </w:r>
    </w:p>
    <w:p>
      <w:pPr>
        <w:pStyle w:val="Placeholder"/>
        <w:jc w:val="center"/>
      </w:pPr>
      <w:r>
        <w:rPr>
          <w:rFonts w:ascii="Aptos" w:hAnsi="Aptos" w:eastAsia="Aptos"/>
          <w:i/>
          <w:color w:val="666666"/>
          <w:sz w:val="20"/>
        </w:rPr>
        <w:t>[AUM]</w:t>
      </w:r>
    </w:p>
    <w:p>
      <w:pPr>
        <w:pStyle w:val="Heading2"/>
      </w:pPr>
      <w:r>
        <w:t>4.3 Trust AUC Fee Data</w:t>
      </w:r>
    </w:p>
    <w:p>
      <w:pPr>
        <w:pStyle w:val="Heading3"/>
      </w:pPr>
      <w:r>
        <w:t>a AUC Rates Are More Volatile Than AUM Rates</w:t>
      </w:r>
    </w:p>
    <w:p>
      <w:r>
        <w:rPr>
          <w:rFonts w:ascii="Aptos" w:hAnsi="Aptos" w:eastAsia="Aptos"/>
          <w:i w:val="0"/>
          <w:color w:val="000000"/>
          <w:sz w:val="21"/>
        </w:rPr>
        <w:t>All three AUC segment rates are more volatile than their AUM counterparts. PT is the least volatile of the three; IT is the most volatile. The driver is a mix shift: in January 2021, IT balance sharply increased while the IT rate sharply decreased, pulling the blended AUC rate down. This dynamic persisted through the end of 2022, when IT rates rose sharply and IT balance fell sharply before gradually recovering. A higher IT balance combined with a higher IT rate pushes the blended AUC rate up.</w:t>
      </w:r>
    </w:p>
    <w:p>
      <w:pPr>
        <w:pStyle w:val="Placeholder"/>
        <w:jc w:val="center"/>
      </w:pPr>
      <w:r>
        <w:rPr>
          <w:rFonts w:ascii="Aptos" w:hAnsi="Aptos" w:eastAsia="Aptos"/>
          <w:i/>
          <w:color w:val="666666"/>
          <w:sz w:val="20"/>
        </w:rPr>
        <w:t>[AUC rate by type]</w:t>
      </w:r>
    </w:p>
    <w:p>
      <w:pPr>
        <w:pStyle w:val="Placeholder"/>
        <w:jc w:val="center"/>
      </w:pPr>
      <w:r>
        <w:rPr>
          <w:rFonts w:ascii="Aptos" w:hAnsi="Aptos" w:eastAsia="Aptos"/>
          <w:i/>
          <w:color w:val="666666"/>
          <w:sz w:val="20"/>
        </w:rPr>
        <w:t>[AUC balance by type]</w:t>
      </w:r>
    </w:p>
    <w:p>
      <w:pPr>
        <w:pStyle w:val="Placeholder"/>
        <w:jc w:val="center"/>
      </w:pPr>
      <w:r>
        <w:rPr>
          <w:rFonts w:ascii="Aptos" w:hAnsi="Aptos" w:eastAsia="Aptos"/>
          <w:i/>
          <w:color w:val="666666"/>
          <w:sz w:val="20"/>
        </w:rPr>
        <w:t>[AUC rate overall]</w:t>
      </w:r>
    </w:p>
    <w:p>
      <w:r>
        <w:rPr>
          <w:rFonts w:ascii="Aptos" w:hAnsi="Aptos" w:eastAsia="Aptos"/>
          <w:i/>
          <w:color w:val="000000"/>
          <w:sz w:val="21"/>
        </w:rPr>
        <w:t>Balance weighted aggregate AUC rate. Oct 2019 - Dec 2025. The 2021-2022 dip and rebound reflects the IT balance/rate mix shift described above.</w:t>
      </w:r>
    </w:p>
    <w:p>
      <w:r>
        <w:rPr>
          <w:rFonts w:ascii="Aptos" w:hAnsi="Aptos" w:eastAsia="Aptos"/>
          <w:i w:val="0"/>
          <w:color w:val="000000"/>
          <w:sz w:val="21"/>
        </w:rPr>
        <w:t>Restricting the rate estimate to post-2023 data (which reflects a higher IT AUC balance) is, in fact, the conservative choice: any future decrease in IT AUC balance would likely shift into IT AUM instead (per discussion with Strategic Finance), driven by business flows, and AUM charges a materially higher rate than AUC. So keeping assets in the IT AUC bucket, as the post-2023 data does, is the lower-fee scenario relative to that alternative - any overstate using post-2023 data of the AUC fee is more than understated by the incremental AUM fee.</w:t>
      </w:r>
    </w:p>
    <w:p>
      <w:pPr>
        <w:pStyle w:val="Heading2"/>
      </w:pPr>
      <w:r>
        <w:t>4.4 Asset Management Income Data</w:t>
      </w:r>
    </w:p>
    <w:p>
      <w:r>
        <w:rPr>
          <w:rFonts w:ascii="Aptos" w:hAnsi="Aptos" w:eastAsia="Aptos"/>
          <w:i w:val="0"/>
          <w:color w:val="000000"/>
          <w:sz w:val="21"/>
        </w:rPr>
        <w:t>Asset Management Income has three lines (Held Away, Broker, IA) that reconcile to GL 4976205. While there are rate, count and dollar volume data for Held Away, Broker, total average annual income is less than $1.8mm. In comparison, income from IA alone is $12mm per year.</w:t>
      </w:r>
    </w:p>
    <w:p>
      <w:r>
        <w:rPr>
          <w:rFonts w:ascii="Aptos" w:hAnsi="Aptos" w:eastAsia="Aptos"/>
          <w:i w:val="0"/>
          <w:color w:val="000000"/>
          <w:sz w:val="21"/>
        </w:rPr>
        <w:t>IA revenue is primarily driven by asset values rather than account counts. Historical revenue movements have closely tracked changes in market levels, while the realized revenue yield has remained stable.</w:t>
      </w:r>
    </w:p>
    <w:p>
      <w:pPr>
        <w:pStyle w:val="Placeholder"/>
        <w:jc w:val="center"/>
      </w:pPr>
      <w:r>
        <w:rPr>
          <w:rFonts w:ascii="Aptos" w:hAnsi="Aptos" w:eastAsia="Aptos"/>
          <w:i/>
          <w:color w:val="666666"/>
          <w:sz w:val="20"/>
        </w:rPr>
        <w:t>[IA AUM MoM Growth]</w:t>
      </w:r>
    </w:p>
    <w:p>
      <w:pPr>
        <w:pStyle w:val="ToConfirm"/>
      </w:pPr>
      <w:r>
        <w:rPr>
          <w:rFonts w:ascii="Aptos" w:hAnsi="Aptos" w:eastAsia="Aptos"/>
          <w:i/>
          <w:color w:val="4F4F4F"/>
          <w:sz w:val="20"/>
        </w:rPr>
        <w:t>[To be confirmed: detailed source-system information, data dictionary, data-quality assessment, data inclusion and exclusion criteria, and formal development-data limitations were not included in the source material.]</w:t>
      </w:r>
    </w:p>
    <w:p>
      <w:pPr>
        <w:pStyle w:val="Heading1"/>
      </w:pPr>
      <w:r>
        <w:t>5 Linkages with Other Models</w:t>
      </w:r>
    </w:p>
    <w:p>
      <w:r>
        <w:rPr>
          <w:rFonts w:ascii="Aptos" w:hAnsi="Aptos" w:eastAsia="Aptos"/>
          <w:i w:val="0"/>
          <w:color w:val="000000"/>
          <w:sz w:val="21"/>
        </w:rPr>
        <w:t>Consistent with SSI feedback, projected IA balances are therefore linked directly to the S&amp;P 500 path under each macroeconomic scenario.</w:t>
      </w:r>
    </w:p>
    <w:p>
      <w:r>
        <w:rPr>
          <w:rFonts w:ascii="Aptos" w:hAnsi="Aptos" w:eastAsia="Aptos"/>
          <w:i w:val="0"/>
          <w:color w:val="000000"/>
          <w:sz w:val="21"/>
        </w:rPr>
        <w:t>Two balance assumptions are used:</w:t>
      </w:r>
    </w:p>
    <w:p>
      <w:pPr>
        <w:pStyle w:val="ListBullet"/>
        <w:keepNext/>
        <w:keepLines/>
      </w:pPr>
      <w:r>
        <w:rPr>
          <w:rFonts w:ascii="Aptos" w:hAnsi="Aptos" w:eastAsia="Aptos"/>
          <w:color w:val="000000"/>
          <w:sz w:val="21"/>
        </w:rPr>
        <w:t>Baseline balance - IA balances are projected using the quarter-over-quarter changes implied by the Scenario Consistent Baseline (January 2026) S&amp;P 500 index path.</w:t>
      </w:r>
    </w:p>
    <w:p>
      <w:pPr>
        <w:pStyle w:val="ListBullet"/>
        <w:keepNext w:val="0"/>
        <w:keepLines/>
      </w:pPr>
      <w:r>
        <w:rPr>
          <w:rFonts w:ascii="Aptos" w:hAnsi="Aptos" w:eastAsia="Aptos"/>
          <w:color w:val="000000"/>
          <w:sz w:val="21"/>
        </w:rPr>
        <w:t>Stress balance - IA balances are projected using the quarter-over-quarter changes implied by the S4 Alternative Scenario 4 (Downside - 96th Percentile) S&amp;P 500 index path.</w:t>
      </w:r>
    </w:p>
    <w:p>
      <w:pPr>
        <w:pStyle w:val="ToConfirm"/>
      </w:pPr>
      <w:r>
        <w:rPr>
          <w:rFonts w:ascii="Aptos" w:hAnsi="Aptos" w:eastAsia="Aptos"/>
          <w:i/>
          <w:color w:val="4F4F4F"/>
          <w:sz w:val="20"/>
        </w:rPr>
        <w:t>[To be confirmed: whether the S&amp;P 500 scenario paths are generated by an upstream model, the location of the corresponding model documentation, and whether the linkage is correctly flagged within the BWise GRC system were not included in the source material.]</w:t>
      </w:r>
    </w:p>
    <w:p>
      <w:pPr>
        <w:pStyle w:val="Heading1"/>
      </w:pPr>
      <w:r>
        <w:t>6 Model Testing</w:t>
      </w:r>
    </w:p>
    <w:p>
      <w:pPr>
        <w:pStyle w:val="Heading2"/>
      </w:pPr>
      <w:r>
        <w:t>6.1 Forecasted Output Comparison</w:t>
      </w:r>
    </w:p>
    <w:p>
      <w:pPr>
        <w:pStyle w:val="Heading3"/>
      </w:pPr>
      <w:r>
        <w:t>6.1.1 TFO AUM Fee Path</w:t>
      </w:r>
    </w:p>
    <w:p>
      <w:r>
        <w:rPr>
          <w:rFonts w:ascii="Aptos" w:hAnsi="Aptos" w:eastAsia="Aptos"/>
          <w:i w:val="0"/>
          <w:color w:val="000000"/>
          <w:sz w:val="21"/>
        </w:rPr>
        <w:t>TFO AUM fee under each scenario, by quarter:</w:t>
      </w:r>
    </w:p>
    <w:p>
      <w:pPr>
        <w:pStyle w:val="Placeholder"/>
        <w:jc w:val="center"/>
      </w:pPr>
      <w:r>
        <w:rPr>
          <w:rFonts w:ascii="Aptos" w:hAnsi="Aptos" w:eastAsia="Aptos"/>
          <w:i/>
          <w:color w:val="666666"/>
          <w:sz w:val="20"/>
        </w:rPr>
        <w:t>[TFO AUM Fee Path]</w:t>
      </w:r>
    </w:p>
    <w:p>
      <w:r>
        <w:rPr>
          <w:rFonts w:ascii="Aptos" w:hAnsi="Aptos" w:eastAsia="Aptos"/>
          <w:i w:val="0"/>
          <w:color w:val="000000"/>
          <w:sz w:val="21"/>
        </w:rPr>
        <w:t>TFO baseline fee is approximately $28.0mm first year and $66.3mm for the 9 quarter horizon. TFO stress fee is $18.8mm first year and $42.7mm, respectively.</w:t>
      </w:r>
    </w:p>
    <w:p>
      <w:pPr>
        <w:pStyle w:val="Heading3"/>
      </w:pPr>
      <w:r>
        <w:t>6.1.2 IT AUM Fee Path</w:t>
      </w:r>
    </w:p>
    <w:p>
      <w:r>
        <w:rPr>
          <w:rFonts w:ascii="Aptos" w:hAnsi="Aptos" w:eastAsia="Aptos"/>
          <w:i w:val="0"/>
          <w:color w:val="000000"/>
          <w:sz w:val="21"/>
        </w:rPr>
        <w:t>IT AUM fee under each scenario, by quarter:</w:t>
      </w:r>
    </w:p>
    <w:p>
      <w:pPr>
        <w:pStyle w:val="Placeholder"/>
        <w:jc w:val="center"/>
      </w:pPr>
      <w:r>
        <w:rPr>
          <w:rFonts w:ascii="Aptos" w:hAnsi="Aptos" w:eastAsia="Aptos"/>
          <w:i/>
          <w:color w:val="666666"/>
          <w:sz w:val="20"/>
        </w:rPr>
        <w:t>[IT AUM Fee Path]</w:t>
      </w:r>
    </w:p>
    <w:p>
      <w:r>
        <w:rPr>
          <w:rFonts w:ascii="Aptos" w:hAnsi="Aptos" w:eastAsia="Aptos"/>
          <w:i w:val="0"/>
          <w:color w:val="000000"/>
          <w:sz w:val="21"/>
        </w:rPr>
        <w:t>IT baseline fee is approximately $8.2mm first year and $19.6mm for the 9 quarter horizon. The stress fee is $5.2mm first year and $11.7mm, respectively.</w:t>
      </w:r>
    </w:p>
    <w:p>
      <w:pPr>
        <w:pStyle w:val="Heading3"/>
      </w:pPr>
      <w:r>
        <w:t>6.1.3 PT AUM Fee Path</w:t>
      </w:r>
    </w:p>
    <w:p>
      <w:r>
        <w:rPr>
          <w:rFonts w:ascii="Aptos" w:hAnsi="Aptos" w:eastAsia="Aptos"/>
          <w:i w:val="0"/>
          <w:color w:val="000000"/>
          <w:sz w:val="21"/>
        </w:rPr>
        <w:t>PT AUM fee under each scenario, by quarter:</w:t>
      </w:r>
    </w:p>
    <w:p>
      <w:pPr>
        <w:pStyle w:val="Placeholder"/>
        <w:jc w:val="center"/>
      </w:pPr>
      <w:r>
        <w:rPr>
          <w:rFonts w:ascii="Aptos" w:hAnsi="Aptos" w:eastAsia="Aptos"/>
          <w:i/>
          <w:color w:val="666666"/>
          <w:sz w:val="20"/>
        </w:rPr>
        <w:t>[PT AUM Fee Path]</w:t>
      </w:r>
    </w:p>
    <w:p>
      <w:r>
        <w:rPr>
          <w:rFonts w:ascii="Aptos" w:hAnsi="Aptos" w:eastAsia="Aptos"/>
          <w:i w:val="0"/>
          <w:color w:val="000000"/>
          <w:sz w:val="21"/>
        </w:rPr>
        <w:t>PT baseline fee is approximately $34.5mm first year and $80.7mm for the 9 quarter horizon. The stress fee is $26.2mm first year and $59.3mm, respectively.</w:t>
      </w:r>
    </w:p>
    <w:p>
      <w:pPr>
        <w:pStyle w:val="Heading3"/>
      </w:pPr>
      <w:r>
        <w:t>6.1.4 AUC Fee Path</w:t>
      </w:r>
    </w:p>
    <w:p>
      <w:r>
        <w:rPr>
          <w:rFonts w:ascii="Aptos" w:hAnsi="Aptos" w:eastAsia="Aptos"/>
          <w:i w:val="0"/>
          <w:color w:val="000000"/>
          <w:sz w:val="21"/>
        </w:rPr>
        <w:t>AUC fee under each scenario, by quarter:</w:t>
      </w:r>
    </w:p>
    <w:p>
      <w:pPr>
        <w:pStyle w:val="Placeholder"/>
        <w:jc w:val="center"/>
      </w:pPr>
      <w:r>
        <w:rPr>
          <w:rFonts w:ascii="Aptos" w:hAnsi="Aptos" w:eastAsia="Aptos"/>
          <w:i/>
          <w:color w:val="666666"/>
          <w:sz w:val="20"/>
        </w:rPr>
        <w:t>[AUC Fee Path]</w:t>
      </w:r>
    </w:p>
    <w:p>
      <w:r>
        <w:rPr>
          <w:rFonts w:ascii="Aptos" w:hAnsi="Aptos" w:eastAsia="Aptos"/>
          <w:i w:val="0"/>
          <w:color w:val="000000"/>
          <w:sz w:val="21"/>
        </w:rPr>
        <w:t>PT baseline fee is approximately $4.9mm first year and $12.2mm for the 9 quarter horizon. The stress fee is $2.4mm first year and $5.4mm, respectively.</w:t>
      </w:r>
    </w:p>
    <w:p>
      <w:pPr>
        <w:pStyle w:val="Heading3"/>
      </w:pPr>
      <w:r>
        <w:t>6.1.5 Asset Management Income Fee Path</w:t>
      </w:r>
    </w:p>
    <w:p>
      <w:r>
        <w:rPr>
          <w:rFonts w:ascii="Aptos" w:hAnsi="Aptos" w:eastAsia="Aptos"/>
          <w:i w:val="0"/>
          <w:color w:val="000000"/>
          <w:sz w:val="21"/>
        </w:rPr>
        <w:t>Fee under each scenario, by quarter:</w:t>
      </w:r>
    </w:p>
    <w:p>
      <w:pPr>
        <w:pStyle w:val="Placeholder"/>
        <w:jc w:val="center"/>
      </w:pPr>
      <w:r>
        <w:rPr>
          <w:rFonts w:ascii="Aptos" w:hAnsi="Aptos" w:eastAsia="Aptos"/>
          <w:i/>
          <w:color w:val="666666"/>
          <w:sz w:val="20"/>
        </w:rPr>
        <w:t>[Asset Management Income Fee Path]</w:t>
      </w:r>
    </w:p>
    <w:p>
      <w:r>
        <w:rPr>
          <w:rFonts w:ascii="Aptos" w:hAnsi="Aptos" w:eastAsia="Aptos"/>
          <w:i w:val="0"/>
          <w:color w:val="000000"/>
          <w:sz w:val="21"/>
        </w:rPr>
        <w:t>Asset Management Income baseline fee is approximately $12.61mm for the first year and $28.26mm over the 9-quarter horizon. The stress fee is approximately $7.93mm for the first year and $16.11mm over the 9-quarter horizon, respectively.</w:t>
      </w:r>
    </w:p>
    <w:p>
      <w:r>
        <w:rPr>
          <w:rFonts w:ascii="Aptos" w:hAnsi="Aptos" w:eastAsia="Aptos"/>
          <w:i w:val="0"/>
          <w:color w:val="000000"/>
          <w:sz w:val="21"/>
        </w:rPr>
        <w:t>After applying the 1.5% adjustment, Asset Management Income baseline fee is approximately $12.80mm for the first year and $28.68mm over the 9-quarter horizon. The stress fee is approximately $8.05mm for the first year and $16.35mm over the 9-quarter horizon, respectively.</w:t>
      </w:r>
    </w:p>
    <w:p>
      <w:pPr>
        <w:pStyle w:val="Heading2"/>
      </w:pPr>
      <w:r>
        <w:t>6.2 Key Assumptions Sensitivities and Limitations</w:t>
      </w:r>
    </w:p>
    <w:p>
      <w:pPr>
        <w:pStyle w:val="Heading3"/>
      </w:pPr>
      <w:r>
        <w:t>6.2.1 TFO</w:t>
      </w:r>
    </w:p>
    <w:p>
      <w:pPr>
        <w:pStyle w:val="Heading4"/>
      </w:pPr>
      <w:r>
        <w:t>Key assumptions</w:t>
      </w:r>
    </w:p>
    <w:p>
      <w:pPr>
        <w:pStyle w:val="ListBullet"/>
        <w:keepNext/>
        <w:keepLines/>
      </w:pPr>
      <w:r>
        <w:rPr>
          <w:rFonts w:ascii="Aptos" w:hAnsi="Aptos" w:eastAsia="Aptos"/>
          <w:color w:val="000000"/>
          <w:sz w:val="21"/>
        </w:rPr>
        <w:t>TFO's AUM charge rate (0.2486% avg) is assumed fixed for both baseline and stress (2 std down) since the rate shows no material trend or regime break across the full history.</w:t>
      </w:r>
    </w:p>
    <w:p>
      <w:pPr>
        <w:pStyle w:val="ListBullet"/>
        <w:keepNext w:val="0"/>
        <w:keepLines/>
      </w:pPr>
      <w:r>
        <w:rPr>
          <w:rFonts w:ascii="Aptos" w:hAnsi="Aptos" w:eastAsia="Aptos"/>
          <w:color w:val="000000"/>
          <w:sz w:val="21"/>
        </w:rPr>
        <w:t>TFO's COVID-window drawdown (-8.9%) is treated as consistent with the uniform 10% stress decline applied across all three segments.</w:t>
      </w:r>
    </w:p>
    <w:p>
      <w:pPr>
        <w:pStyle w:val="Heading4"/>
      </w:pPr>
      <w:r>
        <w:t>Limitations and Weaknesses</w:t>
      </w:r>
    </w:p>
    <w:p>
      <w:pPr>
        <w:pStyle w:val="ListBullet"/>
        <w:keepNext/>
        <w:keepLines/>
      </w:pPr>
      <w:r>
        <w:rPr>
          <w:rFonts w:ascii="Aptos" w:hAnsi="Aptos" w:eastAsia="Aptos"/>
          <w:color w:val="000000"/>
          <w:sz w:val="21"/>
        </w:rPr>
        <w:t>TFO's balance trend is fit only to the recent 24 months, so the baseline projection is sensitive to whether that gentle upward drift continues.</w:t>
      </w:r>
    </w:p>
    <w:p>
      <w:pPr>
        <w:pStyle w:val="ListBullet"/>
        <w:keepNext w:val="0"/>
        <w:keepLines/>
      </w:pPr>
      <w:r>
        <w:rPr>
          <w:rFonts w:ascii="Aptos" w:hAnsi="Aptos" w:eastAsia="Aptos"/>
          <w:color w:val="000000"/>
          <w:sz w:val="21"/>
        </w:rPr>
        <w:t>The uniform 10% stress decline slightly overstates TFO's own COVID-observed drawdown (-8.9%), adding conservatism whose size was not independently validated for this segment.</w:t>
      </w:r>
    </w:p>
    <w:p>
      <w:pPr>
        <w:pStyle w:val="Heading3"/>
      </w:pPr>
      <w:r>
        <w:t>6.2.2 IT</w:t>
      </w:r>
    </w:p>
    <w:p>
      <w:pPr>
        <w:pStyle w:val="Heading4"/>
      </w:pPr>
      <w:r>
        <w:t>Key assumptions</w:t>
      </w:r>
    </w:p>
    <w:p>
      <w:pPr>
        <w:pStyle w:val="ListBullet"/>
        <w:keepNext/>
        <w:keepLines/>
      </w:pPr>
      <w:r>
        <w:rPr>
          <w:rFonts w:ascii="Aptos" w:hAnsi="Aptos" w:eastAsia="Aptos"/>
          <w:color w:val="000000"/>
          <w:sz w:val="21"/>
        </w:rPr>
        <w:t>IT's -39.7% AUM drawdown (Dec 2020-Nov 2022) is assumed to be entirely explained by a reclassification of assets from AUM into AUC (a business decision) rather than any market-stress-related loss, and is therefore excluded as a stress anchor.</w:t>
      </w:r>
    </w:p>
    <w:p>
      <w:pPr>
        <w:pStyle w:val="ListBullet"/>
        <w:keepNext w:val="0"/>
        <w:keepLines/>
      </w:pPr>
      <w:r>
        <w:rPr>
          <w:rFonts w:ascii="Aptos" w:hAnsi="Aptos" w:eastAsia="Aptos"/>
          <w:color w:val="000000"/>
          <w:sz w:val="21"/>
        </w:rPr>
        <w:t>IT's COVID-window drawdown (-4.6%), the mildest of the three segments, is nonetheless assumed to warrant the same uniform 10% stress decline applied to TFO and PT.</w:t>
      </w:r>
    </w:p>
    <w:p>
      <w:pPr>
        <w:pStyle w:val="Heading4"/>
      </w:pPr>
      <w:r>
        <w:t>Limitations and Weaknesses</w:t>
      </w:r>
    </w:p>
    <w:p>
      <w:pPr>
        <w:pStyle w:val="ListBullet"/>
        <w:keepNext/>
        <w:keepLines/>
      </w:pPr>
      <w:r>
        <w:rPr>
          <w:rFonts w:ascii="Aptos" w:hAnsi="Aptos" w:eastAsia="Aptos"/>
          <w:color w:val="000000"/>
          <w:sz w:val="21"/>
        </w:rPr>
        <w:t>The reclassification explanation for IT's largest historical drawdown depends on the same AUM/AUC reclassification narrative used in the companion AUC report. If that narrative is wrong, IT could have a materially larger true stress sensitivity than the 10% applied.</w:t>
      </w:r>
    </w:p>
    <w:p>
      <w:pPr>
        <w:pStyle w:val="ListBullet"/>
        <w:keepNext w:val="0"/>
        <w:keepLines/>
      </w:pPr>
      <w:r>
        <w:rPr>
          <w:rFonts w:ascii="Aptos" w:hAnsi="Aptos" w:eastAsia="Aptos"/>
          <w:color w:val="000000"/>
          <w:sz w:val="21"/>
        </w:rPr>
        <w:t>IT's rate (0.2627% avg, highest std dev of the three at 0.0275%) is more volatile than TFO, yet is still treated as a stable fixed rate for both scenario legs.</w:t>
      </w:r>
    </w:p>
    <w:p>
      <w:pPr>
        <w:pStyle w:val="Heading3"/>
      </w:pPr>
      <w:r>
        <w:t>6.2.3 PT</w:t>
      </w:r>
    </w:p>
    <w:p>
      <w:pPr>
        <w:pStyle w:val="Heading4"/>
      </w:pPr>
      <w:r>
        <w:t>Key assumptions</w:t>
      </w:r>
    </w:p>
    <w:p>
      <w:pPr>
        <w:pStyle w:val="ListBullet"/>
        <w:keepNext/>
        <w:keepLines/>
      </w:pPr>
      <w:r>
        <w:rPr>
          <w:rFonts w:ascii="Aptos" w:hAnsi="Aptos" w:eastAsia="Aptos"/>
          <w:color w:val="000000"/>
          <w:sz w:val="21"/>
        </w:rPr>
        <w:t>PT's rate (0.7076% avg) - several times higher than TFO or IT, is assumed to remain fixed under stress despite being the largest single driver of total AUM fee revenue.</w:t>
      </w:r>
    </w:p>
    <w:p>
      <w:pPr>
        <w:pStyle w:val="ListBullet"/>
        <w:keepNext w:val="0"/>
        <w:keepLines/>
      </w:pPr>
      <w:r>
        <w:rPr>
          <w:rFonts w:ascii="Aptos" w:hAnsi="Aptos" w:eastAsia="Aptos"/>
          <w:color w:val="000000"/>
          <w:sz w:val="21"/>
        </w:rPr>
        <w:t>PT's COVID-window drawdown (-7.1%) is treated as broadly consistent with the uniform 10% stress decline applied across all three segments.</w:t>
      </w:r>
    </w:p>
    <w:p>
      <w:pPr>
        <w:pStyle w:val="Heading4"/>
      </w:pPr>
      <w:r>
        <w:t>Limitations and Weaknesses</w:t>
      </w:r>
    </w:p>
    <w:p>
      <w:pPr>
        <w:pStyle w:val="ListBullet"/>
        <w:keepNext/>
        <w:keepLines/>
      </w:pPr>
      <w:r>
        <w:rPr>
          <w:rFonts w:ascii="Aptos" w:hAnsi="Aptos" w:eastAsia="Aptos"/>
          <w:color w:val="000000"/>
          <w:sz w:val="21"/>
        </w:rPr>
        <w:t>Because PT carries by far the highest rate, any future rate compression specific to PT (e.g. competitive fee pressure) would not be captured, since the rate is held fixed under both legs.</w:t>
      </w:r>
    </w:p>
    <w:p>
      <w:pPr>
        <w:pStyle w:val="ListBullet"/>
        <w:keepNext w:val="0"/>
        <w:keepLines/>
      </w:pPr>
      <w:r>
        <w:rPr>
          <w:rFonts w:ascii="Aptos" w:hAnsi="Aptos" w:eastAsia="Aptos"/>
          <w:color w:val="000000"/>
          <w:sz w:val="21"/>
        </w:rPr>
        <w:t>The uniform 10% decline was calibrated using COVID-window data across all three segments together; no PT-specific sensitivity check was performed beyond noting its individual COVID drawdown.</w:t>
      </w:r>
    </w:p>
    <w:p>
      <w:pPr>
        <w:pStyle w:val="Heading3"/>
      </w:pPr>
      <w:r>
        <w:t>6.2.4 Trust AUC Fee</w:t>
      </w:r>
    </w:p>
    <w:p>
      <w:pPr>
        <w:pStyle w:val="Heading4"/>
      </w:pPr>
      <w:r>
        <w:t>Assumptions</w:t>
      </w:r>
    </w:p>
    <w:p>
      <w:pPr>
        <w:pStyle w:val="ListBullet"/>
        <w:keepNext/>
        <w:keepLines/>
      </w:pPr>
      <w:r>
        <w:rPr>
          <w:rFonts w:ascii="Aptos" w:hAnsi="Aptos" w:eastAsia="Aptos"/>
          <w:color w:val="000000"/>
          <w:sz w:val="21"/>
        </w:rPr>
        <w:t>The AUC stress decline is assumed to share the same 10% magnitude and phase in path as the companion AUM estimate, in the absence of any clean AUC-specific market-stress episode in the history.</w:t>
      </w:r>
    </w:p>
    <w:p>
      <w:pPr>
        <w:pStyle w:val="ListBullet"/>
        <w:keepNext w:val="0"/>
        <w:keepLines/>
      </w:pPr>
      <w:r>
        <w:rPr>
          <w:rFonts w:ascii="Aptos" w:hAnsi="Aptos" w:eastAsia="Aptos"/>
          <w:color w:val="000000"/>
          <w:sz w:val="21"/>
        </w:rPr>
        <w:t>Restricting the AUC rate estimate to post-2023 data is assumed to be the conservative choice, based on the assumption that any future decrease in IT AUC balance would shift into the higher-rate IT AUM bucket rather than leaving the firm.</w:t>
      </w:r>
    </w:p>
    <w:p>
      <w:pPr>
        <w:pStyle w:val="Heading4"/>
      </w:pPr>
      <w:r>
        <w:t>Limitations and Weaknesses</w:t>
      </w:r>
    </w:p>
    <w:p>
      <w:pPr>
        <w:pStyle w:val="ListBullet"/>
        <w:keepNext/>
        <w:keepLines/>
      </w:pPr>
      <w:r>
        <w:rPr>
          <w:rFonts w:ascii="Aptos" w:hAnsi="Aptos" w:eastAsia="Aptos"/>
          <w:color w:val="000000"/>
          <w:sz w:val="21"/>
        </w:rPr>
        <w:t>The largest historical AUC balance move (Feb-Oct 2022, -34.0%) cannot be used as a stress anchor because it reflects a business-driven mix shift rather than a market-stress event, leaving no AUC-specific stress episode to calibrate against.</w:t>
      </w:r>
    </w:p>
    <w:p>
      <w:pPr>
        <w:pStyle w:val="ListBullet"/>
        <w:keepNext w:val="0"/>
        <w:keepLines/>
      </w:pPr>
      <w:r>
        <w:rPr>
          <w:rFonts w:ascii="Aptos" w:hAnsi="Aptos" w:eastAsia="Aptos"/>
          <w:color w:val="000000"/>
          <w:sz w:val="21"/>
        </w:rPr>
        <w:t>TFO, IT, and PT are not modelled individually for AUC (unlike for AUM), which sacrifices segment-level precision given the fee's small size (under 10% of the AUM fee).</w:t>
      </w:r>
    </w:p>
    <w:p>
      <w:pPr>
        <w:pStyle w:val="Heading3"/>
      </w:pPr>
      <w:r>
        <w:t>6.2.5 Asset Management Income</w:t>
      </w:r>
    </w:p>
    <w:p>
      <w:pPr>
        <w:pStyle w:val="Heading4"/>
      </w:pPr>
      <w:r>
        <w:t>Assumptions</w:t>
      </w:r>
    </w:p>
    <w:p>
      <w:pPr>
        <w:pStyle w:val="ListBullet"/>
        <w:keepNext/>
        <w:keepLines/>
      </w:pPr>
      <w:r>
        <w:rPr>
          <w:rFonts w:ascii="Aptos" w:hAnsi="Aptos" w:eastAsia="Aptos"/>
          <w:color w:val="000000"/>
          <w:sz w:val="21"/>
        </w:rPr>
        <w:t>Both baseline and stress case assume changes according to S&amp;P 500 change.</w:t>
      </w:r>
    </w:p>
    <w:p>
      <w:pPr>
        <w:pStyle w:val="ListBullet"/>
        <w:keepNext w:val="0"/>
        <w:keepLines/>
      </w:pPr>
      <w:r>
        <w:rPr>
          <w:rFonts w:ascii="Aptos" w:hAnsi="Aptos" w:eastAsia="Aptos"/>
          <w:color w:val="000000"/>
          <w:sz w:val="21"/>
        </w:rPr>
        <w:t>In baseline and stress, the flat trailing-twelve-month realized yield (50.22 bps annualized) is applied across the horizon.</w:t>
      </w:r>
    </w:p>
    <w:p>
      <w:pPr>
        <w:pStyle w:val="Heading4"/>
      </w:pPr>
      <w:r>
        <w:t>Limitations and Weaknesses</w:t>
      </w:r>
    </w:p>
    <w:p>
      <w:pPr>
        <w:pStyle w:val="ListBullet"/>
        <w:keepNext w:val="0"/>
        <w:keepLines/>
      </w:pPr>
      <w:r>
        <w:rPr>
          <w:rFonts w:ascii="Aptos" w:hAnsi="Aptos" w:eastAsia="Aptos"/>
          <w:color w:val="000000"/>
          <w:sz w:val="21"/>
        </w:rPr>
        <w:t>The yield has been remarkably stable (~50 bps) for three straight years with no observed stress episode, so both the base assumption (yield flat) and stress assumption (0% compression) rely on a judgmental analogy rather than a directly observed downturn.</w:t>
      </w:r>
    </w:p>
    <w:p>
      <w:pPr>
        <w:pStyle w:val="ToConfirm"/>
      </w:pPr>
      <w:r>
        <w:rPr>
          <w:rFonts w:ascii="Aptos" w:hAnsi="Aptos" w:eastAsia="Aptos"/>
          <w:i/>
          <w:color w:val="4F4F4F"/>
          <w:sz w:val="20"/>
        </w:rPr>
        <w:t>[To be confirmed: formal model diagnostics, benchmark or alternative-model comparisons, sensitivity-analysis results beyond those described above, and model-user acceptance-test results were not included in the source material.]</w:t>
      </w:r>
    </w:p>
    <w:p>
      <w:pPr>
        <w:pStyle w:val="Heading1"/>
      </w:pPr>
      <w:r>
        <w:t>7 Model Implementation</w:t>
      </w:r>
    </w:p>
    <w:p>
      <w:pPr>
        <w:pStyle w:val="ToConfirm"/>
      </w:pPr>
      <w:r>
        <w:rPr>
          <w:rFonts w:ascii="Aptos" w:hAnsi="Aptos" w:eastAsia="Aptos"/>
          <w:i/>
          <w:color w:val="4F4F4F"/>
          <w:sz w:val="20"/>
        </w:rPr>
        <w:t>[To be confirmed: the source material does not document the implementation process, implementation results, production system or platform, post-implementation controls, model security, version control, access controls, segregation of duties, or implementation of model overlays.]</w:t>
      </w:r>
    </w:p>
    <w:p>
      <w:pPr>
        <w:pStyle w:val="Heading1"/>
      </w:pPr>
      <w:r>
        <w:t>8 Model Monitoring</w:t>
      </w:r>
    </w:p>
    <w:p>
      <w:pPr>
        <w:pStyle w:val="Heading2"/>
      </w:pPr>
      <w:r>
        <w:t>8.1 Purpose of Monitoring</w:t>
      </w:r>
    </w:p>
    <w:p>
      <w:r>
        <w:rPr>
          <w:rFonts w:ascii="Aptos" w:hAnsi="Aptos" w:eastAsia="Aptos"/>
          <w:i w:val="0"/>
          <w:color w:val="000000"/>
          <w:sz w:val="21"/>
        </w:rPr>
        <w:t>The purpose of ongoing model monitoring is to ensure the Trust Fee Revenue model continues to perform as intended after implementation and remains appropriate for its stated use in PPNR stress testing. Monitoring is intended to identify model deterioration, changes in business conditions, shifts in underlying revenue drivers, breaches of key assumptions, implementation issues, and other factors that could materially affect model outputs.</w:t>
      </w:r>
    </w:p>
    <w:p>
      <w:r>
        <w:rPr>
          <w:rFonts w:ascii="Aptos" w:hAnsi="Aptos" w:eastAsia="Aptos"/>
          <w:i w:val="0"/>
          <w:color w:val="000000"/>
          <w:sz w:val="21"/>
        </w:rPr>
        <w:t>Monitoring activities evaluate the continued appropriateness of model inputs, assumptions, methodologies, outputs, and operational processes. Results are used to determine whether the model remains fit for purpose, requires recalibration, or requires redevelopment.</w:t>
      </w:r>
    </w:p>
    <w:p>
      <w:pPr>
        <w:pStyle w:val="Heading2"/>
      </w:pPr>
      <w:r>
        <w:t>8.2 Monitoring Philosophy</w:t>
      </w:r>
    </w:p>
    <w:p>
      <w:r>
        <w:rPr>
          <w:rFonts w:ascii="Aptos" w:hAnsi="Aptos" w:eastAsia="Aptos"/>
          <w:i w:val="0"/>
          <w:color w:val="000000"/>
          <w:sz w:val="21"/>
        </w:rPr>
        <w:t>This model is primarily a qualitative forecasting framework that combines observed Trust business metrics with judgmental assumptions regarding balance growth, fee rates, and stress sensitivities. Because the model does not rely on econometric estimation techniques, monitoring focuses on:</w:t>
      </w:r>
    </w:p>
    <w:p>
      <w:pPr>
        <w:pStyle w:val="ListBullet"/>
        <w:keepNext/>
        <w:keepLines/>
      </w:pPr>
      <w:r>
        <w:rPr>
          <w:rFonts w:ascii="Aptos" w:hAnsi="Aptos" w:eastAsia="Aptos"/>
          <w:color w:val="000000"/>
          <w:sz w:val="21"/>
        </w:rPr>
        <w:t>Stability and quality of inputs.</w:t>
      </w:r>
    </w:p>
    <w:p>
      <w:pPr>
        <w:pStyle w:val="ListBullet"/>
        <w:keepNext/>
        <w:keepLines/>
      </w:pPr>
      <w:r>
        <w:rPr>
          <w:rFonts w:ascii="Aptos" w:hAnsi="Aptos" w:eastAsia="Aptos"/>
          <w:color w:val="000000"/>
          <w:sz w:val="21"/>
        </w:rPr>
        <w:t>Accuracy and reasonableness of projected revenues.</w:t>
      </w:r>
    </w:p>
    <w:p>
      <w:pPr>
        <w:pStyle w:val="ListBullet"/>
        <w:keepNext/>
        <w:keepLines/>
      </w:pPr>
      <w:r>
        <w:rPr>
          <w:rFonts w:ascii="Aptos" w:hAnsi="Aptos" w:eastAsia="Aptos"/>
          <w:color w:val="000000"/>
          <w:sz w:val="21"/>
        </w:rPr>
        <w:t>Continued validity of key assumptions.</w:t>
      </w:r>
    </w:p>
    <w:p>
      <w:pPr>
        <w:pStyle w:val="ListBullet"/>
        <w:keepNext/>
        <w:keepLines/>
      </w:pPr>
      <w:r>
        <w:rPr>
          <w:rFonts w:ascii="Aptos" w:hAnsi="Aptos" w:eastAsia="Aptos"/>
          <w:color w:val="000000"/>
          <w:sz w:val="21"/>
        </w:rPr>
        <w:t>Stability of revenue-to-balance relationships.</w:t>
      </w:r>
    </w:p>
    <w:p>
      <w:pPr>
        <w:pStyle w:val="ListBullet"/>
        <w:keepNext/>
        <w:keepLines/>
      </w:pPr>
      <w:r>
        <w:rPr>
          <w:rFonts w:ascii="Aptos" w:hAnsi="Aptos" w:eastAsia="Aptos"/>
          <w:color w:val="000000"/>
          <w:sz w:val="21"/>
        </w:rPr>
        <w:t>Evaluation of model limitations.</w:t>
      </w:r>
    </w:p>
    <w:p>
      <w:pPr>
        <w:pStyle w:val="ListBullet"/>
        <w:keepNext w:val="0"/>
        <w:keepLines/>
      </w:pPr>
      <w:r>
        <w:rPr>
          <w:rFonts w:ascii="Aptos" w:hAnsi="Aptos" w:eastAsia="Aptos"/>
          <w:color w:val="000000"/>
          <w:sz w:val="21"/>
        </w:rPr>
        <w:t>Review of any overlays or expert judgment.</w:t>
      </w:r>
    </w:p>
    <w:p>
      <w:r>
        <w:rPr>
          <w:rFonts w:ascii="Aptos" w:hAnsi="Aptos" w:eastAsia="Aptos"/>
          <w:i w:val="0"/>
          <w:color w:val="000000"/>
          <w:sz w:val="21"/>
        </w:rPr>
        <w:t>Monitoring seeks to identify both gradual deterioration and sudden structural changes in business conditions. Particular attention will be given to:</w:t>
      </w:r>
    </w:p>
    <w:p>
      <w:pPr>
        <w:pStyle w:val="ListBullet"/>
        <w:keepNext/>
        <w:keepLines/>
      </w:pPr>
      <w:r>
        <w:rPr>
          <w:rFonts w:ascii="Aptos" w:hAnsi="Aptos" w:eastAsia="Aptos"/>
          <w:color w:val="000000"/>
          <w:sz w:val="21"/>
        </w:rPr>
        <w:t>Changes in Trust fee pricing.</w:t>
      </w:r>
    </w:p>
    <w:p>
      <w:pPr>
        <w:pStyle w:val="ListBullet"/>
        <w:keepNext/>
        <w:keepLines/>
      </w:pPr>
      <w:r>
        <w:rPr>
          <w:rFonts w:ascii="Aptos" w:hAnsi="Aptos" w:eastAsia="Aptos"/>
          <w:color w:val="000000"/>
          <w:sz w:val="21"/>
        </w:rPr>
        <w:t>Significant shifts in AUM or AUC growth trends.</w:t>
      </w:r>
    </w:p>
    <w:p>
      <w:pPr>
        <w:pStyle w:val="ListBullet"/>
        <w:keepNext/>
        <w:keepLines/>
      </w:pPr>
      <w:r>
        <w:rPr>
          <w:rFonts w:ascii="Aptos" w:hAnsi="Aptos" w:eastAsia="Aptos"/>
          <w:color w:val="000000"/>
          <w:sz w:val="21"/>
        </w:rPr>
        <w:t>Changes in asset allocation or product mix.</w:t>
      </w:r>
    </w:p>
    <w:p>
      <w:pPr>
        <w:pStyle w:val="ListBullet"/>
        <w:keepNext/>
        <w:keepLines/>
      </w:pPr>
      <w:r>
        <w:rPr>
          <w:rFonts w:ascii="Aptos" w:hAnsi="Aptos" w:eastAsia="Aptos"/>
          <w:color w:val="000000"/>
          <w:sz w:val="21"/>
        </w:rPr>
        <w:t>Material deviations between projected and realized Trust fee revenue.</w:t>
      </w:r>
    </w:p>
    <w:p>
      <w:pPr>
        <w:pStyle w:val="ListBullet"/>
        <w:keepNext w:val="0"/>
        <w:keepLines/>
      </w:pPr>
      <w:r>
        <w:rPr>
          <w:rFonts w:ascii="Aptos" w:hAnsi="Aptos" w:eastAsia="Aptos"/>
          <w:color w:val="000000"/>
          <w:sz w:val="21"/>
        </w:rPr>
        <w:t>Significant changes in capital market conditions affecting Asset Management Income.</w:t>
      </w:r>
    </w:p>
    <w:p>
      <w:pPr>
        <w:pStyle w:val="Heading2"/>
      </w:pPr>
      <w:r>
        <w:t>8.3 Monitoring Roles and Responsibilities</w:t>
      </w:r>
    </w:p>
    <w:p>
      <w:pPr>
        <w:pStyle w:val="Heading3"/>
      </w:pPr>
      <w:r>
        <w:t>Model Owner</w:t>
      </w:r>
    </w:p>
    <w:p>
      <w:r>
        <w:rPr>
          <w:rFonts w:ascii="Aptos" w:hAnsi="Aptos" w:eastAsia="Aptos"/>
          <w:i w:val="0"/>
          <w:color w:val="000000"/>
          <w:sz w:val="21"/>
        </w:rPr>
        <w:t>The Model Owner is responsible for overall model performance oversight and ensuring monitoring activities are completed timely.</w:t>
      </w:r>
    </w:p>
    <w:p>
      <w:r>
        <w:rPr>
          <w:rFonts w:ascii="Aptos" w:hAnsi="Aptos" w:eastAsia="Aptos"/>
          <w:i w:val="0"/>
          <w:color w:val="000000"/>
          <w:sz w:val="21"/>
        </w:rPr>
        <w:t>Responsibilities include:</w:t>
      </w:r>
    </w:p>
    <w:p>
      <w:pPr>
        <w:pStyle w:val="ListBullet"/>
        <w:keepNext/>
        <w:keepLines/>
      </w:pPr>
      <w:r>
        <w:rPr>
          <w:rFonts w:ascii="Aptos" w:hAnsi="Aptos" w:eastAsia="Aptos"/>
          <w:color w:val="000000"/>
          <w:sz w:val="21"/>
        </w:rPr>
        <w:t>Reviewing monitoring results.</w:t>
      </w:r>
    </w:p>
    <w:p>
      <w:pPr>
        <w:pStyle w:val="ListBullet"/>
        <w:keepNext/>
        <w:keepLines/>
      </w:pPr>
      <w:r>
        <w:rPr>
          <w:rFonts w:ascii="Aptos" w:hAnsi="Aptos" w:eastAsia="Aptos"/>
          <w:color w:val="000000"/>
          <w:sz w:val="21"/>
        </w:rPr>
        <w:t>Assessing significance of identified issues.</w:t>
      </w:r>
    </w:p>
    <w:p>
      <w:pPr>
        <w:pStyle w:val="ListBullet"/>
        <w:keepNext/>
        <w:keepLines/>
      </w:pPr>
      <w:r>
        <w:rPr>
          <w:rFonts w:ascii="Aptos" w:hAnsi="Aptos" w:eastAsia="Aptos"/>
          <w:color w:val="000000"/>
          <w:sz w:val="21"/>
        </w:rPr>
        <w:t>Approving remediation actions.</w:t>
      </w:r>
    </w:p>
    <w:p>
      <w:pPr>
        <w:pStyle w:val="ListBullet"/>
        <w:keepNext/>
        <w:keepLines/>
      </w:pPr>
      <w:r>
        <w:rPr>
          <w:rFonts w:ascii="Aptos" w:hAnsi="Aptos" w:eastAsia="Aptos"/>
          <w:color w:val="000000"/>
          <w:sz w:val="21"/>
        </w:rPr>
        <w:t>Maintaining model documentation.</w:t>
      </w:r>
    </w:p>
    <w:p>
      <w:pPr>
        <w:pStyle w:val="ListBullet"/>
        <w:keepNext w:val="0"/>
        <w:keepLines/>
      </w:pPr>
      <w:r>
        <w:rPr>
          <w:rFonts w:ascii="Aptos" w:hAnsi="Aptos" w:eastAsia="Aptos"/>
          <w:color w:val="000000"/>
          <w:sz w:val="21"/>
        </w:rPr>
        <w:t>Escalating material issues to management and MRM.</w:t>
      </w:r>
    </w:p>
    <w:p>
      <w:pPr>
        <w:pStyle w:val="Heading3"/>
      </w:pPr>
      <w:r>
        <w:t>Model Developer</w:t>
      </w:r>
    </w:p>
    <w:p>
      <w:r>
        <w:rPr>
          <w:rFonts w:ascii="Aptos" w:hAnsi="Aptos" w:eastAsia="Aptos"/>
          <w:i w:val="0"/>
          <w:color w:val="000000"/>
          <w:sz w:val="21"/>
        </w:rPr>
        <w:t>The Model Developer is responsible for performing the monitoring activities and producing monitoring reports.</w:t>
      </w:r>
    </w:p>
    <w:p>
      <w:r>
        <w:rPr>
          <w:rFonts w:ascii="Aptos" w:hAnsi="Aptos" w:eastAsia="Aptos"/>
          <w:i w:val="0"/>
          <w:color w:val="000000"/>
          <w:sz w:val="21"/>
        </w:rPr>
        <w:t>Responsibilities include:</w:t>
      </w:r>
    </w:p>
    <w:p>
      <w:pPr>
        <w:pStyle w:val="ListBullet"/>
        <w:keepNext/>
        <w:keepLines/>
      </w:pPr>
      <w:r>
        <w:rPr>
          <w:rFonts w:ascii="Aptos" w:hAnsi="Aptos" w:eastAsia="Aptos"/>
          <w:color w:val="000000"/>
          <w:sz w:val="21"/>
        </w:rPr>
        <w:t>Collecting monitoring data.</w:t>
      </w:r>
    </w:p>
    <w:p>
      <w:pPr>
        <w:pStyle w:val="ListBullet"/>
        <w:keepNext/>
        <w:keepLines/>
      </w:pPr>
      <w:r>
        <w:rPr>
          <w:rFonts w:ascii="Aptos" w:hAnsi="Aptos" w:eastAsia="Aptos"/>
          <w:color w:val="000000"/>
          <w:sz w:val="21"/>
        </w:rPr>
        <w:t>Performing monitoring calculations and tests.</w:t>
      </w:r>
    </w:p>
    <w:p>
      <w:pPr>
        <w:pStyle w:val="ListBullet"/>
        <w:keepNext/>
        <w:keepLines/>
      </w:pPr>
      <w:r>
        <w:rPr>
          <w:rFonts w:ascii="Aptos" w:hAnsi="Aptos" w:eastAsia="Aptos"/>
          <w:color w:val="000000"/>
          <w:sz w:val="21"/>
        </w:rPr>
        <w:t>Investigating threshold breaches.</w:t>
      </w:r>
    </w:p>
    <w:p>
      <w:pPr>
        <w:pStyle w:val="ListBullet"/>
        <w:keepNext/>
        <w:keepLines/>
      </w:pPr>
      <w:r>
        <w:rPr>
          <w:rFonts w:ascii="Aptos" w:hAnsi="Aptos" w:eastAsia="Aptos"/>
          <w:color w:val="000000"/>
          <w:sz w:val="21"/>
        </w:rPr>
        <w:t>Recommending remediation actions.</w:t>
      </w:r>
    </w:p>
    <w:p>
      <w:pPr>
        <w:pStyle w:val="ListBullet"/>
        <w:keepNext/>
        <w:keepLines/>
      </w:pPr>
      <w:r>
        <w:rPr>
          <w:rFonts w:ascii="Aptos" w:hAnsi="Aptos" w:eastAsia="Aptos"/>
          <w:color w:val="000000"/>
          <w:sz w:val="21"/>
        </w:rPr>
        <w:t>Updating model assumptions when appropriate.</w:t>
      </w:r>
    </w:p>
    <w:p>
      <w:pPr>
        <w:pStyle w:val="ListBullet"/>
        <w:keepNext w:val="0"/>
        <w:keepLines/>
      </w:pPr>
      <w:r>
        <w:rPr>
          <w:rFonts w:ascii="Aptos" w:hAnsi="Aptos" w:eastAsia="Aptos"/>
          <w:color w:val="000000"/>
          <w:sz w:val="21"/>
        </w:rPr>
        <w:t>Report any observed data, processing, or output anomalies.</w:t>
      </w:r>
    </w:p>
    <w:p>
      <w:pPr>
        <w:pStyle w:val="Heading3"/>
      </w:pPr>
      <w:r>
        <w:t>Model User</w:t>
      </w:r>
    </w:p>
    <w:p>
      <w:r>
        <w:rPr>
          <w:rFonts w:ascii="Aptos" w:hAnsi="Aptos" w:eastAsia="Aptos"/>
          <w:i w:val="0"/>
          <w:color w:val="000000"/>
          <w:sz w:val="21"/>
        </w:rPr>
        <w:t>Strategic Finance and Capital Planning are responsible for reviewing monitoring results.</w:t>
      </w:r>
    </w:p>
    <w:p>
      <w:pPr>
        <w:pStyle w:val="Heading3"/>
      </w:pPr>
      <w:r>
        <w:t>Independent Reviewer</w:t>
      </w:r>
    </w:p>
    <w:p>
      <w:r>
        <w:rPr>
          <w:rFonts w:ascii="Aptos" w:hAnsi="Aptos" w:eastAsia="Aptos"/>
          <w:i w:val="0"/>
          <w:color w:val="000000"/>
          <w:sz w:val="21"/>
        </w:rPr>
        <w:t>Model Risk Management (MRM) is responsible for reviewing monitoring results and evaluating whether the model remains fit for purpose.</w:t>
      </w:r>
    </w:p>
    <w:p>
      <w:pPr>
        <w:pStyle w:val="Heading2"/>
      </w:pPr>
      <w:r>
        <w:t>8.4 Monitoring Frequency</w:t>
      </w:r>
    </w:p>
    <w:p>
      <w:r>
        <w:rPr>
          <w:rFonts w:ascii="Aptos" w:hAnsi="Aptos" w:eastAsia="Aptos"/>
          <w:i w:val="0"/>
          <w:color w:val="000000"/>
          <w:sz w:val="21"/>
        </w:rPr>
        <w:t>Monitoring will be performed at least semi-annually.</w:t>
      </w:r>
    </w:p>
    <w:p>
      <w:r>
        <w:rPr>
          <w:rFonts w:ascii="Aptos" w:hAnsi="Aptos" w:eastAsia="Aptos"/>
          <w:i w:val="0"/>
          <w:color w:val="000000"/>
          <w:sz w:val="21"/>
        </w:rPr>
        <w:t>Certain monitoring activities may be performed more frequently when new CCAR forecasts are produced or when material economic or business changes occur.</w:t>
      </w:r>
    </w:p>
    <w:p>
      <w:r>
        <w:rPr>
          <w:rFonts w:ascii="Aptos" w:hAnsi="Aptos" w:eastAsia="Aptos"/>
          <w:i w:val="0"/>
          <w:color w:val="000000"/>
          <w:sz w:val="21"/>
        </w:rPr>
        <w:t>The standard monitoring cycle consists of:</w:t>
      </w:r>
    </w:p>
    <w:p>
      <w:pPr>
        <w:pStyle w:val="ListBullet"/>
        <w:keepNext/>
        <w:keepLines/>
      </w:pPr>
      <w:r>
        <w:rPr>
          <w:rFonts w:ascii="Aptos" w:hAnsi="Aptos" w:eastAsia="Aptos"/>
          <w:color w:val="000000"/>
          <w:sz w:val="21"/>
        </w:rPr>
        <w:t>Semi-annual monitoring review.</w:t>
      </w:r>
    </w:p>
    <w:p>
      <w:pPr>
        <w:pStyle w:val="ListBullet"/>
        <w:keepNext/>
        <w:keepLines/>
      </w:pPr>
      <w:r>
        <w:rPr>
          <w:rFonts w:ascii="Aptos" w:hAnsi="Aptos" w:eastAsia="Aptos"/>
          <w:color w:val="000000"/>
          <w:sz w:val="21"/>
        </w:rPr>
        <w:t>Annual comprehensive monitoring assessment.</w:t>
      </w:r>
    </w:p>
    <w:p>
      <w:pPr>
        <w:pStyle w:val="ListBullet"/>
        <w:keepNext w:val="0"/>
        <w:keepLines/>
      </w:pPr>
      <w:r>
        <w:rPr>
          <w:rFonts w:ascii="Aptos" w:hAnsi="Aptos" w:eastAsia="Aptos"/>
          <w:color w:val="000000"/>
          <w:sz w:val="21"/>
        </w:rPr>
        <w:t>Ad hoc reviews following material business, regulatory, or methodology changes.</w:t>
      </w:r>
    </w:p>
    <w:p>
      <w:r>
        <w:rPr>
          <w:rFonts w:ascii="Aptos" w:hAnsi="Aptos" w:eastAsia="Aptos"/>
          <w:i w:val="0"/>
          <w:color w:val="000000"/>
          <w:sz w:val="21"/>
        </w:rPr>
        <w:t>Monitoring results will be documented and retained in accordance with Model Risk Management standards.</w:t>
      </w:r>
    </w:p>
    <w:p>
      <w:pPr>
        <w:pStyle w:val="Heading2"/>
      </w:pPr>
      <w:r>
        <w:t>8.5 Components of Monitoring</w:t>
      </w:r>
    </w:p>
    <w:p>
      <w:r>
        <w:rPr>
          <w:rFonts w:ascii="Aptos" w:hAnsi="Aptos" w:eastAsia="Aptos"/>
          <w:i w:val="0"/>
          <w:color w:val="000000"/>
          <w:sz w:val="21"/>
        </w:rPr>
        <w:t>During monitoring, input and output stability, model output accuracy, model robustness, overlay, assumptions and limitations will be vetted.</w:t>
      </w:r>
    </w:p>
    <w:p>
      <w:pPr>
        <w:pStyle w:val="Heading3"/>
      </w:pPr>
      <w:r>
        <w:t>8.5.1 Input Stability Monitoring</w:t>
      </w:r>
    </w:p>
    <w:p>
      <w:r>
        <w:rPr>
          <w:rFonts w:ascii="Aptos" w:hAnsi="Aptos" w:eastAsia="Aptos"/>
          <w:i w:val="0"/>
          <w:color w:val="000000"/>
          <w:sz w:val="21"/>
        </w:rPr>
        <w:t>Input monitoring evaluates whether key model drivers remain consistent with historical behavior.</w:t>
      </w:r>
    </w:p>
    <w:p>
      <w:r>
        <w:rPr>
          <w:rFonts w:ascii="Aptos" w:hAnsi="Aptos" w:eastAsia="Aptos"/>
          <w:i w:val="0"/>
          <w:color w:val="000000"/>
          <w:sz w:val="21"/>
        </w:rPr>
        <w:t>Key inputs include:</w:t>
      </w:r>
    </w:p>
    <w:p>
      <w:pPr>
        <w:pStyle w:val="ListBullet"/>
        <w:keepNext/>
        <w:keepLines/>
      </w:pPr>
      <w:r>
        <w:rPr>
          <w:rFonts w:ascii="Aptos" w:hAnsi="Aptos" w:eastAsia="Aptos"/>
          <w:color w:val="000000"/>
          <w:sz w:val="21"/>
        </w:rPr>
        <w:t>TFO AUM balances.</w:t>
      </w:r>
    </w:p>
    <w:p>
      <w:pPr>
        <w:pStyle w:val="ListBullet"/>
        <w:keepNext/>
        <w:keepLines/>
      </w:pPr>
      <w:r>
        <w:rPr>
          <w:rFonts w:ascii="Aptos" w:hAnsi="Aptos" w:eastAsia="Aptos"/>
          <w:color w:val="000000"/>
          <w:sz w:val="21"/>
        </w:rPr>
        <w:t>IT AUM balances.</w:t>
      </w:r>
    </w:p>
    <w:p>
      <w:pPr>
        <w:pStyle w:val="ListBullet"/>
        <w:keepNext/>
        <w:keepLines/>
      </w:pPr>
      <w:r>
        <w:rPr>
          <w:rFonts w:ascii="Aptos" w:hAnsi="Aptos" w:eastAsia="Aptos"/>
          <w:color w:val="000000"/>
          <w:sz w:val="21"/>
        </w:rPr>
        <w:t>PT AUM balances.</w:t>
      </w:r>
    </w:p>
    <w:p>
      <w:pPr>
        <w:pStyle w:val="ListBullet"/>
        <w:keepNext/>
        <w:keepLines/>
      </w:pPr>
      <w:r>
        <w:rPr>
          <w:rFonts w:ascii="Aptos" w:hAnsi="Aptos" w:eastAsia="Aptos"/>
          <w:color w:val="000000"/>
          <w:sz w:val="21"/>
        </w:rPr>
        <w:t>Aggregate AUC balances.</w:t>
      </w:r>
    </w:p>
    <w:p>
      <w:pPr>
        <w:pStyle w:val="ListBullet"/>
        <w:keepNext/>
        <w:keepLines/>
      </w:pPr>
      <w:r>
        <w:rPr>
          <w:rFonts w:ascii="Aptos" w:hAnsi="Aptos" w:eastAsia="Aptos"/>
          <w:color w:val="000000"/>
          <w:sz w:val="21"/>
        </w:rPr>
        <w:t>AUM fee rates.</w:t>
      </w:r>
    </w:p>
    <w:p>
      <w:pPr>
        <w:pStyle w:val="ListBullet"/>
        <w:keepNext/>
        <w:keepLines/>
      </w:pPr>
      <w:r>
        <w:rPr>
          <w:rFonts w:ascii="Aptos" w:hAnsi="Aptos" w:eastAsia="Aptos"/>
          <w:color w:val="000000"/>
          <w:sz w:val="21"/>
        </w:rPr>
        <w:t>AUC fee rates.</w:t>
      </w:r>
    </w:p>
    <w:p>
      <w:pPr>
        <w:pStyle w:val="ListBullet"/>
        <w:keepNext/>
        <w:keepLines/>
      </w:pPr>
      <w:r>
        <w:rPr>
          <w:rFonts w:ascii="Aptos" w:hAnsi="Aptos" w:eastAsia="Aptos"/>
          <w:color w:val="000000"/>
          <w:sz w:val="21"/>
        </w:rPr>
        <w:t>IA balances.</w:t>
      </w:r>
    </w:p>
    <w:p>
      <w:pPr>
        <w:pStyle w:val="ListBullet"/>
        <w:keepNext/>
        <w:keepLines/>
      </w:pPr>
      <w:r>
        <w:rPr>
          <w:rFonts w:ascii="Aptos" w:hAnsi="Aptos" w:eastAsia="Aptos"/>
          <w:color w:val="000000"/>
          <w:sz w:val="21"/>
        </w:rPr>
        <w:t>IA revenue yield.</w:t>
      </w:r>
    </w:p>
    <w:p>
      <w:pPr>
        <w:pStyle w:val="ListBullet"/>
        <w:keepNext w:val="0"/>
        <w:keepLines/>
      </w:pPr>
      <w:r>
        <w:rPr>
          <w:rFonts w:ascii="Aptos" w:hAnsi="Aptos" w:eastAsia="Aptos"/>
          <w:color w:val="000000"/>
          <w:sz w:val="21"/>
        </w:rPr>
        <w:t>S&amp;P 500 scenario paths.</w:t>
      </w:r>
    </w:p>
    <w:p>
      <w:r>
        <w:rPr>
          <w:rFonts w:ascii="Aptos" w:hAnsi="Aptos" w:eastAsia="Aptos"/>
          <w:i w:val="0"/>
          <w:color w:val="000000"/>
          <w:sz w:val="21"/>
        </w:rPr>
        <w:t>Monitoring tests include:</w:t>
      </w:r>
    </w:p>
    <w:p>
      <w:pPr>
        <w:pStyle w:val="ListBullet"/>
        <w:keepNext/>
        <w:keepLines/>
      </w:pPr>
      <w:r>
        <w:rPr>
          <w:rFonts w:ascii="Aptos" w:hAnsi="Aptos" w:eastAsia="Aptos"/>
          <w:color w:val="000000"/>
          <w:sz w:val="21"/>
        </w:rPr>
        <w:t>Growth trend analysis.</w:t>
      </w:r>
    </w:p>
    <w:p>
      <w:pPr>
        <w:pStyle w:val="ListBullet"/>
        <w:keepNext/>
        <w:keepLines/>
      </w:pPr>
      <w:r>
        <w:rPr>
          <w:rFonts w:ascii="Aptos" w:hAnsi="Aptos" w:eastAsia="Aptos"/>
          <w:color w:val="000000"/>
          <w:sz w:val="21"/>
        </w:rPr>
        <w:t>Historical range comparison.</w:t>
      </w:r>
    </w:p>
    <w:p>
      <w:pPr>
        <w:pStyle w:val="ListBullet"/>
        <w:keepNext/>
        <w:keepLines/>
      </w:pPr>
      <w:r>
        <w:rPr>
          <w:rFonts w:ascii="Aptos" w:hAnsi="Aptos" w:eastAsia="Aptos"/>
          <w:color w:val="000000"/>
          <w:sz w:val="21"/>
        </w:rPr>
        <w:t>Volatility analysis.</w:t>
      </w:r>
    </w:p>
    <w:p>
      <w:pPr>
        <w:pStyle w:val="ListBullet"/>
        <w:keepNext w:val="0"/>
        <w:keepLines/>
      </w:pPr>
      <w:r>
        <w:rPr>
          <w:rFonts w:ascii="Aptos" w:hAnsi="Aptos" w:eastAsia="Aptos"/>
          <w:color w:val="000000"/>
          <w:sz w:val="21"/>
        </w:rPr>
        <w:t>Identification of structural breaks.</w:t>
      </w:r>
    </w:p>
    <w:p>
      <w:r>
        <w:rPr>
          <w:rFonts w:ascii="Aptos" w:hAnsi="Aptos" w:eastAsia="Aptos"/>
          <w:i w:val="0"/>
          <w:color w:val="000000"/>
          <w:sz w:val="21"/>
        </w:rPr>
        <w:t>Significant deviations from historical behavior will be investigated to determine whether assumptions remain appropriate.</w:t>
      </w:r>
    </w:p>
    <w:p>
      <w:pPr>
        <w:pStyle w:val="Heading3"/>
      </w:pPr>
      <w:r>
        <w:t>8.5.2 Output Stability Monitoring</w:t>
      </w:r>
    </w:p>
    <w:p>
      <w:r>
        <w:rPr>
          <w:rFonts w:ascii="Aptos" w:hAnsi="Aptos" w:eastAsia="Aptos"/>
          <w:i w:val="0"/>
          <w:color w:val="000000"/>
          <w:sz w:val="21"/>
        </w:rPr>
        <w:t>Output monitoring evaluates changes in projected revenue estimates over time.</w:t>
      </w:r>
    </w:p>
    <w:p>
      <w:r>
        <w:rPr>
          <w:rFonts w:ascii="Aptos" w:hAnsi="Aptos" w:eastAsia="Aptos"/>
          <w:i w:val="0"/>
          <w:color w:val="000000"/>
          <w:sz w:val="21"/>
        </w:rPr>
        <w:t>Monitoring will assess:</w:t>
      </w:r>
    </w:p>
    <w:p>
      <w:pPr>
        <w:pStyle w:val="ListBullet"/>
        <w:keepNext/>
        <w:keepLines/>
      </w:pPr>
      <w:r>
        <w:rPr>
          <w:rFonts w:ascii="Aptos" w:hAnsi="Aptos" w:eastAsia="Aptos"/>
          <w:color w:val="000000"/>
          <w:sz w:val="21"/>
        </w:rPr>
        <w:t>Total Trust fee revenue.</w:t>
      </w:r>
    </w:p>
    <w:p>
      <w:pPr>
        <w:pStyle w:val="ListBullet"/>
        <w:keepNext/>
        <w:keepLines/>
      </w:pPr>
      <w:r>
        <w:rPr>
          <w:rFonts w:ascii="Aptos" w:hAnsi="Aptos" w:eastAsia="Aptos"/>
          <w:color w:val="000000"/>
          <w:sz w:val="21"/>
        </w:rPr>
        <w:t>AUM fee revenue.</w:t>
      </w:r>
    </w:p>
    <w:p>
      <w:pPr>
        <w:pStyle w:val="ListBullet"/>
        <w:keepNext/>
        <w:keepLines/>
      </w:pPr>
      <w:r>
        <w:rPr>
          <w:rFonts w:ascii="Aptos" w:hAnsi="Aptos" w:eastAsia="Aptos"/>
          <w:color w:val="000000"/>
          <w:sz w:val="21"/>
        </w:rPr>
        <w:t>AUC fee revenue.</w:t>
      </w:r>
    </w:p>
    <w:p>
      <w:pPr>
        <w:pStyle w:val="ListBullet"/>
        <w:keepNext/>
        <w:keepLines/>
      </w:pPr>
      <w:r>
        <w:rPr>
          <w:rFonts w:ascii="Aptos" w:hAnsi="Aptos" w:eastAsia="Aptos"/>
          <w:color w:val="000000"/>
          <w:sz w:val="21"/>
        </w:rPr>
        <w:t>Asset Management Income.</w:t>
      </w:r>
    </w:p>
    <w:p>
      <w:pPr>
        <w:pStyle w:val="ListBullet"/>
        <w:keepNext w:val="0"/>
        <w:keepLines/>
      </w:pPr>
      <w:r>
        <w:rPr>
          <w:rFonts w:ascii="Aptos" w:hAnsi="Aptos" w:eastAsia="Aptos"/>
          <w:color w:val="000000"/>
          <w:sz w:val="21"/>
        </w:rPr>
        <w:t>Baseline-to-stress revenue decline.</w:t>
      </w:r>
    </w:p>
    <w:p>
      <w:r>
        <w:rPr>
          <w:rFonts w:ascii="Aptos" w:hAnsi="Aptos" w:eastAsia="Aptos"/>
          <w:i w:val="0"/>
          <w:color w:val="000000"/>
          <w:sz w:val="21"/>
        </w:rPr>
        <w:t>Outputs will be compared against:</w:t>
      </w:r>
    </w:p>
    <w:p>
      <w:pPr>
        <w:pStyle w:val="ListBullet"/>
        <w:keepNext/>
        <w:keepLines/>
      </w:pPr>
      <w:r>
        <w:rPr>
          <w:rFonts w:ascii="Aptos" w:hAnsi="Aptos" w:eastAsia="Aptos"/>
          <w:color w:val="000000"/>
          <w:sz w:val="21"/>
        </w:rPr>
        <w:t>Prior forecast vintages.</w:t>
      </w:r>
    </w:p>
    <w:p>
      <w:pPr>
        <w:pStyle w:val="ListBullet"/>
        <w:keepNext/>
        <w:keepLines/>
      </w:pPr>
      <w:r>
        <w:rPr>
          <w:rFonts w:ascii="Aptos" w:hAnsi="Aptos" w:eastAsia="Aptos"/>
          <w:color w:val="000000"/>
          <w:sz w:val="21"/>
        </w:rPr>
        <w:t>Historical revenue levels.</w:t>
      </w:r>
    </w:p>
    <w:p>
      <w:pPr>
        <w:pStyle w:val="ListBullet"/>
        <w:keepNext w:val="0"/>
        <w:keepLines/>
      </w:pPr>
      <w:r>
        <w:rPr>
          <w:rFonts w:ascii="Aptos" w:hAnsi="Aptos" w:eastAsia="Aptos"/>
          <w:color w:val="000000"/>
          <w:sz w:val="21"/>
        </w:rPr>
        <w:t>Business expectations.</w:t>
      </w:r>
    </w:p>
    <w:p>
      <w:r>
        <w:rPr>
          <w:rFonts w:ascii="Aptos" w:hAnsi="Aptos" w:eastAsia="Aptos"/>
          <w:i w:val="0"/>
          <w:color w:val="000000"/>
          <w:sz w:val="21"/>
        </w:rPr>
        <w:t>Large unexplained forecast movements may indicate changes in model behavior or underlying business conditions requiring review.</w:t>
      </w:r>
    </w:p>
    <w:p>
      <w:pPr>
        <w:pStyle w:val="Heading3"/>
      </w:pPr>
      <w:r>
        <w:t>8.5.3 Forecast Accuracy Monitoring</w:t>
      </w:r>
    </w:p>
    <w:p>
      <w:r>
        <w:rPr>
          <w:rFonts w:ascii="Aptos" w:hAnsi="Aptos" w:eastAsia="Aptos"/>
          <w:i w:val="0"/>
          <w:color w:val="000000"/>
          <w:sz w:val="21"/>
        </w:rPr>
        <w:t>Forecast accuracy will be assessed by comparing projected revenue against realized revenue.</w:t>
      </w:r>
    </w:p>
    <w:p>
      <w:r>
        <w:rPr>
          <w:rFonts w:ascii="Aptos" w:hAnsi="Aptos" w:eastAsia="Aptos"/>
          <w:i w:val="0"/>
          <w:color w:val="000000"/>
          <w:sz w:val="21"/>
        </w:rPr>
        <w:t>Actual results will be compared with:</w:t>
      </w:r>
    </w:p>
    <w:p>
      <w:pPr>
        <w:pStyle w:val="ListBullet"/>
        <w:keepNext/>
        <w:keepLines/>
      </w:pPr>
      <w:r>
        <w:rPr>
          <w:rFonts w:ascii="Aptos" w:hAnsi="Aptos" w:eastAsia="Aptos"/>
          <w:color w:val="000000"/>
          <w:sz w:val="21"/>
        </w:rPr>
        <w:t>Baseline forecast estimates.</w:t>
      </w:r>
    </w:p>
    <w:p>
      <w:pPr>
        <w:pStyle w:val="ListBullet"/>
        <w:keepNext w:val="0"/>
        <w:keepLines/>
      </w:pPr>
      <w:r>
        <w:rPr>
          <w:rFonts w:ascii="Aptos" w:hAnsi="Aptos" w:eastAsia="Aptos"/>
          <w:color w:val="000000"/>
          <w:sz w:val="21"/>
        </w:rPr>
        <w:t>Prior year forecast projections.</w:t>
      </w:r>
    </w:p>
    <w:p>
      <w:r>
        <w:rPr>
          <w:rFonts w:ascii="Aptos" w:hAnsi="Aptos" w:eastAsia="Aptos"/>
          <w:i w:val="0"/>
          <w:color w:val="000000"/>
          <w:sz w:val="21"/>
        </w:rPr>
        <w:t>Monitoring metrics include:</w:t>
      </w:r>
    </w:p>
    <w:p>
      <w:pPr>
        <w:pStyle w:val="ListBullet"/>
        <w:keepNext/>
        <w:keepLines/>
      </w:pPr>
      <w:r>
        <w:rPr>
          <w:rFonts w:ascii="Aptos" w:hAnsi="Aptos" w:eastAsia="Aptos"/>
          <w:color w:val="000000"/>
          <w:sz w:val="21"/>
        </w:rPr>
        <w:t>Absolute Percent Error (APE).</w:t>
      </w:r>
    </w:p>
    <w:p>
      <w:pPr>
        <w:pStyle w:val="ListBullet"/>
        <w:keepNext/>
        <w:keepLines/>
      </w:pPr>
      <w:r>
        <w:rPr>
          <w:rFonts w:ascii="Aptos" w:hAnsi="Aptos" w:eastAsia="Aptos"/>
          <w:color w:val="000000"/>
          <w:sz w:val="21"/>
        </w:rPr>
        <w:t>Mean Absolute Percent Error (MAPE).</w:t>
      </w:r>
    </w:p>
    <w:p>
      <w:pPr>
        <w:pStyle w:val="ListBullet"/>
        <w:keepNext w:val="0"/>
        <w:keepLines/>
      </w:pPr>
      <w:r>
        <w:rPr>
          <w:rFonts w:ascii="Aptos" w:hAnsi="Aptos" w:eastAsia="Aptos"/>
          <w:color w:val="000000"/>
          <w:sz w:val="21"/>
        </w:rPr>
        <w:t>Revenue variance analysis.</w:t>
      </w:r>
    </w:p>
    <w:p>
      <w:r>
        <w:rPr>
          <w:rFonts w:ascii="Aptos" w:hAnsi="Aptos" w:eastAsia="Aptos"/>
          <w:i w:val="0"/>
          <w:color w:val="000000"/>
          <w:sz w:val="21"/>
        </w:rPr>
        <w:t>Where forecast errors exceed established thresholds, root cause analysis will be performed.</w:t>
      </w:r>
    </w:p>
    <w:p>
      <w:pPr>
        <w:pStyle w:val="Heading3"/>
      </w:pPr>
      <w:r>
        <w:t>8.5.4 Assumption Monitoring</w:t>
      </w:r>
    </w:p>
    <w:p>
      <w:r>
        <w:rPr>
          <w:rFonts w:ascii="Aptos" w:hAnsi="Aptos" w:eastAsia="Aptos"/>
          <w:i w:val="0"/>
          <w:color w:val="000000"/>
          <w:sz w:val="21"/>
        </w:rPr>
        <w:t>The model contains several judgmental assumptions which require periodic review.</w:t>
      </w:r>
    </w:p>
    <w:p>
      <w:r>
        <w:rPr>
          <w:rFonts w:ascii="Aptos" w:hAnsi="Aptos" w:eastAsia="Aptos"/>
          <w:i w:val="0"/>
          <w:color w:val="000000"/>
          <w:sz w:val="21"/>
        </w:rPr>
        <w:t>Key assumptions include:</w:t>
      </w:r>
    </w:p>
    <w:p>
      <w:pPr>
        <w:pStyle w:val="ListBullet"/>
        <w:keepNext/>
        <w:keepLines/>
      </w:pPr>
      <w:r>
        <w:rPr>
          <w:rFonts w:ascii="Aptos" w:hAnsi="Aptos" w:eastAsia="Aptos"/>
          <w:color w:val="000000"/>
          <w:sz w:val="21"/>
        </w:rPr>
        <w:t>Fixed fee-rate methodology.</w:t>
      </w:r>
    </w:p>
    <w:p>
      <w:pPr>
        <w:pStyle w:val="ListBullet"/>
        <w:keepNext/>
        <w:keepLines/>
      </w:pPr>
      <w:r>
        <w:rPr>
          <w:rFonts w:ascii="Aptos" w:hAnsi="Aptos" w:eastAsia="Aptos"/>
          <w:color w:val="000000"/>
          <w:sz w:val="21"/>
        </w:rPr>
        <w:t>Uniform 10% stress decline applied to AUM and AUC balances.</w:t>
      </w:r>
    </w:p>
    <w:p>
      <w:pPr>
        <w:pStyle w:val="ListBullet"/>
        <w:keepNext/>
        <w:keepLines/>
      </w:pPr>
      <w:r>
        <w:rPr>
          <w:rFonts w:ascii="Aptos" w:hAnsi="Aptos" w:eastAsia="Aptos"/>
          <w:color w:val="000000"/>
          <w:sz w:val="21"/>
        </w:rPr>
        <w:t>Use of trailing historical averages.</w:t>
      </w:r>
    </w:p>
    <w:p>
      <w:pPr>
        <w:pStyle w:val="ListBullet"/>
        <w:keepNext/>
        <w:keepLines/>
      </w:pPr>
      <w:r>
        <w:rPr>
          <w:rFonts w:ascii="Aptos" w:hAnsi="Aptos" w:eastAsia="Aptos"/>
          <w:color w:val="000000"/>
          <w:sz w:val="21"/>
        </w:rPr>
        <w:t>Stability of Asset Management Income yield.</w:t>
      </w:r>
    </w:p>
    <w:p>
      <w:pPr>
        <w:pStyle w:val="ListBullet"/>
        <w:keepNext w:val="0"/>
        <w:keepLines/>
      </w:pPr>
      <w:r>
        <w:rPr>
          <w:rFonts w:ascii="Aptos" w:hAnsi="Aptos" w:eastAsia="Aptos"/>
          <w:color w:val="000000"/>
          <w:sz w:val="21"/>
        </w:rPr>
        <w:t>Relationship between IA balances and S&amp;P 500 changes.</w:t>
      </w:r>
    </w:p>
    <w:p>
      <w:r>
        <w:rPr>
          <w:rFonts w:ascii="Aptos" w:hAnsi="Aptos" w:eastAsia="Aptos"/>
          <w:i w:val="0"/>
          <w:color w:val="000000"/>
          <w:sz w:val="21"/>
        </w:rPr>
        <w:t>Monitoring will evaluate whether observed business performance continues to support these assumptions.</w:t>
      </w:r>
    </w:p>
    <w:p>
      <w:pPr>
        <w:pStyle w:val="Heading3"/>
      </w:pPr>
      <w:r>
        <w:t>8.5.5 Coefficient Parameter Stability Monitoring</w:t>
      </w:r>
    </w:p>
    <w:p>
      <w:r>
        <w:rPr>
          <w:rFonts w:ascii="Aptos" w:hAnsi="Aptos" w:eastAsia="Aptos"/>
          <w:i w:val="0"/>
          <w:color w:val="000000"/>
          <w:sz w:val="21"/>
        </w:rPr>
        <w:t>Although the model does not utilize formally estimated regression coefficients, key model parameters will be monitored for stability.</w:t>
      </w:r>
    </w:p>
    <w:p>
      <w:r>
        <w:rPr>
          <w:rFonts w:ascii="Aptos" w:hAnsi="Aptos" w:eastAsia="Aptos"/>
          <w:i w:val="0"/>
          <w:color w:val="000000"/>
          <w:sz w:val="21"/>
        </w:rPr>
        <w:t>Parameters include:</w:t>
      </w:r>
    </w:p>
    <w:p>
      <w:pPr>
        <w:pStyle w:val="ListBullet"/>
        <w:keepNext/>
        <w:keepLines/>
      </w:pPr>
      <w:r>
        <w:rPr>
          <w:rFonts w:ascii="Aptos" w:hAnsi="Aptos" w:eastAsia="Aptos"/>
          <w:color w:val="000000"/>
          <w:sz w:val="21"/>
        </w:rPr>
        <w:t>Average AUM fee rates.</w:t>
      </w:r>
    </w:p>
    <w:p>
      <w:pPr>
        <w:pStyle w:val="ListBullet"/>
        <w:keepNext/>
        <w:keepLines/>
      </w:pPr>
      <w:r>
        <w:rPr>
          <w:rFonts w:ascii="Aptos" w:hAnsi="Aptos" w:eastAsia="Aptos"/>
          <w:color w:val="000000"/>
          <w:sz w:val="21"/>
        </w:rPr>
        <w:t>Average AUC fee rates.</w:t>
      </w:r>
    </w:p>
    <w:p>
      <w:pPr>
        <w:pStyle w:val="ListBullet"/>
        <w:keepNext/>
        <w:keepLines/>
      </w:pPr>
      <w:r>
        <w:rPr>
          <w:rFonts w:ascii="Aptos" w:hAnsi="Aptos" w:eastAsia="Aptos"/>
          <w:color w:val="000000"/>
          <w:sz w:val="21"/>
        </w:rPr>
        <w:t>Asset Management Income yield.</w:t>
      </w:r>
    </w:p>
    <w:p>
      <w:pPr>
        <w:pStyle w:val="ListBullet"/>
        <w:keepNext w:val="0"/>
        <w:keepLines/>
      </w:pPr>
      <w:r>
        <w:rPr>
          <w:rFonts w:ascii="Aptos" w:hAnsi="Aptos" w:eastAsia="Aptos"/>
          <w:color w:val="000000"/>
          <w:sz w:val="21"/>
        </w:rPr>
        <w:t>Stress calibration assumptions.</w:t>
      </w:r>
    </w:p>
    <w:p>
      <w:r>
        <w:rPr>
          <w:rFonts w:ascii="Aptos" w:hAnsi="Aptos" w:eastAsia="Aptos"/>
          <w:i w:val="0"/>
          <w:color w:val="000000"/>
          <w:sz w:val="21"/>
        </w:rPr>
        <w:t>Observed values will be compared against development-period values to assess whether recalibration is warranted.</w:t>
      </w:r>
    </w:p>
    <w:p>
      <w:pPr>
        <w:pStyle w:val="Heading3"/>
      </w:pPr>
      <w:r>
        <w:t>8.5.6 Overlay Monitoring</w:t>
      </w:r>
    </w:p>
    <w:p>
      <w:r>
        <w:rPr>
          <w:rFonts w:ascii="Aptos" w:hAnsi="Aptos" w:eastAsia="Aptos"/>
          <w:i w:val="0"/>
          <w:color w:val="000000"/>
          <w:sz w:val="21"/>
        </w:rPr>
        <w:t>N/A. No overlay is proposed.</w:t>
      </w:r>
    </w:p>
    <w:p>
      <w:pPr>
        <w:pStyle w:val="Heading3"/>
      </w:pPr>
      <w:r>
        <w:t>8.5.7 Limitation Monitoring</w:t>
      </w:r>
    </w:p>
    <w:p>
      <w:r>
        <w:rPr>
          <w:rFonts w:ascii="Aptos" w:hAnsi="Aptos" w:eastAsia="Aptos"/>
          <w:i w:val="0"/>
          <w:color w:val="000000"/>
          <w:sz w:val="21"/>
        </w:rPr>
        <w:t>Known model limitations identified in Section 6 will be reviewed during each monitoring cycle.</w:t>
      </w:r>
    </w:p>
    <w:p>
      <w:r>
        <w:rPr>
          <w:rFonts w:ascii="Aptos" w:hAnsi="Aptos" w:eastAsia="Aptos"/>
          <w:i w:val="0"/>
          <w:color w:val="000000"/>
          <w:sz w:val="21"/>
        </w:rPr>
        <w:t>Particular attention will be given to:</w:t>
      </w:r>
    </w:p>
    <w:p>
      <w:pPr>
        <w:pStyle w:val="ListBullet"/>
        <w:keepNext/>
        <w:keepLines/>
      </w:pPr>
      <w:r>
        <w:rPr>
          <w:rFonts w:ascii="Aptos" w:hAnsi="Aptos" w:eastAsia="Aptos"/>
          <w:color w:val="000000"/>
          <w:sz w:val="21"/>
        </w:rPr>
        <w:t>Continued appropriateness of the uniform stress decline assumption.</w:t>
      </w:r>
    </w:p>
    <w:p>
      <w:pPr>
        <w:pStyle w:val="ListBullet"/>
        <w:keepNext/>
        <w:keepLines/>
      </w:pPr>
      <w:r>
        <w:rPr>
          <w:rFonts w:ascii="Aptos" w:hAnsi="Aptos" w:eastAsia="Aptos"/>
          <w:color w:val="000000"/>
          <w:sz w:val="21"/>
        </w:rPr>
        <w:t>Continued validity of IT AUM/AUC reclassification assumptions.</w:t>
      </w:r>
    </w:p>
    <w:p>
      <w:pPr>
        <w:pStyle w:val="ListBullet"/>
        <w:keepNext/>
        <w:keepLines/>
      </w:pPr>
      <w:r>
        <w:rPr>
          <w:rFonts w:ascii="Aptos" w:hAnsi="Aptos" w:eastAsia="Aptos"/>
          <w:color w:val="000000"/>
          <w:sz w:val="21"/>
        </w:rPr>
        <w:t>Stability of fee-rate assumptions.</w:t>
      </w:r>
    </w:p>
    <w:p>
      <w:pPr>
        <w:pStyle w:val="ListBullet"/>
        <w:keepNext w:val="0"/>
        <w:keepLines/>
      </w:pPr>
      <w:r>
        <w:rPr>
          <w:rFonts w:ascii="Aptos" w:hAnsi="Aptos" w:eastAsia="Aptos"/>
          <w:color w:val="000000"/>
          <w:sz w:val="21"/>
        </w:rPr>
        <w:t>Sensitivity of linear trend extrapolation methodologies.</w:t>
      </w:r>
    </w:p>
    <w:p>
      <w:r>
        <w:rPr>
          <w:rFonts w:ascii="Aptos" w:hAnsi="Aptos" w:eastAsia="Aptos"/>
          <w:i w:val="0"/>
          <w:color w:val="000000"/>
          <w:sz w:val="21"/>
        </w:rPr>
        <w:t>If limitations become more significant due to changing business conditions, corrective action may be required.</w:t>
      </w:r>
    </w:p>
    <w:p>
      <w:pPr>
        <w:pStyle w:val="Heading2"/>
      </w:pPr>
      <w:r>
        <w:t>8.6 Monitoring Metrics and Thresholds</w:t>
      </w:r>
    </w:p>
    <w:p>
      <w:r>
        <w:rPr>
          <w:rFonts w:ascii="Aptos" w:hAnsi="Aptos" w:eastAsia="Aptos"/>
          <w:i w:val="0"/>
          <w:color w:val="000000"/>
          <w:sz w:val="21"/>
        </w:rPr>
        <w:t>Monitoring metrics should be associated with predefined thresholds that distinguish expected behavior from behavior requiring investigation. Exceeding a threshold does not automatically indicate model failure but should trigger review and documentation.</w:t>
      </w:r>
    </w:p>
    <w:p>
      <w:r>
        <w:rPr>
          <w:rFonts w:ascii="Aptos" w:hAnsi="Aptos" w:eastAsia="Aptos"/>
          <w:i w:val="0"/>
          <w:color w:val="000000"/>
          <w:sz w:val="21"/>
        </w:rPr>
        <w:t>The following thresholds are used to identify potentially significant model performance issues.</w:t>
      </w:r>
    </w:p>
    <w:p>
      <w:pPr>
        <w:pStyle w:val="Placeholder"/>
        <w:jc w:val="center"/>
      </w:pPr>
      <w:r>
        <w:rPr>
          <w:rFonts w:ascii="Aptos" w:hAnsi="Aptos" w:eastAsia="Aptos"/>
          <w:i/>
          <w:color w:val="666666"/>
          <w:sz w:val="20"/>
        </w:rPr>
        <w:t>[Monitoring Metrics and Thresholds]</w:t>
      </w:r>
    </w:p>
    <w:p>
      <w:r>
        <w:rPr>
          <w:rFonts w:ascii="Aptos" w:hAnsi="Aptos" w:eastAsia="Aptos"/>
          <w:i w:val="0"/>
          <w:color w:val="000000"/>
          <w:sz w:val="21"/>
        </w:rPr>
        <w:t>Breaches do not automatically indicate model failure but require investigation and documented explanation.</w:t>
      </w:r>
    </w:p>
    <w:p>
      <w:pPr>
        <w:pStyle w:val="Heading2"/>
      </w:pPr>
      <w:r>
        <w:t>8.7 Escalation Process</w:t>
      </w:r>
    </w:p>
    <w:p>
      <w:r>
        <w:rPr>
          <w:rFonts w:ascii="Aptos" w:hAnsi="Aptos" w:eastAsia="Aptos"/>
          <w:i w:val="0"/>
          <w:color w:val="000000"/>
          <w:sz w:val="21"/>
        </w:rPr>
        <w:t>When monitoring identifies a threshold breach or significant performance issue, the following escalation process will be followed:</w:t>
      </w:r>
    </w:p>
    <w:p>
      <w:pPr>
        <w:pStyle w:val="ListBullet"/>
        <w:keepNext/>
        <w:keepLines/>
      </w:pPr>
      <w:r>
        <w:rPr>
          <w:rFonts w:ascii="Aptos" w:hAnsi="Aptos" w:eastAsia="Aptos"/>
          <w:color w:val="000000"/>
          <w:sz w:val="21"/>
        </w:rPr>
        <w:t>Model Developer investigates the issue and documents root cause analysis.</w:t>
      </w:r>
    </w:p>
    <w:p>
      <w:pPr>
        <w:pStyle w:val="ListBullet"/>
        <w:keepNext/>
        <w:keepLines/>
      </w:pPr>
      <w:r>
        <w:rPr>
          <w:rFonts w:ascii="Aptos" w:hAnsi="Aptos" w:eastAsia="Aptos"/>
          <w:color w:val="000000"/>
          <w:sz w:val="21"/>
        </w:rPr>
        <w:t>Results are reviewed by the Model Owner.</w:t>
      </w:r>
    </w:p>
    <w:p>
      <w:pPr>
        <w:pStyle w:val="ListBullet"/>
        <w:keepNext/>
        <w:keepLines/>
      </w:pPr>
      <w:r>
        <w:rPr>
          <w:rFonts w:ascii="Aptos" w:hAnsi="Aptos" w:eastAsia="Aptos"/>
          <w:color w:val="000000"/>
          <w:sz w:val="21"/>
        </w:rPr>
        <w:t>If remediation is required, an action plan is developed and documented.</w:t>
      </w:r>
    </w:p>
    <w:p>
      <w:pPr>
        <w:pStyle w:val="ListBullet"/>
        <w:keepNext/>
        <w:keepLines/>
      </w:pPr>
      <w:r>
        <w:rPr>
          <w:rFonts w:ascii="Aptos" w:hAnsi="Aptos" w:eastAsia="Aptos"/>
          <w:color w:val="000000"/>
          <w:sz w:val="21"/>
        </w:rPr>
        <w:t>Material findings are communicated to Strategic Finance management.</w:t>
      </w:r>
    </w:p>
    <w:p>
      <w:pPr>
        <w:pStyle w:val="ListBullet"/>
        <w:keepNext/>
        <w:keepLines/>
      </w:pPr>
      <w:r>
        <w:rPr>
          <w:rFonts w:ascii="Aptos" w:hAnsi="Aptos" w:eastAsia="Aptos"/>
          <w:color w:val="000000"/>
          <w:sz w:val="21"/>
        </w:rPr>
        <w:t>Material model performance issues are reported to Model Risk Management.</w:t>
      </w:r>
    </w:p>
    <w:p>
      <w:pPr>
        <w:pStyle w:val="ListBullet"/>
        <w:keepNext w:val="0"/>
        <w:keepLines/>
      </w:pPr>
      <w:r>
        <w:rPr>
          <w:rFonts w:ascii="Aptos" w:hAnsi="Aptos" w:eastAsia="Aptos"/>
          <w:color w:val="000000"/>
          <w:sz w:val="21"/>
        </w:rPr>
        <w:t>Where appropriate, a recalibration, redevelopment, model overlay, or model retirement recommendation will be submitted.</w:t>
      </w:r>
    </w:p>
    <w:p>
      <w:pPr>
        <w:pStyle w:val="Heading2"/>
      </w:pPr>
      <w:r>
        <w:t>8.8 Monitoring Conclusion</w:t>
      </w:r>
    </w:p>
    <w:p>
      <w:r>
        <w:rPr>
          <w:rFonts w:ascii="Aptos" w:hAnsi="Aptos" w:eastAsia="Aptos"/>
          <w:i w:val="0"/>
          <w:color w:val="000000"/>
          <w:sz w:val="21"/>
        </w:rPr>
        <w:t>The Trust Fee Revenue model relies primarily on stable business relationships and judgmental assumptions rather than statistically estimated coefficients. Accordingly, the monitoring framework focuses on ensuring the ongoing validity of those assumptions, the stability of revenue-generating balances and rates, forecast accuracy, and consistency of model outputs with observed business performance.</w:t>
      </w:r>
    </w:p>
    <w:p>
      <w:r>
        <w:rPr>
          <w:rFonts w:ascii="Aptos" w:hAnsi="Aptos" w:eastAsia="Aptos"/>
          <w:i w:val="0"/>
          <w:color w:val="000000"/>
          <w:sz w:val="21"/>
        </w:rPr>
        <w:t>Monitoring results will be reviewed semi-annually by the Model Owner and Strategic Finance management. Findings, threshold breaches, remediation actions, and material model changes will be documented. Material changes to model methodology, assumptions, data sources, monitoring thresholds, or model use will be communicated to Model Risk Management and recorded in the model change control log in accordance with Model Risk Management Policy.</w:t>
      </w:r>
    </w:p>
    <w:p>
      <w:pPr>
        <w:pStyle w:val="Heading1"/>
      </w:pPr>
      <w:r>
        <w:t>9 Procedures</w:t>
      </w:r>
    </w:p>
    <w:p>
      <w:pPr>
        <w:pStyle w:val="ToConfirm"/>
      </w:pPr>
      <w:r>
        <w:rPr>
          <w:rFonts w:ascii="Aptos" w:hAnsi="Aptos" w:eastAsia="Aptos"/>
          <w:i/>
          <w:color w:val="4F4F4F"/>
          <w:sz w:val="20"/>
        </w:rPr>
        <w:t>[To be confirmed: the source material does not include procedures for running, using, updating, or controlling the model; the model run frequency; output recipients; control checks; the location of a separate procedures document; or an operating checklist.]</w:t>
      </w:r>
    </w:p>
    <w:p>
      <w:pPr>
        <w:pStyle w:val="Heading1"/>
      </w:pPr>
      <w:r>
        <w:t>10 Governance</w:t>
      </w:r>
    </w:p>
    <w:p>
      <w:pPr>
        <w:pStyle w:val="Heading2"/>
      </w:pPr>
      <w:r>
        <w:t>10.1 Purpose of Governance</w:t>
      </w:r>
    </w:p>
    <w:p>
      <w:r>
        <w:rPr>
          <w:rFonts w:ascii="Aptos" w:hAnsi="Aptos" w:eastAsia="Aptos"/>
          <w:i w:val="0"/>
          <w:color w:val="000000"/>
          <w:sz w:val="21"/>
        </w:rPr>
        <w:t>The purpose of the governance framework is to ensure that the Trust Fee Model is developed, implemented, monitored, maintained, and retired in a controlled manner consistent with Model Risk Management requirements and supervisory expectations. Effective governance establishes accountability, supports independent challenge, promotes transparency, and ensures that model outputs are used appropriately throughout the model lifecycle.</w:t>
      </w:r>
    </w:p>
    <w:p>
      <w:pPr>
        <w:pStyle w:val="Heading2"/>
      </w:pPr>
      <w:r>
        <w:t>10.2 Roles and Responsibilities</w:t>
      </w:r>
    </w:p>
    <w:p>
      <w:pPr>
        <w:pStyle w:val="Heading3"/>
      </w:pPr>
      <w:r>
        <w:t>Model Owner</w:t>
      </w:r>
    </w:p>
    <w:p>
      <w:r>
        <w:rPr>
          <w:rFonts w:ascii="Aptos" w:hAnsi="Aptos" w:eastAsia="Aptos"/>
          <w:i w:val="0"/>
          <w:color w:val="000000"/>
          <w:sz w:val="21"/>
        </w:rPr>
        <w:t>The Model Owner, is responsible for the overall governance, maintenance, and performance oversight of the Trust Fee Model. Responsibilities include ensuring monitoring activities are completed, documentation remains current, model assumptions remain appropriate, change-control records are maintained, and material issues are escalated in accordance with Model Risk Management requirements. The Model Owner is also responsible for coordinating validation activities, reviewing monitoring results, assessing model limitations, and approving any overlays or expert judgment adjustments applied to model outputs.</w:t>
      </w:r>
    </w:p>
    <w:p>
      <w:pPr>
        <w:pStyle w:val="Heading3"/>
      </w:pPr>
      <w:r>
        <w:t>Model Developer</w:t>
      </w:r>
    </w:p>
    <w:p>
      <w:r>
        <w:rPr>
          <w:rFonts w:ascii="Aptos" w:hAnsi="Aptos" w:eastAsia="Aptos"/>
          <w:i w:val="0"/>
          <w:color w:val="000000"/>
          <w:sz w:val="21"/>
        </w:rPr>
        <w:t>Model Developer, is responsible for maintaining model methodology documentation, executing approved model updates, supporting monitoring activities, investigating identified issues, performing analyses related to model performance, and supporting validation reviews. Model Developers may recommend methodology enhancements but do not independently approve material model changes.</w:t>
      </w:r>
    </w:p>
    <w:p>
      <w:pPr>
        <w:pStyle w:val="Heading3"/>
      </w:pPr>
      <w:r>
        <w:t>Governance Review</w:t>
      </w:r>
    </w:p>
    <w:p>
      <w:r>
        <w:rPr>
          <w:rFonts w:ascii="Aptos" w:hAnsi="Aptos" w:eastAsia="Aptos"/>
          <w:i w:val="0"/>
          <w:color w:val="000000"/>
          <w:sz w:val="21"/>
        </w:rPr>
        <w:t>Monitoring results, model performance assessments, material issues, and proposed model changes are reviewed by Strategic Finance management. Material model issues, material changes, or significant performance deterioration are communicated to MRM in accordance with the Bank's MRM policy.</w:t>
      </w:r>
    </w:p>
    <w:p>
      <w:pPr>
        <w:pStyle w:val="Heading3"/>
      </w:pPr>
      <w:r>
        <w:t>Model Validation</w:t>
      </w:r>
    </w:p>
    <w:p>
      <w:r>
        <w:rPr>
          <w:rFonts w:ascii="Aptos" w:hAnsi="Aptos" w:eastAsia="Aptos"/>
          <w:i w:val="0"/>
          <w:color w:val="000000"/>
          <w:sz w:val="21"/>
        </w:rPr>
        <w:t>Independent validation is performed in accordance with the Model Risk Management Policy and applicable validation schedules. Validation activities provide effective challenge of model design, assumptions, implementation, performance monitoring, limitations, controls, and governance processes. Validation findings, recommendations, and remediation plans are documented and tracked through completion.</w:t>
      </w:r>
    </w:p>
    <w:p>
      <w:pPr>
        <w:pStyle w:val="ToConfirm"/>
      </w:pPr>
      <w:r>
        <w:rPr>
          <w:rFonts w:ascii="Aptos" w:hAnsi="Aptos" w:eastAsia="Aptos"/>
          <w:i/>
          <w:color w:val="4F4F4F"/>
          <w:sz w:val="20"/>
        </w:rPr>
        <w:t>[To be confirmed: the date and responsible party for the most recent independent validation were not included in the source material.]</w:t>
      </w:r>
    </w:p>
    <w:p>
      <w:pPr>
        <w:pStyle w:val="Heading3"/>
      </w:pPr>
      <w:r>
        <w:t>Internal Audit</w:t>
      </w:r>
    </w:p>
    <w:p>
      <w:r>
        <w:rPr>
          <w:rFonts w:ascii="Aptos" w:hAnsi="Aptos" w:eastAsia="Aptos"/>
          <w:i w:val="0"/>
          <w:color w:val="000000"/>
          <w:sz w:val="21"/>
        </w:rPr>
        <w:t>Internal Audit may periodically assess compliance with Model Risk Management requirements, governance controls, monitoring processes, documentation standards, and change-management practices. Audit recommendations are documented and addressed through established remediation procedures.</w:t>
      </w:r>
    </w:p>
    <w:p>
      <w:pPr>
        <w:pStyle w:val="Heading2"/>
      </w:pPr>
      <w:r>
        <w:t>10.3 Change Management Governance</w:t>
      </w:r>
    </w:p>
    <w:p>
      <w:r>
        <w:rPr>
          <w:rFonts w:ascii="Aptos" w:hAnsi="Aptos" w:eastAsia="Aptos"/>
          <w:i w:val="0"/>
          <w:color w:val="000000"/>
          <w:sz w:val="21"/>
        </w:rPr>
        <w:t>Changes to methodology, assumptions, implementation logic, source data, monitoring thresholds, or intended use should be documented and evaluated through formal change-management procedures. Proposed changes should be assessed for materiality and reviewed by appropriate stakeholders before implementation. Governance review helps ensure that modifications do not introduce unintended consequences or unrecognized model risk.</w:t>
      </w:r>
    </w:p>
    <w:p>
      <w:pPr>
        <w:pStyle w:val="Heading3"/>
      </w:pPr>
      <w:r>
        <w:t>Material Change Definition</w:t>
      </w:r>
    </w:p>
    <w:p>
      <w:r>
        <w:rPr>
          <w:rFonts w:ascii="Aptos" w:hAnsi="Aptos" w:eastAsia="Aptos"/>
          <w:i w:val="0"/>
          <w:color w:val="000000"/>
          <w:sz w:val="21"/>
        </w:rPr>
        <w:t>Material changes are defined in accordance with the Model Risk Management Policy and include, but are not limited to, changes in model purpose, scope, methodology, assumptions, source data, implementation logic, monitoring framework, deployment platform, or intended use. Material changes require notification to MRM, appropriate approvals, and corresponding updates to model documentation and monitoring procedures prior to implementation.</w:t>
      </w:r>
    </w:p>
    <w:p>
      <w:r>
        <w:rPr>
          <w:rFonts w:ascii="Aptos" w:hAnsi="Aptos" w:eastAsia="Aptos"/>
          <w:i w:val="0"/>
          <w:color w:val="000000"/>
          <w:sz w:val="21"/>
        </w:rPr>
        <w:t>All model changes shall be documented within the model change-control log, including change description, rationale, implementation date, approval evidence, and materiality assessment.</w:t>
      </w:r>
    </w:p>
    <w:p>
      <w:pPr>
        <w:pStyle w:val="ToConfirm"/>
      </w:pPr>
      <w:r>
        <w:rPr>
          <w:rFonts w:ascii="Aptos" w:hAnsi="Aptos" w:eastAsia="Aptos"/>
          <w:i/>
          <w:color w:val="4F4F4F"/>
          <w:sz w:val="20"/>
        </w:rPr>
        <w:t>[To be confirmed: the storage location of the model change-control log was not included in the source material.]</w:t>
      </w:r>
    </w:p>
    <w:p>
      <w:pPr>
        <w:pStyle w:val="Heading2"/>
      </w:pPr>
      <w:r>
        <w:t>10.4 Governance Conclusion</w:t>
      </w:r>
    </w:p>
    <w:p>
      <w:r>
        <w:rPr>
          <w:rFonts w:ascii="Aptos" w:hAnsi="Aptos" w:eastAsia="Aptos"/>
          <w:i w:val="0"/>
          <w:color w:val="000000"/>
          <w:sz w:val="21"/>
        </w:rPr>
        <w:t>The Trust Fee Model is governed through a framework of defined ownership, independent validation, performance monitoring, change management, and oversight review. Governance activities are intended to ensure that the model remains fit for its intended use in CCAR stress testing, capital planning, and related forecasting applications. Material issues, performance deterioration, and model changes are subject to escalation and review under the Bank's Model Risk Management framework to promote transparency, accountability, and effective management of model risk throughout the model lifecycle.</w:t>
      </w:r>
    </w:p>
    <w:p>
      <w:pPr>
        <w:pStyle w:val="Heading1"/>
      </w:pPr>
      <w:r>
        <w:t>11 Appendix Information</w:t>
      </w:r>
    </w:p>
    <w:p>
      <w:pPr>
        <w:pStyle w:val="Heading2"/>
      </w:pPr>
      <w:r>
        <w:t>Reference</w:t>
      </w:r>
    </w:p>
    <w:p>
      <w:r>
        <w:rPr>
          <w:rFonts w:ascii="Aptos" w:hAnsi="Aptos" w:eastAsia="Aptos"/>
          <w:i w:val="0"/>
          <w:color w:val="000000"/>
          <w:sz w:val="21"/>
        </w:rPr>
        <w:t>Ivashina, Victoria, and David Scharfstein. 2010. "Bank Lending During the Financial Crisis of 2008." Journal of Financial Economics 97 (3): 319-338.</w:t>
      </w:r>
    </w:p>
    <w:p>
      <w:pPr>
        <w:pStyle w:val="Heading1"/>
      </w:pPr>
      <w:r>
        <w:t>12 FAQs</w:t>
      </w:r>
    </w:p>
    <w:p>
      <w:r>
        <w:rPr>
          <w:rFonts w:ascii="Aptos" w:hAnsi="Aptos" w:eastAsia="Aptos"/>
          <w:i w:val="0"/>
          <w:color w:val="000000"/>
          <w:sz w:val="21"/>
        </w:rPr>
        <w:t>Not Applicable. No frequently asked questions or corresponding answers were included in the source material.</w:t>
      </w:r>
    </w:p>
    <w:sectPr w:rsidR="00FC693F" w:rsidRPr="0006063C" w:rsidSect="00034616">
      <w:footerReference w:type="default" r:id="rId9"/>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120" w:after="6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45"/>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360"/>
    </w:pPr>
    <w:rPr>
      <w:rFonts w:ascii="Aptos" w:hAnsi="Aptos"/>
      <w:color w:val="000000"/>
      <w:sz w:val="26"/>
    </w:rPr>
  </w:style>
  <w:style w:type="paragraph" w:customStyle="1" w:styleId="Placeholder">
    <w:name w:val="Placeholder"/>
    <w:pPr>
      <w:keepLines/>
      <w:spacing w:before="160" w:after="160"/>
    </w:pPr>
    <w:rPr>
      <w:rFonts w:ascii="Aptos" w:hAnsi="Aptos"/>
      <w:i/>
      <w:color w:val="666666"/>
      <w:sz w:val="20"/>
    </w:rPr>
  </w:style>
  <w:style w:type="paragraph" w:customStyle="1" w:styleId="ToConfirm">
    <w:name w:val="To Confirm"/>
    <w:pPr>
      <w:spacing w:before="120" w:after="160"/>
    </w:pPr>
    <w:rPr>
      <w:rFonts w:ascii="Aptos" w:hAnsi="Aptos"/>
      <w:i/>
      <w:color w:val="4F4F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Fee Revenue Model Development Document</dc:title>
  <dc:subject>Reorganized model development documentation</dc:subject>
  <dc:creator/>
  <cp:keywords>Trust Fee, MDD, CCAR, PPNR</cp:keywords>
  <dc:description>generated by python-docx</dc:description>
  <cp:lastModifiedBy/>
  <cp:revision>1</cp:revision>
  <dcterms:created xsi:type="dcterms:W3CDTF">2013-12-23T23:15:00Z</dcterms:created>
  <dcterms:modified xsi:type="dcterms:W3CDTF">2013-12-23T23:15:00Z</dcterms:modified>
  <cp:category/>
</cp:coreProperties>
</file>