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Unicode MS" w:hAnsi="Arial Unicode MS" w:eastAsia="Arial Unicode MS"/>
          <w:b/>
          <w:color w:val="000000"/>
          <w:sz w:val="44"/>
        </w:rPr>
        <w:t>Bank Efficiency Ratio ARDL Model Development Report</w:t>
      </w:r>
    </w:p>
    <w:p>
      <w:pPr>
        <w:keepNext w:val="0"/>
        <w:widowControl/>
        <w:spacing w:before="0" w:after="40" w:line="240" w:lineRule="auto"/>
      </w:pPr>
      <w:r>
        <w:rPr>
          <w:rFonts w:ascii="Arial Unicode MS" w:hAnsi="Arial Unicode MS" w:eastAsia="Arial Unicode MS"/>
          <w:color w:val="666666"/>
          <w:sz w:val="24"/>
        </w:rPr>
        <w:t>2011Q1 to 2025Q4</w:t>
      </w:r>
    </w:p>
    <w:p>
      <w:pPr>
        <w:keepNext w:val="0"/>
        <w:widowControl/>
        <w:spacing w:before="0" w:after="240" w:line="240" w:lineRule="auto"/>
      </w:pPr>
      <w:r>
        <w:rPr>
          <w:rFonts w:ascii="Arial Unicode MS" w:hAnsi="Arial Unicode MS" w:eastAsia="Arial Unicode MS"/>
          <w:color w:val="666666"/>
          <w:sz w:val="19"/>
        </w:rPr>
        <w:t>Dependent variable  Bank efficiency ratio ER    Model  ARDL    Validation period  2023Q4 to 2025Q4</w:t>
      </w:r>
    </w:p>
    <w:p>
      <w:pPr>
        <w:pStyle w:val="Heading1"/>
        <w:keepNext/>
        <w:widowControl/>
        <w:spacing w:before="220" w:after="100"/>
      </w:pPr>
      <w:r>
        <w:rPr>
          <w:rFonts w:ascii="Arial Unicode MS" w:hAnsi="Arial Unicode MS" w:eastAsia="Arial Unicode MS"/>
          <w:b/>
          <w:color w:val="000000"/>
          <w:sz w:val="28"/>
        </w:rPr>
        <w:t>Key Findings</w:t>
      </w:r>
    </w:p>
    <w:p>
      <w:pPr>
        <w:keepNext w:val="0"/>
        <w:widowControl/>
        <w:spacing w:before="0" w:after="100" w:line="300" w:lineRule="auto"/>
      </w:pPr>
      <w:r>
        <w:rPr>
          <w:rFonts w:ascii="Arial Unicode MS" w:hAnsi="Arial Unicode MS" w:eastAsia="Arial Unicode MS"/>
          <w:color w:val="000000"/>
          <w:sz w:val="21"/>
        </w:rPr>
        <w:t>The ER series covers 60 quarters. The model development process applies quarterly macroeconomic transformations, a TARP dummy, a defined estimation sample, and a consistent lag structure. The final ARDL specification retains one lag of ER and one lag of the quarterly change in the unemployment rate.</w:t>
      </w:r>
    </w:p>
    <w:p>
      <w:pPr>
        <w:keepNext w:val="0"/>
        <w:widowControl/>
        <w:spacing w:before="0" w:after="100" w:line="300" w:lineRule="auto"/>
      </w:pPr>
      <w:r>
        <w:rPr>
          <w:rFonts w:ascii="Arial Unicode MS" w:hAnsi="Arial Unicode MS" w:eastAsia="Arial Unicode MS"/>
          <w:color w:val="000000"/>
          <w:sz w:val="21"/>
        </w:rPr>
        <w:t>The macro pool contains 22 variables. Statistical screening identifies output gap, unemployment, and GDP as the closest candidates. Output gap has a marginal in sample advantage, but unemployment is the preferred final variable because it is easier to interpret and its validation RMSE of 0.02693 is lower than 0.02833 for gap and 0.02810 for GDP.</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232"/>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8"/>
              </w:rPr>
              <w:t>Metric</w:t>
            </w:r>
          </w:p>
        </w:tc>
        <w:tc>
          <w:tcPr>
            <w:tcW w:type="dxa" w:w="1655"/>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8"/>
              </w:rPr>
              <w:t>Result</w:t>
            </w:r>
          </w:p>
        </w:tc>
        <w:tc>
          <w:tcPr>
            <w:tcW w:type="dxa" w:w="5832"/>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8"/>
              </w:rPr>
              <w:t>Interpretation</w:t>
            </w:r>
          </w:p>
        </w:tc>
      </w:tr>
      <w:tr>
        <w:tc>
          <w:tcPr>
            <w:tcW w:type="dxa" w:w="2232"/>
            <w:vAlign w:val="center"/>
            <w:tcMar>
              <w:top w:w="90" w:type="dxa"/>
              <w:start w:w="100" w:type="dxa"/>
              <w:bottom w:w="90" w:type="dxa"/>
              <w:end w:w="100" w:type="dxa"/>
            </w:tcMar>
            <w:shd w:fill="FFFFFF"/>
          </w:tcPr>
          <w:p>
            <w:pPr>
              <w:keepNext w:val="0"/>
              <w:widowControl/>
              <w:spacing w:before="0" w:after="0" w:line="264" w:lineRule="auto"/>
              <w:jc w:val="left"/>
            </w:pPr>
            <w:r/>
            <w:r>
              <w:rPr>
                <w:rFonts w:ascii="Arial Unicode MS" w:hAnsi="Arial Unicode MS" w:eastAsia="Arial Unicode MS"/>
                <w:b w:val="0"/>
                <w:color w:val="000000"/>
                <w:sz w:val="18"/>
              </w:rPr>
              <w:t>Estimation observations</w:t>
            </w:r>
          </w:p>
        </w:tc>
        <w:tc>
          <w:tcPr>
            <w:tcW w:type="dxa" w:w="1655"/>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8"/>
              </w:rPr>
              <w:t>49</w:t>
            </w:r>
          </w:p>
        </w:tc>
        <w:tc>
          <w:tcPr>
            <w:tcW w:type="dxa" w:w="5832"/>
            <w:vAlign w:val="center"/>
            <w:tcMar>
              <w:top w:w="90" w:type="dxa"/>
              <w:start w:w="100" w:type="dxa"/>
              <w:bottom w:w="90" w:type="dxa"/>
              <w:end w:w="100" w:type="dxa"/>
            </w:tcMar>
            <w:shd w:fill="FFFFFF"/>
          </w:tcPr>
          <w:p>
            <w:pPr>
              <w:keepNext w:val="0"/>
              <w:widowControl/>
              <w:spacing w:before="0" w:after="0" w:line="264" w:lineRule="auto"/>
              <w:jc w:val="left"/>
            </w:pPr>
            <w:r/>
            <w:r>
              <w:rPr>
                <w:rFonts w:ascii="Arial Unicode MS" w:hAnsi="Arial Unicode MS" w:eastAsia="Arial Unicode MS"/>
                <w:b w:val="0"/>
                <w:color w:val="000000"/>
                <w:sz w:val="18"/>
              </w:rPr>
              <w:t>2011Q2 to 2023Q3 excluding 2017Q4</w:t>
            </w:r>
          </w:p>
        </w:tc>
      </w:tr>
      <w:tr>
        <w:tc>
          <w:tcPr>
            <w:tcW w:type="dxa" w:w="2232"/>
            <w:vAlign w:val="center"/>
            <w:tcMar>
              <w:top w:w="90" w:type="dxa"/>
              <w:start w:w="100" w:type="dxa"/>
              <w:bottom w:w="90" w:type="dxa"/>
              <w:end w:w="100" w:type="dxa"/>
            </w:tcMar>
            <w:shd w:fill="EAF2F8"/>
          </w:tcPr>
          <w:p>
            <w:pPr>
              <w:keepNext w:val="0"/>
              <w:widowControl/>
              <w:spacing w:before="0" w:after="0" w:line="264" w:lineRule="auto"/>
              <w:jc w:val="left"/>
            </w:pPr>
            <w:r/>
            <w:r>
              <w:rPr>
                <w:rFonts w:ascii="Arial Unicode MS" w:hAnsi="Arial Unicode MS" w:eastAsia="Arial Unicode MS"/>
                <w:b w:val="0"/>
                <w:color w:val="000000"/>
                <w:sz w:val="18"/>
              </w:rPr>
              <w:t>Adjusted R squared</w:t>
            </w:r>
          </w:p>
        </w:tc>
        <w:tc>
          <w:tcPr>
            <w:tcW w:type="dxa" w:w="1655"/>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8"/>
              </w:rPr>
              <w:t>0.7912</w:t>
            </w:r>
          </w:p>
        </w:tc>
        <w:tc>
          <w:tcPr>
            <w:tcW w:type="dxa" w:w="5832"/>
            <w:vAlign w:val="center"/>
            <w:tcMar>
              <w:top w:w="90" w:type="dxa"/>
              <w:start w:w="100" w:type="dxa"/>
              <w:bottom w:w="90" w:type="dxa"/>
              <w:end w:w="100" w:type="dxa"/>
            </w:tcMar>
            <w:shd w:fill="EAF2F8"/>
          </w:tcPr>
          <w:p>
            <w:pPr>
              <w:keepNext w:val="0"/>
              <w:widowControl/>
              <w:spacing w:before="0" w:after="0" w:line="264" w:lineRule="auto"/>
              <w:jc w:val="left"/>
            </w:pPr>
            <w:r/>
            <w:r>
              <w:rPr>
                <w:rFonts w:ascii="Arial Unicode MS" w:hAnsi="Arial Unicode MS" w:eastAsia="Arial Unicode MS"/>
                <w:b w:val="0"/>
                <w:color w:val="000000"/>
                <w:sz w:val="18"/>
              </w:rPr>
              <w:t>The model explains about 79 percent of in sample variation</w:t>
            </w:r>
          </w:p>
        </w:tc>
      </w:tr>
      <w:tr>
        <w:tc>
          <w:tcPr>
            <w:tcW w:type="dxa" w:w="2232"/>
            <w:vAlign w:val="center"/>
            <w:tcMar>
              <w:top w:w="90" w:type="dxa"/>
              <w:start w:w="100" w:type="dxa"/>
              <w:bottom w:w="90" w:type="dxa"/>
              <w:end w:w="100" w:type="dxa"/>
            </w:tcMar>
            <w:shd w:fill="FFFFFF"/>
          </w:tcPr>
          <w:p>
            <w:pPr>
              <w:keepNext w:val="0"/>
              <w:widowControl/>
              <w:spacing w:before="0" w:after="0" w:line="264" w:lineRule="auto"/>
              <w:jc w:val="left"/>
            </w:pPr>
            <w:r/>
            <w:r>
              <w:rPr>
                <w:rFonts w:ascii="Arial Unicode MS" w:hAnsi="Arial Unicode MS" w:eastAsia="Arial Unicode MS"/>
                <w:b w:val="0"/>
                <w:color w:val="000000"/>
                <w:sz w:val="18"/>
              </w:rPr>
              <w:t>Durbin Watson</w:t>
            </w:r>
          </w:p>
        </w:tc>
        <w:tc>
          <w:tcPr>
            <w:tcW w:type="dxa" w:w="1655"/>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8"/>
              </w:rPr>
              <w:t>1.8124</w:t>
            </w:r>
          </w:p>
        </w:tc>
        <w:tc>
          <w:tcPr>
            <w:tcW w:type="dxa" w:w="5832"/>
            <w:vAlign w:val="center"/>
            <w:tcMar>
              <w:top w:w="90" w:type="dxa"/>
              <w:start w:w="100" w:type="dxa"/>
              <w:bottom w:w="90" w:type="dxa"/>
              <w:end w:w="100" w:type="dxa"/>
            </w:tcMar>
            <w:shd w:fill="FFFFFF"/>
          </w:tcPr>
          <w:p>
            <w:pPr>
              <w:keepNext w:val="0"/>
              <w:widowControl/>
              <w:spacing w:before="0" w:after="0" w:line="264" w:lineRule="auto"/>
              <w:jc w:val="left"/>
            </w:pPr>
            <w:r/>
            <w:r>
              <w:rPr>
                <w:rFonts w:ascii="Arial Unicode MS" w:hAnsi="Arial Unicode MS" w:eastAsia="Arial Unicode MS"/>
                <w:b w:val="0"/>
                <w:color w:val="000000"/>
                <w:sz w:val="18"/>
              </w:rPr>
              <w:t>No clear evidence of first order residual autocorrelation</w:t>
            </w:r>
          </w:p>
        </w:tc>
      </w:tr>
      <w:tr>
        <w:tc>
          <w:tcPr>
            <w:tcW w:type="dxa" w:w="2232"/>
            <w:vAlign w:val="center"/>
            <w:tcMar>
              <w:top w:w="90" w:type="dxa"/>
              <w:start w:w="100" w:type="dxa"/>
              <w:bottom w:w="90" w:type="dxa"/>
              <w:end w:w="100" w:type="dxa"/>
            </w:tcMar>
            <w:shd w:fill="EAF2F8"/>
          </w:tcPr>
          <w:p>
            <w:pPr>
              <w:keepNext w:val="0"/>
              <w:widowControl/>
              <w:spacing w:before="0" w:after="0" w:line="264" w:lineRule="auto"/>
              <w:jc w:val="left"/>
            </w:pPr>
            <w:r/>
            <w:r>
              <w:rPr>
                <w:rFonts w:ascii="Arial Unicode MS" w:hAnsi="Arial Unicode MS" w:eastAsia="Arial Unicode MS"/>
                <w:b w:val="0"/>
                <w:color w:val="000000"/>
                <w:sz w:val="18"/>
              </w:rPr>
              <w:t>Jarque Bera p value</w:t>
            </w:r>
          </w:p>
        </w:tc>
        <w:tc>
          <w:tcPr>
            <w:tcW w:type="dxa" w:w="1655"/>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8"/>
              </w:rPr>
              <w:t>0.8691</w:t>
            </w:r>
          </w:p>
        </w:tc>
        <w:tc>
          <w:tcPr>
            <w:tcW w:type="dxa" w:w="5832"/>
            <w:vAlign w:val="center"/>
            <w:tcMar>
              <w:top w:w="90" w:type="dxa"/>
              <w:start w:w="100" w:type="dxa"/>
              <w:bottom w:w="90" w:type="dxa"/>
              <w:end w:w="100" w:type="dxa"/>
            </w:tcMar>
            <w:shd w:fill="EAF2F8"/>
          </w:tcPr>
          <w:p>
            <w:pPr>
              <w:keepNext w:val="0"/>
              <w:widowControl/>
              <w:spacing w:before="0" w:after="0" w:line="264" w:lineRule="auto"/>
              <w:jc w:val="left"/>
            </w:pPr>
            <w:r/>
            <w:r>
              <w:rPr>
                <w:rFonts w:ascii="Arial Unicode MS" w:hAnsi="Arial Unicode MS" w:eastAsia="Arial Unicode MS"/>
                <w:b w:val="0"/>
                <w:color w:val="000000"/>
                <w:sz w:val="18"/>
              </w:rPr>
              <w:t>Residual normality is not rejected</w:t>
            </w:r>
          </w:p>
        </w:tc>
      </w:tr>
      <w:tr>
        <w:tc>
          <w:tcPr>
            <w:tcW w:type="dxa" w:w="2232"/>
            <w:vAlign w:val="center"/>
            <w:tcMar>
              <w:top w:w="90" w:type="dxa"/>
              <w:start w:w="100" w:type="dxa"/>
              <w:bottom w:w="90" w:type="dxa"/>
              <w:end w:w="100" w:type="dxa"/>
            </w:tcMar>
            <w:shd w:fill="FFFFFF"/>
          </w:tcPr>
          <w:p>
            <w:pPr>
              <w:keepNext w:val="0"/>
              <w:widowControl/>
              <w:spacing w:before="0" w:after="0" w:line="264" w:lineRule="auto"/>
              <w:jc w:val="left"/>
            </w:pPr>
            <w:r/>
            <w:r>
              <w:rPr>
                <w:rFonts w:ascii="Arial Unicode MS" w:hAnsi="Arial Unicode MS" w:eastAsia="Arial Unicode MS"/>
                <w:b w:val="0"/>
                <w:color w:val="000000"/>
                <w:sz w:val="18"/>
              </w:rPr>
              <w:t>Validation RMSE</w:t>
            </w:r>
          </w:p>
        </w:tc>
        <w:tc>
          <w:tcPr>
            <w:tcW w:type="dxa" w:w="1655"/>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8"/>
              </w:rPr>
              <w:t>0.02693</w:t>
            </w:r>
          </w:p>
        </w:tc>
        <w:tc>
          <w:tcPr>
            <w:tcW w:type="dxa" w:w="5832"/>
            <w:vAlign w:val="center"/>
            <w:tcMar>
              <w:top w:w="90" w:type="dxa"/>
              <w:start w:w="100" w:type="dxa"/>
              <w:bottom w:w="90" w:type="dxa"/>
              <w:end w:w="100" w:type="dxa"/>
            </w:tcMar>
            <w:shd w:fill="FFFFFF"/>
          </w:tcPr>
          <w:p>
            <w:pPr>
              <w:keepNext w:val="0"/>
              <w:widowControl/>
              <w:spacing w:before="0" w:after="0" w:line="264" w:lineRule="auto"/>
              <w:jc w:val="left"/>
            </w:pPr>
            <w:r/>
            <w:r>
              <w:rPr>
                <w:rFonts w:ascii="Arial Unicode MS" w:hAnsi="Arial Unicode MS" w:eastAsia="Arial Unicode MS"/>
                <w:b w:val="0"/>
                <w:color w:val="000000"/>
                <w:sz w:val="18"/>
              </w:rPr>
              <w:t>One step forecasts from 2023Q4 to 2025Q4</w:t>
            </w:r>
          </w:p>
        </w:tc>
      </w:tr>
    </w:tbl>
    <w:p>
      <w:pPr>
        <w:keepNext w:val="0"/>
        <w:widowControl/>
        <w:spacing w:before="0" w:after="60" w:line="240" w:lineRule="auto"/>
      </w:pPr>
    </w:p>
    <w:p>
      <w:pPr>
        <w:keepNext/>
        <w:spacing w:before="80" w:after="40"/>
        <w:jc w:val="center"/>
      </w:pPr>
      <w:r>
        <w:drawing>
          <wp:inline xmlns:a="http://schemas.openxmlformats.org/drawingml/2006/main" xmlns:pic="http://schemas.openxmlformats.org/drawingml/2006/picture">
            <wp:extent cx="6080760" cy="2888361"/>
            <wp:docPr id="1" name="Picture 1" title="ER history" descr="Quarterly bank efficiency ratio from 2011Q1 to 2025Q4, showing the TARP dummy period, the excluded 2017Q4 observation, and the end of the training period in 2023Q3."/>
            <wp:cNvGraphicFramePr>
              <a:graphicFrameLocks noChangeAspect="1"/>
            </wp:cNvGraphicFramePr>
            <a:graphic>
              <a:graphicData uri="http://schemas.openxmlformats.org/drawingml/2006/picture">
                <pic:pic>
                  <pic:nvPicPr>
                    <pic:cNvPr id="0" name="er_history_en.png"/>
                    <pic:cNvPicPr/>
                  </pic:nvPicPr>
                  <pic:blipFill>
                    <a:blip r:embed="rId10"/>
                    <a:stretch>
                      <a:fillRect/>
                    </a:stretch>
                  </pic:blipFill>
                  <pic:spPr>
                    <a:xfrm>
                      <a:off x="0" y="0"/>
                      <a:ext cx="6080760" cy="2888361"/>
                    </a:xfrm>
                    <a:prstGeom prst="rect"/>
                  </pic:spPr>
                </pic:pic>
              </a:graphicData>
            </a:graphic>
          </wp:inline>
        </w:drawing>
      </w:r>
    </w:p>
    <w:p>
      <w:pPr>
        <w:keepNext w:val="0"/>
        <w:widowControl/>
        <w:spacing w:before="0" w:after="160" w:line="252" w:lineRule="auto"/>
        <w:jc w:val="center"/>
      </w:pPr>
      <w:r>
        <w:rPr>
          <w:rFonts w:ascii="Arial Unicode MS" w:hAnsi="Arial Unicode MS" w:eastAsia="Arial Unicode MS"/>
          <w:i/>
          <w:color w:val="666666"/>
          <w:sz w:val="18"/>
        </w:rPr>
        <w:t>Figure 1  ER history and sample periods</w:t>
      </w:r>
    </w:p>
    <w:p>
      <w:r>
        <w:br w:type="page"/>
      </w:r>
    </w:p>
    <w:p>
      <w:pPr>
        <w:pStyle w:val="Heading1"/>
        <w:keepNext/>
        <w:widowControl/>
        <w:spacing w:before="220" w:after="100"/>
      </w:pPr>
      <w:r>
        <w:rPr>
          <w:rFonts w:ascii="Arial Unicode MS" w:hAnsi="Arial Unicode MS" w:eastAsia="Arial Unicode MS"/>
          <w:b/>
          <w:color w:val="000000"/>
          <w:sz w:val="28"/>
        </w:rPr>
        <w:t>Data and Model Specification</w:t>
      </w:r>
    </w:p>
    <w:p>
      <w:pPr>
        <w:pStyle w:val="Heading2"/>
        <w:keepNext/>
        <w:widowControl/>
        <w:spacing w:before="140" w:after="100"/>
      </w:pPr>
      <w:r>
        <w:rPr>
          <w:rFonts w:ascii="Arial Unicode MS" w:hAnsi="Arial Unicode MS" w:eastAsia="Arial Unicode MS"/>
          <w:b/>
          <w:color w:val="000000"/>
          <w:sz w:val="23"/>
        </w:rPr>
        <w:t>ER Data</w:t>
      </w:r>
    </w:p>
    <w:p>
      <w:pPr>
        <w:keepNext w:val="0"/>
        <w:widowControl/>
        <w:spacing w:before="0" w:after="100" w:line="300" w:lineRule="auto"/>
      </w:pPr>
      <w:r>
        <w:rPr>
          <w:rFonts w:ascii="Arial Unicode MS" w:hAnsi="Arial Unicode MS" w:eastAsia="Arial Unicode MS"/>
          <w:color w:val="000000"/>
          <w:sz w:val="21"/>
        </w:rPr>
        <w:t>The quarterly ER series covers 2011Q1 to 2025Q4. Values are expressed as decimals, so 0.55 corresponds to 55 percent. The series is used in levels because the model captures its persistence through the one quarter lag of ER.</w:t>
      </w:r>
    </w:p>
    <w:p>
      <w:pPr>
        <w:pStyle w:val="Heading2"/>
        <w:keepNext/>
        <w:widowControl/>
        <w:spacing w:before="140" w:after="100"/>
      </w:pPr>
      <w:r>
        <w:rPr>
          <w:rFonts w:ascii="Arial Unicode MS" w:hAnsi="Arial Unicode MS" w:eastAsia="Arial Unicode MS"/>
          <w:b/>
          <w:color w:val="000000"/>
          <w:sz w:val="23"/>
        </w:rPr>
        <w:t>Macroeconomic Transformations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448"/>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8"/>
              </w:rPr>
              <w:t>Variable type</w:t>
            </w:r>
          </w:p>
        </w:tc>
        <w:tc>
          <w:tcPr>
            <w:tcW w:type="dxa" w:w="4824"/>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8"/>
              </w:rPr>
              <w:t>Variables</w:t>
            </w:r>
          </w:p>
        </w:tc>
        <w:tc>
          <w:tcPr>
            <w:tcW w:type="dxa" w:w="2808"/>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8"/>
              </w:rPr>
              <w:t>Quarterly transformation</w:t>
            </w:r>
          </w:p>
        </w:tc>
      </w:tr>
      <w:tr>
        <w:tc>
          <w:tcPr>
            <w:tcW w:type="dxa" w:w="2448"/>
            <w:vAlign w:val="center"/>
            <w:tcMar>
              <w:top w:w="90" w:type="dxa"/>
              <w:start w:w="100" w:type="dxa"/>
              <w:bottom w:w="90" w:type="dxa"/>
              <w:end w:w="100" w:type="dxa"/>
            </w:tcMar>
            <w:shd w:fill="FFFFFF"/>
          </w:tcPr>
          <w:p>
            <w:pPr>
              <w:keepNext w:val="0"/>
              <w:widowControl/>
              <w:spacing w:before="0" w:after="0" w:line="264" w:lineRule="auto"/>
              <w:jc w:val="left"/>
            </w:pPr>
            <w:r/>
            <w:r>
              <w:rPr>
                <w:rFonts w:ascii="Arial Unicode MS" w:hAnsi="Arial Unicode MS" w:eastAsia="Arial Unicode MS"/>
                <w:b w:val="0"/>
                <w:color w:val="000000"/>
                <w:sz w:val="18"/>
              </w:rPr>
              <w:t>Dollar amounts and indexes</w:t>
            </w:r>
          </w:p>
        </w:tc>
        <w:tc>
          <w:tcPr>
            <w:tcW w:type="dxa" w:w="4824"/>
            <w:vAlign w:val="center"/>
            <w:tcMar>
              <w:top w:w="90" w:type="dxa"/>
              <w:start w:w="100" w:type="dxa"/>
              <w:bottom w:w="90" w:type="dxa"/>
              <w:end w:w="100" w:type="dxa"/>
            </w:tcMar>
            <w:shd w:fill="FFFFFF"/>
          </w:tcPr>
          <w:p>
            <w:pPr>
              <w:keepNext w:val="0"/>
              <w:widowControl/>
              <w:spacing w:before="0" w:after="0" w:line="264" w:lineRule="auto"/>
              <w:jc w:val="left"/>
            </w:pPr>
            <w:r/>
            <w:r>
              <w:rPr>
                <w:rFonts w:ascii="Arial Unicode MS" w:hAnsi="Arial Unicode MS" w:eastAsia="Arial Unicode MS"/>
                <w:b w:val="0"/>
                <w:color w:val="000000"/>
                <w:sz w:val="18"/>
              </w:rPr>
              <w:t>earnings, ulc, eci, gdp, assets, loans</w:t>
            </w:r>
          </w:p>
        </w:tc>
        <w:tc>
          <w:tcPr>
            <w:tcW w:type="dxa" w:w="2808"/>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8"/>
              </w:rPr>
              <w:t>ln(Xt) - ln(Xt-1)</w:t>
            </w:r>
          </w:p>
        </w:tc>
      </w:tr>
      <w:tr>
        <w:tc>
          <w:tcPr>
            <w:tcW w:type="dxa" w:w="2448"/>
            <w:vAlign w:val="center"/>
            <w:tcMar>
              <w:top w:w="90" w:type="dxa"/>
              <w:start w:w="100" w:type="dxa"/>
              <w:bottom w:w="90" w:type="dxa"/>
              <w:end w:w="100" w:type="dxa"/>
            </w:tcMar>
            <w:shd w:fill="EAF2F8"/>
          </w:tcPr>
          <w:p>
            <w:pPr>
              <w:keepNext w:val="0"/>
              <w:widowControl/>
              <w:spacing w:before="0" w:after="0" w:line="264" w:lineRule="auto"/>
              <w:jc w:val="left"/>
            </w:pPr>
            <w:r/>
            <w:r>
              <w:rPr>
                <w:rFonts w:ascii="Arial Unicode MS" w:hAnsi="Arial Unicode MS" w:eastAsia="Arial Unicode MS"/>
                <w:b w:val="0"/>
                <w:color w:val="000000"/>
                <w:sz w:val="18"/>
              </w:rPr>
              <w:t>Rates and other level variables</w:t>
            </w:r>
          </w:p>
        </w:tc>
        <w:tc>
          <w:tcPr>
            <w:tcW w:type="dxa" w:w="4824"/>
            <w:vAlign w:val="center"/>
            <w:tcMar>
              <w:top w:w="90" w:type="dxa"/>
              <w:start w:w="100" w:type="dxa"/>
              <w:bottom w:w="90" w:type="dxa"/>
              <w:end w:w="100" w:type="dxa"/>
            </w:tcMar>
            <w:shd w:fill="EAF2F8"/>
          </w:tcPr>
          <w:p>
            <w:pPr>
              <w:keepNext w:val="0"/>
              <w:widowControl/>
              <w:spacing w:before="0" w:after="0" w:line="264" w:lineRule="auto"/>
              <w:jc w:val="left"/>
            </w:pPr>
            <w:r/>
            <w:r>
              <w:rPr>
                <w:rFonts w:ascii="Arial Unicode MS" w:hAnsi="Arial Unicode MS" w:eastAsia="Arial Unicode MS"/>
                <w:b w:val="0"/>
                <w:color w:val="000000"/>
                <w:sz w:val="18"/>
              </w:rPr>
              <w:t>fed, t2y, t10y, unemp, confidence, optimism, gap, vix, hy</w:t>
            </w:r>
          </w:p>
        </w:tc>
        <w:tc>
          <w:tcPr>
            <w:tcW w:type="dxa" w:w="2808"/>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8"/>
              </w:rPr>
              <w:t>Xt - Xt-1</w:t>
            </w:r>
          </w:p>
        </w:tc>
      </w:tr>
    </w:tbl>
    <w:p>
      <w:pPr>
        <w:keepNext w:val="0"/>
        <w:widowControl/>
        <w:spacing w:before="0" w:after="60" w:line="240" w:lineRule="auto"/>
      </w:pPr>
    </w:p>
    <w:p>
      <w:pPr>
        <w:pStyle w:val="Heading2"/>
        <w:keepNext/>
        <w:widowControl/>
        <w:spacing w:before="140" w:after="100"/>
      </w:pPr>
      <w:r>
        <w:rPr>
          <w:rFonts w:ascii="Arial Unicode MS" w:hAnsi="Arial Unicode MS" w:eastAsia="Arial Unicode MS"/>
          <w:b/>
          <w:color w:val="000000"/>
          <w:sz w:val="23"/>
        </w:rPr>
        <w:t>Macro Pool</w:t>
      </w:r>
    </w:p>
    <w:p>
      <w:pPr>
        <w:keepNext w:val="0"/>
        <w:widowControl/>
        <w:spacing w:before="0" w:after="100" w:line="300" w:lineRule="auto"/>
      </w:pPr>
      <w:r>
        <w:rPr>
          <w:rFonts w:ascii="Arial Unicode MS" w:hAnsi="Arial Unicode MS" w:eastAsia="Arial Unicode MS"/>
          <w:color w:val="000000"/>
          <w:sz w:val="21"/>
        </w:rPr>
        <w:t>The macro pool contains 22 variables. Fifteen are core macroeconomic indicators and seven are additional scenario variables. Every candidate is transformed according to its economic type before the one quarter lag is applied.</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331"/>
        <w:gridCol w:w="3331"/>
        <w:gridCol w:w="3331"/>
      </w:tblGrid>
      <w:tr>
        <w:trPr>
          <w:tblHeader w:val="true"/>
        </w:trPr>
        <w:tc>
          <w:tcPr>
            <w:tcW w:type="dxa" w:w="2592"/>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7"/>
              </w:rPr>
              <w:t>Category</w:t>
            </w:r>
          </w:p>
        </w:tc>
        <w:tc>
          <w:tcPr>
            <w:tcW w:type="dxa" w:w="936"/>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7"/>
              </w:rPr>
              <w:t>Count</w:t>
            </w:r>
          </w:p>
        </w:tc>
        <w:tc>
          <w:tcPr>
            <w:tcW w:type="dxa" w:w="6552"/>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7"/>
              </w:rPr>
              <w:t>Variables</w:t>
            </w:r>
          </w:p>
        </w:tc>
      </w:tr>
      <w:tr>
        <w:tc>
          <w:tcPr>
            <w:tcW w:type="dxa" w:w="2592"/>
            <w:vAlign w:val="center"/>
            <w:tcMar>
              <w:top w:w="90" w:type="dxa"/>
              <w:start w:w="100" w:type="dxa"/>
              <w:bottom w:w="90" w:type="dxa"/>
              <w:end w:w="100" w:type="dxa"/>
            </w:tcMar>
            <w:shd w:fill="FFFFFF"/>
          </w:tcPr>
          <w:p>
            <w:pPr>
              <w:keepNext w:val="0"/>
              <w:widowControl/>
              <w:spacing w:before="0" w:after="0" w:line="264" w:lineRule="auto"/>
              <w:jc w:val="left"/>
            </w:pPr>
            <w:r/>
            <w:r>
              <w:rPr>
                <w:rFonts w:ascii="Arial Unicode MS" w:hAnsi="Arial Unicode MS" w:eastAsia="Arial Unicode MS"/>
                <w:b w:val="0"/>
                <w:color w:val="000000"/>
                <w:sz w:val="17"/>
              </w:rPr>
              <w:t>Core macro variables</w:t>
            </w:r>
          </w:p>
        </w:tc>
        <w:tc>
          <w:tcPr>
            <w:tcW w:type="dxa" w:w="936"/>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15</w:t>
            </w:r>
          </w:p>
        </w:tc>
        <w:tc>
          <w:tcPr>
            <w:tcW w:type="dxa" w:w="6552"/>
            <w:vAlign w:val="center"/>
            <w:tcMar>
              <w:top w:w="90" w:type="dxa"/>
              <w:start w:w="100" w:type="dxa"/>
              <w:bottom w:w="90" w:type="dxa"/>
              <w:end w:w="100" w:type="dxa"/>
            </w:tcMar>
            <w:shd w:fill="FFFFFF"/>
          </w:tcPr>
          <w:p>
            <w:pPr>
              <w:keepNext w:val="0"/>
              <w:widowControl/>
              <w:spacing w:before="0" w:after="0" w:line="264" w:lineRule="auto"/>
              <w:jc w:val="left"/>
            </w:pPr>
            <w:r/>
            <w:r>
              <w:rPr>
                <w:rFonts w:ascii="Arial Unicode MS" w:hAnsi="Arial Unicode MS" w:eastAsia="Arial Unicode MS"/>
                <w:b w:val="0"/>
                <w:color w:val="000000"/>
                <w:sz w:val="17"/>
              </w:rPr>
              <w:t>earnings, ulc, eci, fed, t2y, t10y, unemp, confidence, optimism, gdp, gap, assets, loans, vix, hy</w:t>
            </w:r>
          </w:p>
        </w:tc>
      </w:tr>
      <w:tr>
        <w:tc>
          <w:tcPr>
            <w:tcW w:type="dxa" w:w="2592"/>
            <w:vAlign w:val="center"/>
            <w:tcMar>
              <w:top w:w="90" w:type="dxa"/>
              <w:start w:w="100" w:type="dxa"/>
              <w:bottom w:w="90" w:type="dxa"/>
              <w:end w:w="100" w:type="dxa"/>
            </w:tcMar>
            <w:shd w:fill="EAF2F8"/>
          </w:tcPr>
          <w:p>
            <w:pPr>
              <w:keepNext w:val="0"/>
              <w:widowControl/>
              <w:spacing w:before="0" w:after="0" w:line="264" w:lineRule="auto"/>
              <w:jc w:val="left"/>
            </w:pPr>
            <w:r/>
            <w:r>
              <w:rPr>
                <w:rFonts w:ascii="Arial Unicode MS" w:hAnsi="Arial Unicode MS" w:eastAsia="Arial Unicode MS"/>
                <w:b w:val="0"/>
                <w:color w:val="000000"/>
                <w:sz w:val="17"/>
              </w:rPr>
              <w:t>Additional macro variables</w:t>
            </w:r>
          </w:p>
        </w:tc>
        <w:tc>
          <w:tcPr>
            <w:tcW w:type="dxa" w:w="936"/>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7"/>
              </w:rPr>
              <w:t>7</w:t>
            </w:r>
          </w:p>
        </w:tc>
        <w:tc>
          <w:tcPr>
            <w:tcW w:type="dxa" w:w="6552"/>
            <w:vAlign w:val="center"/>
            <w:tcMar>
              <w:top w:w="90" w:type="dxa"/>
              <w:start w:w="100" w:type="dxa"/>
              <w:bottom w:w="90" w:type="dxa"/>
              <w:end w:w="100" w:type="dxa"/>
            </w:tcMar>
            <w:shd w:fill="EAF2F8"/>
          </w:tcPr>
          <w:p>
            <w:pPr>
              <w:keepNext w:val="0"/>
              <w:widowControl/>
              <w:spacing w:before="0" w:after="0" w:line="264" w:lineRule="auto"/>
              <w:jc w:val="left"/>
            </w:pPr>
            <w:r/>
            <w:r>
              <w:rPr>
                <w:rFonts w:ascii="Arial Unicode MS" w:hAnsi="Arial Unicode MS" w:eastAsia="Arial Unicode MS"/>
                <w:b w:val="0"/>
                <w:color w:val="000000"/>
                <w:sz w:val="17"/>
              </w:rPr>
              <w:t>FPCNBCPH, FLBOPQ, FYPEW52Q, FGDP52Q, FE52, FYPCPIQ, FECICCQ</w:t>
            </w:r>
          </w:p>
        </w:tc>
      </w:tr>
    </w:tbl>
    <w:p>
      <w:pPr>
        <w:keepNext w:val="0"/>
        <w:widowControl/>
        <w:spacing w:before="0" w:after="60" w:line="240" w:lineRule="auto"/>
      </w:pPr>
    </w:p>
    <w:p>
      <w:pPr>
        <w:keepNext w:val="0"/>
        <w:widowControl/>
        <w:spacing w:before="0" w:after="100" w:line="300" w:lineRule="auto"/>
      </w:pPr>
      <w:r>
        <w:rPr>
          <w:rFonts w:ascii="Arial Unicode MS" w:hAnsi="Arial Unicode MS" w:eastAsia="Arial Unicode MS"/>
          <w:color w:val="000000"/>
          <w:sz w:val="21"/>
        </w:rPr>
        <w:t>The seven additional series begin in 2011Q1. After calculating a quarterly change and applying one lag, the common sample for all 22 candidates begins in 2011Q3 and contains 48 observations. The final unemployment model uses 49 observations because the unemployment series supports the 2011Q2 model observation.</w:t>
      </w:r>
    </w:p>
    <w:p>
      <w:r>
        <w:br w:type="page"/>
      </w:r>
    </w:p>
    <w:p>
      <w:pPr>
        <w:pStyle w:val="Heading2"/>
        <w:keepNext/>
        <w:widowControl/>
        <w:spacing w:before="140" w:after="100"/>
      </w:pPr>
      <w:r>
        <w:rPr>
          <w:rFonts w:ascii="Arial Unicode MS" w:hAnsi="Arial Unicode MS" w:eastAsia="Arial Unicode MS"/>
          <w:b/>
          <w:color w:val="000000"/>
          <w:sz w:val="23"/>
        </w:rPr>
        <w:t>Dummy and Sample</w:t>
      </w:r>
    </w:p>
    <w:p>
      <w:pPr>
        <w:pStyle w:val="ListBullet"/>
        <w:keepNext w:val="0"/>
        <w:widowControl/>
        <w:spacing w:before="0" w:after="60" w:line="288" w:lineRule="auto"/>
      </w:pPr>
      <w:r>
        <w:rPr>
          <w:rFonts w:ascii="Arial Unicode MS" w:hAnsi="Arial Unicode MS" w:eastAsia="Arial Unicode MS"/>
          <w:color w:val="000000"/>
          <w:sz w:val="21"/>
        </w:rPr>
        <w:t>The TARP dummy equals 1 from 2011Q1 through 2013Q4 and equals 0 from 2014Q1 onward.</w:t>
      </w:r>
    </w:p>
    <w:p>
      <w:pPr>
        <w:pStyle w:val="ListBullet"/>
        <w:keepNext w:val="0"/>
        <w:widowControl/>
        <w:spacing w:before="0" w:after="60" w:line="288" w:lineRule="auto"/>
      </w:pPr>
      <w:r>
        <w:rPr>
          <w:rFonts w:ascii="Arial Unicode MS" w:hAnsi="Arial Unicode MS" w:eastAsia="Arial Unicode MS"/>
          <w:color w:val="000000"/>
          <w:sz w:val="21"/>
        </w:rPr>
        <w:t>The estimation period is 2011Q2 through 2023Q3. The first quarter is lost to the lag.</w:t>
      </w:r>
    </w:p>
    <w:p>
      <w:pPr>
        <w:pStyle w:val="ListBullet"/>
        <w:keepNext w:val="0"/>
        <w:widowControl/>
        <w:spacing w:before="0" w:after="60" w:line="288" w:lineRule="auto"/>
      </w:pPr>
      <w:r>
        <w:rPr>
          <w:rFonts w:ascii="Arial Unicode MS" w:hAnsi="Arial Unicode MS" w:eastAsia="Arial Unicode MS"/>
          <w:color w:val="000000"/>
          <w:sz w:val="21"/>
        </w:rPr>
        <w:t>The 2017Q4 dependent variable observation is excluded from estimation, but its ER value remains the lag for 2018Q1.</w:t>
      </w:r>
    </w:p>
    <w:p>
      <w:pPr>
        <w:pStyle w:val="ListBullet"/>
        <w:keepNext w:val="0"/>
        <w:widowControl/>
        <w:spacing w:before="0" w:after="60" w:line="288" w:lineRule="auto"/>
      </w:pPr>
      <w:r>
        <w:rPr>
          <w:rFonts w:ascii="Arial Unicode MS" w:hAnsi="Arial Unicode MS" w:eastAsia="Arial Unicode MS"/>
          <w:color w:val="000000"/>
          <w:sz w:val="21"/>
        </w:rPr>
        <w:t>The nine quarters from 2023Q4 through 2025Q4 form the validation period.</w:t>
      </w:r>
    </w:p>
    <w:p>
      <w:r>
        <w:br w:type="page"/>
      </w:r>
    </w:p>
    <w:p>
      <w:pPr>
        <w:pStyle w:val="Heading1"/>
        <w:keepNext/>
        <w:widowControl/>
        <w:spacing w:before="220" w:after="100"/>
      </w:pPr>
      <w:r>
        <w:rPr>
          <w:rFonts w:ascii="Arial Unicode MS" w:hAnsi="Arial Unicode MS" w:eastAsia="Arial Unicode MS"/>
          <w:b/>
          <w:color w:val="000000"/>
          <w:sz w:val="28"/>
        </w:rPr>
        <w:t>Final ARDL Model</w:t>
      </w:r>
    </w:p>
    <w:p>
      <w:pPr>
        <w:keepNext w:val="0"/>
        <w:widowControl/>
        <w:spacing w:before="80" w:after="160" w:line="240" w:lineRule="auto"/>
        <w:jc w:val="center"/>
      </w:pPr>
      <m:oMathPara>
        <m:oMathParaPr>
          <m:jc m:val="center"/>
        </m:oMathParaPr>
        <m:oMath>
          <m:sSub>
            <m:e>
              <m:r>
                <m:t>ER</m:t>
              </m:r>
            </m:e>
            <m:sub>
              <m:r>
                <m:t>t</m:t>
              </m:r>
            </m:sub>
          </m:sSub>
          <m:r>
            <m:t> = 0.1611 + 0.0481</m:t>
          </m:r>
          <m:sSub>
            <m:e>
              <m:r>
                <m:t>D</m:t>
              </m:r>
            </m:e>
            <m:sub>
              <m:r>
                <m:t>t</m:t>
              </m:r>
            </m:sub>
          </m:sSub>
          <m:r>
            <m:t> + 0.7138</m:t>
          </m:r>
          <m:sSub>
            <m:e>
              <m:r>
                <m:t>ER</m:t>
              </m:r>
            </m:e>
            <m:sub>
              <m:r>
                <m:t>t-1</m:t>
              </m:r>
            </m:sub>
          </m:sSub>
          <m:r>
            <m:t> + 0.0065</m:t>
          </m:r>
          <m:sSub>
            <m:e>
              <m:r>
                <m:t>ΔUnemp</m:t>
              </m:r>
            </m:e>
            <m:sub>
              <m:r>
                <m:t>t-1</m:t>
              </m:r>
            </m:sub>
          </m:sSub>
          <m:r>
            <m:t> + </m:t>
          </m:r>
          <m:sSub>
            <m:e>
              <m:r>
                <m:t>e</m:t>
              </m:r>
            </m:e>
            <m:sub>
              <m:r>
                <m:t>t</m:t>
              </m:r>
            </m:sub>
          </m:sSub>
        </m:oMath>
      </m:oMathPara>
    </w:p>
    <w:p>
      <w:pPr>
        <w:keepNext w:val="0"/>
        <w:widowControl/>
        <w:spacing w:before="0" w:after="100" w:line="300" w:lineRule="auto"/>
      </w:pPr>
      <w:r>
        <w:rPr>
          <w:rFonts w:ascii="Arial Unicode MS" w:hAnsi="Arial Unicode MS" w:eastAsia="Arial Unicode MS"/>
          <w:color w:val="000000"/>
          <w:sz w:val="21"/>
        </w:rPr>
        <w:t>Delta Unemp is the quarterly percentage point change in the unemployment rate. Holding the TARP dummy and ER persistence constant, the coefficient of 0.0065 associates a one percentage point increase in unemployment with an increase of about 0.0065 in ER one quarter later, or approximately 0.65 percentage points. This is a conditional association and should not be interpreted as a causal effect.</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2592"/>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8"/>
              </w:rPr>
              <w:t>Term</w:t>
            </w:r>
          </w:p>
        </w:tc>
        <w:tc>
          <w:tcPr>
            <w:tcW w:type="dxa" w:w="1440"/>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8"/>
              </w:rPr>
              <w:t>Coefficient</w:t>
            </w:r>
          </w:p>
        </w:tc>
        <w:tc>
          <w:tcPr>
            <w:tcW w:type="dxa" w:w="1296"/>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8"/>
              </w:rPr>
              <w:t>p value</w:t>
            </w:r>
          </w:p>
        </w:tc>
        <w:tc>
          <w:tcPr>
            <w:tcW w:type="dxa" w:w="4392"/>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8"/>
              </w:rPr>
              <w:t>Interpretation</w:t>
            </w:r>
          </w:p>
        </w:tc>
      </w:tr>
      <w:tr>
        <w:tc>
          <w:tcPr>
            <w:tcW w:type="dxa" w:w="2592"/>
            <w:vAlign w:val="center"/>
            <w:tcMar>
              <w:top w:w="90" w:type="dxa"/>
              <w:start w:w="100" w:type="dxa"/>
              <w:bottom w:w="90" w:type="dxa"/>
              <w:end w:w="100" w:type="dxa"/>
            </w:tcMar>
            <w:shd w:fill="FFFFFF"/>
          </w:tcPr>
          <w:p>
            <w:pPr>
              <w:keepNext w:val="0"/>
              <w:widowControl/>
              <w:spacing w:before="0" w:after="0" w:line="264" w:lineRule="auto"/>
              <w:jc w:val="left"/>
            </w:pPr>
            <w:r/>
            <w:r>
              <w:rPr>
                <w:rFonts w:ascii="Arial Unicode MS" w:hAnsi="Arial Unicode MS" w:eastAsia="Arial Unicode MS"/>
                <w:b w:val="0"/>
                <w:color w:val="000000"/>
                <w:sz w:val="18"/>
              </w:rPr>
              <w:t>Constant</w:t>
            </w:r>
          </w:p>
        </w:tc>
        <w:tc>
          <w:tcPr>
            <w:tcW w:type="dxa" w:w="1440"/>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8"/>
              </w:rPr>
              <w:t>0.1611</w:t>
            </w:r>
          </w:p>
        </w:tc>
        <w:tc>
          <w:tcPr>
            <w:tcW w:type="dxa" w:w="1296"/>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8"/>
              </w:rPr>
              <w:t>0.0021</w:t>
            </w:r>
          </w:p>
        </w:tc>
        <w:tc>
          <w:tcPr>
            <w:tcW w:type="dxa" w:w="4392"/>
            <w:vAlign w:val="center"/>
            <w:tcMar>
              <w:top w:w="90" w:type="dxa"/>
              <w:start w:w="100" w:type="dxa"/>
              <w:bottom w:w="90" w:type="dxa"/>
              <w:end w:w="100" w:type="dxa"/>
            </w:tcMar>
            <w:shd w:fill="FFFFFF"/>
          </w:tcPr>
          <w:p>
            <w:pPr>
              <w:keepNext w:val="0"/>
              <w:widowControl/>
              <w:spacing w:before="0" w:after="0" w:line="264" w:lineRule="auto"/>
              <w:jc w:val="left"/>
            </w:pPr>
            <w:r/>
            <w:r>
              <w:rPr>
                <w:rFonts w:ascii="Arial Unicode MS" w:hAnsi="Arial Unicode MS" w:eastAsia="Arial Unicode MS"/>
                <w:b w:val="0"/>
                <w:color w:val="000000"/>
                <w:sz w:val="18"/>
              </w:rPr>
              <w:t>Long run baseline term</w:t>
            </w:r>
          </w:p>
        </w:tc>
      </w:tr>
      <w:tr>
        <w:tc>
          <w:tcPr>
            <w:tcW w:type="dxa" w:w="2592"/>
            <w:vAlign w:val="center"/>
            <w:tcMar>
              <w:top w:w="90" w:type="dxa"/>
              <w:start w:w="100" w:type="dxa"/>
              <w:bottom w:w="90" w:type="dxa"/>
              <w:end w:w="100" w:type="dxa"/>
            </w:tcMar>
            <w:shd w:fill="EAF2F8"/>
          </w:tcPr>
          <w:p>
            <w:pPr>
              <w:keepNext w:val="0"/>
              <w:widowControl/>
              <w:spacing w:before="0" w:after="0" w:line="264" w:lineRule="auto"/>
              <w:jc w:val="left"/>
            </w:pPr>
            <w:r/>
            <w:r>
              <w:rPr>
                <w:rFonts w:ascii="Arial Unicode MS" w:hAnsi="Arial Unicode MS" w:eastAsia="Arial Unicode MS"/>
                <w:b w:val="0"/>
                <w:color w:val="000000"/>
                <w:sz w:val="18"/>
              </w:rPr>
              <w:t>TARP dummy</w:t>
            </w:r>
          </w:p>
        </w:tc>
        <w:tc>
          <w:tcPr>
            <w:tcW w:type="dxa" w:w="1440"/>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8"/>
              </w:rPr>
              <w:t>0.0481</w:t>
            </w:r>
          </w:p>
        </w:tc>
        <w:tc>
          <w:tcPr>
            <w:tcW w:type="dxa" w:w="1296"/>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8"/>
              </w:rPr>
              <w:t>0.0013</w:t>
            </w:r>
          </w:p>
        </w:tc>
        <w:tc>
          <w:tcPr>
            <w:tcW w:type="dxa" w:w="4392"/>
            <w:vAlign w:val="center"/>
            <w:tcMar>
              <w:top w:w="90" w:type="dxa"/>
              <w:start w:w="100" w:type="dxa"/>
              <w:bottom w:w="90" w:type="dxa"/>
              <w:end w:w="100" w:type="dxa"/>
            </w:tcMar>
            <w:shd w:fill="EAF2F8"/>
          </w:tcPr>
          <w:p>
            <w:pPr>
              <w:keepNext w:val="0"/>
              <w:widowControl/>
              <w:spacing w:before="0" w:after="0" w:line="264" w:lineRule="auto"/>
              <w:jc w:val="left"/>
            </w:pPr>
            <w:r/>
            <w:r>
              <w:rPr>
                <w:rFonts w:ascii="Arial Unicode MS" w:hAnsi="Arial Unicode MS" w:eastAsia="Arial Unicode MS"/>
                <w:b w:val="0"/>
                <w:color w:val="000000"/>
                <w:sz w:val="18"/>
              </w:rPr>
              <w:t>Average ER was higher during the TARP period</w:t>
            </w:r>
          </w:p>
        </w:tc>
      </w:tr>
      <w:tr>
        <w:tc>
          <w:tcPr>
            <w:tcW w:type="dxa" w:w="2592"/>
            <w:vAlign w:val="center"/>
            <w:tcMar>
              <w:top w:w="90" w:type="dxa"/>
              <w:start w:w="100" w:type="dxa"/>
              <w:bottom w:w="90" w:type="dxa"/>
              <w:end w:w="100" w:type="dxa"/>
            </w:tcMar>
            <w:shd w:fill="FFFFFF"/>
          </w:tcPr>
          <w:p>
            <w:pPr>
              <w:keepNext w:val="0"/>
              <w:widowControl/>
              <w:spacing w:before="0" w:after="0" w:line="264" w:lineRule="auto"/>
              <w:jc w:val="left"/>
            </w:pPr>
            <w:r/>
            <w:r>
              <w:rPr>
                <w:rFonts w:ascii="Arial Unicode MS" w:hAnsi="Arial Unicode MS" w:eastAsia="Arial Unicode MS"/>
                <w:b w:val="0"/>
                <w:color w:val="000000"/>
                <w:sz w:val="18"/>
              </w:rPr>
              <w:t>ER lag 1</w:t>
            </w:r>
          </w:p>
        </w:tc>
        <w:tc>
          <w:tcPr>
            <w:tcW w:type="dxa" w:w="1440"/>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8"/>
              </w:rPr>
              <w:t>0.7138</w:t>
            </w:r>
          </w:p>
        </w:tc>
        <w:tc>
          <w:tcPr>
            <w:tcW w:type="dxa" w:w="1296"/>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8"/>
              </w:rPr>
              <w:t>&lt;0.001</w:t>
            </w:r>
          </w:p>
        </w:tc>
        <w:tc>
          <w:tcPr>
            <w:tcW w:type="dxa" w:w="4392"/>
            <w:vAlign w:val="center"/>
            <w:tcMar>
              <w:top w:w="90" w:type="dxa"/>
              <w:start w:w="100" w:type="dxa"/>
              <w:bottom w:w="90" w:type="dxa"/>
              <w:end w:w="100" w:type="dxa"/>
            </w:tcMar>
            <w:shd w:fill="FFFFFF"/>
          </w:tcPr>
          <w:p>
            <w:pPr>
              <w:keepNext w:val="0"/>
              <w:widowControl/>
              <w:spacing w:before="0" w:after="0" w:line="264" w:lineRule="auto"/>
              <w:jc w:val="left"/>
            </w:pPr>
            <w:r/>
            <w:r>
              <w:rPr>
                <w:rFonts w:ascii="Arial Unicode MS" w:hAnsi="Arial Unicode MS" w:eastAsia="Arial Unicode MS"/>
                <w:b w:val="0"/>
                <w:color w:val="000000"/>
                <w:sz w:val="18"/>
              </w:rPr>
              <w:t>ER shows strong quarterly persistence</w:t>
            </w:r>
          </w:p>
        </w:tc>
      </w:tr>
      <w:tr>
        <w:tc>
          <w:tcPr>
            <w:tcW w:type="dxa" w:w="2592"/>
            <w:vAlign w:val="center"/>
            <w:tcMar>
              <w:top w:w="90" w:type="dxa"/>
              <w:start w:w="100" w:type="dxa"/>
              <w:bottom w:w="90" w:type="dxa"/>
              <w:end w:w="100" w:type="dxa"/>
            </w:tcMar>
            <w:shd w:fill="EAF2F8"/>
          </w:tcPr>
          <w:p>
            <w:pPr>
              <w:keepNext w:val="0"/>
              <w:widowControl/>
              <w:spacing w:before="0" w:after="0" w:line="264" w:lineRule="auto"/>
              <w:jc w:val="left"/>
            </w:pPr>
            <w:r/>
            <w:r>
              <w:rPr>
                <w:rFonts w:ascii="Arial Unicode MS" w:hAnsi="Arial Unicode MS" w:eastAsia="Arial Unicode MS"/>
                <w:b w:val="0"/>
                <w:color w:val="000000"/>
                <w:sz w:val="18"/>
              </w:rPr>
              <w:t>Unemployment change lag 1</w:t>
            </w:r>
          </w:p>
        </w:tc>
        <w:tc>
          <w:tcPr>
            <w:tcW w:type="dxa" w:w="1440"/>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8"/>
              </w:rPr>
              <w:t>0.0065</w:t>
            </w:r>
          </w:p>
        </w:tc>
        <w:tc>
          <w:tcPr>
            <w:tcW w:type="dxa" w:w="1296"/>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8"/>
              </w:rPr>
              <w:t>0.0468</w:t>
            </w:r>
          </w:p>
        </w:tc>
        <w:tc>
          <w:tcPr>
            <w:tcW w:type="dxa" w:w="4392"/>
            <w:vAlign w:val="center"/>
            <w:tcMar>
              <w:top w:w="90" w:type="dxa"/>
              <w:start w:w="100" w:type="dxa"/>
              <w:bottom w:w="90" w:type="dxa"/>
              <w:end w:w="100" w:type="dxa"/>
            </w:tcMar>
            <w:shd w:fill="EAF2F8"/>
          </w:tcPr>
          <w:p>
            <w:pPr>
              <w:keepNext w:val="0"/>
              <w:widowControl/>
              <w:spacing w:before="0" w:after="0" w:line="264" w:lineRule="auto"/>
              <w:jc w:val="left"/>
            </w:pPr>
            <w:r/>
            <w:r>
              <w:rPr>
                <w:rFonts w:ascii="Arial Unicode MS" w:hAnsi="Arial Unicode MS" w:eastAsia="Arial Unicode MS"/>
                <w:b w:val="0"/>
                <w:color w:val="000000"/>
                <w:sz w:val="18"/>
              </w:rPr>
              <w:t>Higher unemployment is associated with higher ER one quarter later</w:t>
            </w:r>
          </w:p>
        </w:tc>
      </w:tr>
    </w:tbl>
    <w:p>
      <w:pPr>
        <w:keepNext w:val="0"/>
        <w:widowControl/>
        <w:spacing w:before="0" w:after="60" w:line="240" w:lineRule="auto"/>
      </w:pPr>
    </w:p>
    <w:p>
      <w:r>
        <w:br w:type="page"/>
      </w:r>
    </w:p>
    <w:p>
      <w:pPr>
        <w:pStyle w:val="Heading1"/>
        <w:keepNext/>
        <w:widowControl/>
        <w:spacing w:before="220" w:after="100"/>
      </w:pPr>
      <w:r>
        <w:rPr>
          <w:rFonts w:ascii="Arial Unicode MS" w:hAnsi="Arial Unicode MS" w:eastAsia="Arial Unicode MS"/>
          <w:b/>
          <w:color w:val="000000"/>
          <w:sz w:val="28"/>
        </w:rPr>
        <w:t>Variable Screening and Model Selection</w:t>
      </w:r>
    </w:p>
    <w:p>
      <w:pPr>
        <w:keepNext w:val="0"/>
        <w:widowControl/>
        <w:spacing w:before="0" w:after="100" w:line="300" w:lineRule="auto"/>
      </w:pPr>
      <w:r>
        <w:rPr>
          <w:rFonts w:ascii="Arial Unicode MS" w:hAnsi="Arial Unicode MS" w:eastAsia="Arial Unicode MS"/>
          <w:color w:val="000000"/>
          <w:sz w:val="21"/>
        </w:rPr>
        <w:t>The constant, TARP dummy, and ER lag 1 remain fixed throughout variable screening. Each of the 22 macroeconomic candidates is transformed according to its economic type and entered with one lag. The table shows the three leading candidates with full coverage of the final estimation period. Each is close to the 5 percent significance threshold, and their in sample fit is very similar.</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66"/>
        <w:gridCol w:w="1666"/>
        <w:gridCol w:w="1666"/>
        <w:gridCol w:w="1666"/>
        <w:gridCol w:w="1666"/>
        <w:gridCol w:w="1666"/>
      </w:tblGrid>
      <w:tr>
        <w:trPr>
          <w:tblHeader w:val="true"/>
        </w:trPr>
        <w:tc>
          <w:tcPr>
            <w:tcW w:type="dxa" w:w="1944"/>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7"/>
              </w:rPr>
              <w:t>Candidate</w:t>
            </w:r>
          </w:p>
        </w:tc>
        <w:tc>
          <w:tcPr>
            <w:tcW w:type="dxa" w:w="1368"/>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7"/>
              </w:rPr>
              <w:t>Coefficient</w:t>
            </w:r>
          </w:p>
        </w:tc>
        <w:tc>
          <w:tcPr>
            <w:tcW w:type="dxa" w:w="1152"/>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7"/>
              </w:rPr>
              <w:t>p value</w:t>
            </w:r>
          </w:p>
        </w:tc>
        <w:tc>
          <w:tcPr>
            <w:tcW w:type="dxa" w:w="1944"/>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7"/>
              </w:rPr>
              <w:t>Adjusted R squared</w:t>
            </w:r>
          </w:p>
        </w:tc>
        <w:tc>
          <w:tcPr>
            <w:tcW w:type="dxa" w:w="1368"/>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7"/>
              </w:rPr>
              <w:t>BIC</w:t>
            </w:r>
          </w:p>
        </w:tc>
        <w:tc>
          <w:tcPr>
            <w:tcW w:type="dxa" w:w="1800"/>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7"/>
              </w:rPr>
              <w:t>Validation RMSE</w:t>
            </w:r>
          </w:p>
        </w:tc>
      </w:tr>
      <w:tr>
        <w:tc>
          <w:tcPr>
            <w:tcW w:type="dxa" w:w="1944"/>
            <w:vAlign w:val="center"/>
            <w:tcMar>
              <w:top w:w="90" w:type="dxa"/>
              <w:start w:w="100" w:type="dxa"/>
              <w:bottom w:w="90" w:type="dxa"/>
              <w:end w:w="100" w:type="dxa"/>
            </w:tcMar>
            <w:shd w:fill="FFFFFF"/>
          </w:tcPr>
          <w:p>
            <w:pPr>
              <w:keepNext w:val="0"/>
              <w:widowControl/>
              <w:spacing w:before="0" w:after="0" w:line="264" w:lineRule="auto"/>
              <w:jc w:val="left"/>
            </w:pPr>
            <w:r/>
            <w:r>
              <w:rPr>
                <w:rFonts w:ascii="Arial Unicode MS" w:hAnsi="Arial Unicode MS" w:eastAsia="Arial Unicode MS"/>
                <w:b w:val="0"/>
                <w:color w:val="000000"/>
                <w:sz w:val="17"/>
              </w:rPr>
              <w:t>d_gap(-1)</w:t>
            </w:r>
          </w:p>
        </w:tc>
        <w:tc>
          <w:tcPr>
            <w:tcW w:type="dxa" w:w="1368"/>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-0.00612</w:t>
            </w:r>
          </w:p>
        </w:tc>
        <w:tc>
          <w:tcPr>
            <w:tcW w:type="dxa" w:w="1152"/>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0.04521</w:t>
            </w:r>
          </w:p>
        </w:tc>
        <w:tc>
          <w:tcPr>
            <w:tcW w:type="dxa" w:w="1944"/>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0.791425</w:t>
            </w:r>
          </w:p>
        </w:tc>
        <w:tc>
          <w:tcPr>
            <w:tcW w:type="dxa" w:w="1368"/>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-322.677</w:t>
            </w:r>
          </w:p>
        </w:tc>
        <w:tc>
          <w:tcPr>
            <w:tcW w:type="dxa" w:w="1800"/>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0.02833</w:t>
            </w:r>
          </w:p>
        </w:tc>
      </w:tr>
      <w:tr>
        <w:tc>
          <w:tcPr>
            <w:tcW w:type="dxa" w:w="1944"/>
            <w:vAlign w:val="center"/>
            <w:tcMar>
              <w:top w:w="90" w:type="dxa"/>
              <w:start w:w="100" w:type="dxa"/>
              <w:bottom w:w="90" w:type="dxa"/>
              <w:end w:w="100" w:type="dxa"/>
            </w:tcMar>
            <w:shd w:fill="EAF2F8"/>
          </w:tcPr>
          <w:p>
            <w:pPr>
              <w:keepNext w:val="0"/>
              <w:widowControl/>
              <w:spacing w:before="0" w:after="0" w:line="264" w:lineRule="auto"/>
              <w:jc w:val="left"/>
            </w:pPr>
            <w:r/>
            <w:r>
              <w:rPr>
                <w:rFonts w:ascii="Arial Unicode MS" w:hAnsi="Arial Unicode MS" w:eastAsia="Arial Unicode MS"/>
                <w:b w:val="0"/>
                <w:color w:val="000000"/>
                <w:sz w:val="17"/>
              </w:rPr>
              <w:t>d_unemp(-1)</w:t>
            </w:r>
          </w:p>
        </w:tc>
        <w:tc>
          <w:tcPr>
            <w:tcW w:type="dxa" w:w="1368"/>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7"/>
              </w:rPr>
              <w:t>0.00651</w:t>
            </w:r>
          </w:p>
        </w:tc>
        <w:tc>
          <w:tcPr>
            <w:tcW w:type="dxa" w:w="1152"/>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7"/>
              </w:rPr>
              <w:t>0.04678</w:t>
            </w:r>
          </w:p>
        </w:tc>
        <w:tc>
          <w:tcPr>
            <w:tcW w:type="dxa" w:w="1944"/>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7"/>
              </w:rPr>
              <w:t>0.791154</w:t>
            </w:r>
          </w:p>
        </w:tc>
        <w:tc>
          <w:tcPr>
            <w:tcW w:type="dxa" w:w="1368"/>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7"/>
              </w:rPr>
              <w:t>-322.614</w:t>
            </w:r>
          </w:p>
        </w:tc>
        <w:tc>
          <w:tcPr>
            <w:tcW w:type="dxa" w:w="1800"/>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7"/>
              </w:rPr>
              <w:t>0.02693</w:t>
            </w:r>
          </w:p>
        </w:tc>
      </w:tr>
      <w:tr>
        <w:tc>
          <w:tcPr>
            <w:tcW w:type="dxa" w:w="1944"/>
            <w:vAlign w:val="center"/>
            <w:tcMar>
              <w:top w:w="90" w:type="dxa"/>
              <w:start w:w="100" w:type="dxa"/>
              <w:bottom w:w="90" w:type="dxa"/>
              <w:end w:w="100" w:type="dxa"/>
            </w:tcMar>
            <w:shd w:fill="FFFFFF"/>
          </w:tcPr>
          <w:p>
            <w:pPr>
              <w:keepNext w:val="0"/>
              <w:widowControl/>
              <w:spacing w:before="0" w:after="0" w:line="264" w:lineRule="auto"/>
              <w:jc w:val="left"/>
            </w:pPr>
            <w:r/>
            <w:r>
              <w:rPr>
                <w:rFonts w:ascii="Arial Unicode MS" w:hAnsi="Arial Unicode MS" w:eastAsia="Arial Unicode MS"/>
                <w:b w:val="0"/>
                <w:color w:val="000000"/>
                <w:sz w:val="17"/>
              </w:rPr>
              <w:t>dlog_gdp(-1)</w:t>
            </w:r>
          </w:p>
        </w:tc>
        <w:tc>
          <w:tcPr>
            <w:tcW w:type="dxa" w:w="1368"/>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-0.57670</w:t>
            </w:r>
          </w:p>
        </w:tc>
        <w:tc>
          <w:tcPr>
            <w:tcW w:type="dxa" w:w="1152"/>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0.04780</w:t>
            </w:r>
          </w:p>
        </w:tc>
        <w:tc>
          <w:tcPr>
            <w:tcW w:type="dxa" w:w="1944"/>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0.790985</w:t>
            </w:r>
          </w:p>
        </w:tc>
        <w:tc>
          <w:tcPr>
            <w:tcW w:type="dxa" w:w="1368"/>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-322.574</w:t>
            </w:r>
          </w:p>
        </w:tc>
        <w:tc>
          <w:tcPr>
            <w:tcW w:type="dxa" w:w="1800"/>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0.02810</w:t>
            </w:r>
          </w:p>
        </w:tc>
      </w:tr>
    </w:tbl>
    <w:p>
      <w:pPr>
        <w:keepNext w:val="0"/>
        <w:widowControl/>
        <w:spacing w:before="0" w:after="60" w:line="240" w:lineRule="auto"/>
      </w:pPr>
    </w:p>
    <w:p>
      <w:pPr>
        <w:pStyle w:val="Heading2"/>
        <w:keepNext/>
        <w:widowControl/>
        <w:spacing w:before="140" w:after="100"/>
      </w:pPr>
      <w:r>
        <w:rPr>
          <w:rFonts w:ascii="Arial Unicode MS" w:hAnsi="Arial Unicode MS" w:eastAsia="Arial Unicode MS"/>
          <w:b/>
          <w:color w:val="000000"/>
          <w:sz w:val="23"/>
        </w:rPr>
        <w:t>Selection Decision</w:t>
      </w:r>
    </w:p>
    <w:p>
      <w:pPr>
        <w:keepNext w:val="0"/>
        <w:widowControl/>
        <w:spacing w:before="0" w:after="100" w:line="300" w:lineRule="auto"/>
      </w:pPr>
      <w:r>
        <w:rPr>
          <w:rFonts w:ascii="Arial Unicode MS" w:hAnsi="Arial Unicode MS" w:eastAsia="Arial Unicode MS"/>
          <w:color w:val="000000"/>
          <w:sz w:val="21"/>
        </w:rPr>
        <w:t>A standard best candidate rule selects d_gap(-1) because it has the lowest entry p value, and a BIC rule reaches the same result. The differences among gap, unemployment, and GDP are small. Unemployment is selected for the final specification because it has the lowest validation RMSE and the clearest interpretation for scenario analysis. After unemployment is included, the lowest conditional p value among the remaining candidates is 0.2135, so no additional macro variable enters at the 5 percent threshold.</w:t>
      </w:r>
    </w:p>
    <w:p>
      <w:pPr>
        <w:keepNext w:val="0"/>
        <w:widowControl/>
        <w:spacing w:before="0" w:after="100" w:line="300" w:lineRule="auto"/>
      </w:pPr>
      <w:r>
        <w:rPr>
          <w:rFonts w:ascii="Arial Unicode MS" w:hAnsi="Arial Unicode MS" w:eastAsia="Arial Unicode MS"/>
          <w:color w:val="000000"/>
          <w:sz w:val="21"/>
        </w:rPr>
        <w:t>The selection process therefore has two stages. Statistical screening identifies a small group of comparable candidates, and the final choice uses validation performance and economic interpretation.</w:t>
      </w:r>
    </w:p>
    <w:p>
      <w:r>
        <w:br w:type="page"/>
      </w:r>
    </w:p>
    <w:p>
      <w:pPr>
        <w:keepNext w:val="0"/>
        <w:widowControl/>
        <w:spacing w:before="0" w:after="100" w:line="300" w:lineRule="auto"/>
      </w:pPr>
      <w:r>
        <w:rPr>
          <w:rFonts w:ascii="Arial Unicode MS" w:hAnsi="Arial Unicode MS" w:eastAsia="Arial Unicode MS"/>
          <w:color w:val="000000"/>
          <w:sz w:val="21"/>
        </w:rPr>
        <w:t>A common sample sensitivity screen across all 22 candidates uses 48 observations. On that sample, d_gap(-1) has a p value of 0.0435, dlog_gdp(-1) has a p value of 0.0456, and d_unemp(-1) has a p value of 0.0509. The same three variables remain the leading candidates. The common sample result is used as a sensitivity check because it omits 2011Q2, which is available for the final unemployment model.</w:t>
      </w:r>
    </w:p>
    <w:p>
      <w:pPr>
        <w:pStyle w:val="Heading2"/>
        <w:keepNext/>
        <w:widowControl/>
        <w:spacing w:before="140" w:after="100"/>
      </w:pPr>
      <w:r>
        <w:rPr>
          <w:rFonts w:ascii="Arial Unicode MS" w:hAnsi="Arial Unicode MS" w:eastAsia="Arial Unicode MS"/>
          <w:b/>
          <w:color w:val="000000"/>
          <w:sz w:val="23"/>
        </w:rPr>
        <w:t>Basis for Selecting Unemployment</w:t>
      </w:r>
    </w:p>
    <w:p>
      <w:pPr>
        <w:pStyle w:val="ListBullet"/>
        <w:keepNext w:val="0"/>
        <w:widowControl/>
        <w:spacing w:before="0" w:after="60" w:line="288" w:lineRule="auto"/>
      </w:pPr>
      <w:r>
        <w:rPr>
          <w:rFonts w:ascii="Arial Unicode MS" w:hAnsi="Arial Unicode MS" w:eastAsia="Arial Unicode MS"/>
          <w:color w:val="000000"/>
          <w:sz w:val="21"/>
        </w:rPr>
        <w:t>The variable is straightforward to explain and can be used directly in macroeconomic scenarios. The sign can also be related clearly to the economic meaning of ER.</w:t>
      </w:r>
    </w:p>
    <w:p>
      <w:pPr>
        <w:pStyle w:val="ListBullet"/>
        <w:keepNext w:val="0"/>
        <w:widowControl/>
        <w:spacing w:before="0" w:after="60" w:line="288" w:lineRule="auto"/>
      </w:pPr>
      <w:r>
        <w:rPr>
          <w:rFonts w:ascii="Arial Unicode MS" w:hAnsi="Arial Unicode MS" w:eastAsia="Arial Unicode MS"/>
          <w:color w:val="000000"/>
          <w:sz w:val="21"/>
        </w:rPr>
        <w:t>The validation error is lowest. The unemployment model has an RMSE of 0.02693, below 0.02833 for gap and 0.02810 for GDP.</w:t>
      </w:r>
    </w:p>
    <w:p>
      <w:pPr>
        <w:pStyle w:val="ListBullet"/>
        <w:keepNext w:val="0"/>
        <w:widowControl/>
        <w:spacing w:before="0" w:after="60" w:line="288" w:lineRule="auto"/>
      </w:pPr>
      <w:r>
        <w:rPr>
          <w:rFonts w:ascii="Arial Unicode MS" w:hAnsi="Arial Unicode MS" w:eastAsia="Arial Unicode MS"/>
          <w:color w:val="000000"/>
          <w:sz w:val="21"/>
        </w:rPr>
        <w:t>The model remains parsimonious. No additional candidate meets the 5 percent entry threshold after unemployment is added.</w:t>
      </w:r>
    </w:p>
    <w:p>
      <w:pPr>
        <w:keepNext w:val="0"/>
        <w:widowControl/>
        <w:spacing w:before="0" w:after="100" w:line="300" w:lineRule="auto"/>
      </w:pPr>
      <w:r>
        <w:rPr>
          <w:rFonts w:ascii="Arial Unicode MS" w:hAnsi="Arial Unicode MS" w:eastAsia="Arial Unicode MS"/>
          <w:color w:val="000000"/>
          <w:sz w:val="21"/>
        </w:rPr>
        <w:t>Because the validation period is used to compare candidate models, it should be treated as a model selection sample rather than an untouched final test set. Newly observed quarters can provide a genuinely independent performance test.</w:t>
      </w:r>
    </w:p>
    <w:p>
      <w:r>
        <w:br w:type="page"/>
      </w:r>
    </w:p>
    <w:p>
      <w:pPr>
        <w:pStyle w:val="Heading1"/>
        <w:keepNext/>
        <w:widowControl/>
        <w:spacing w:before="220" w:after="100"/>
      </w:pPr>
      <w:r>
        <w:rPr>
          <w:rFonts w:ascii="Arial Unicode MS" w:hAnsi="Arial Unicode MS" w:eastAsia="Arial Unicode MS"/>
          <w:b/>
          <w:color w:val="000000"/>
          <w:sz w:val="28"/>
        </w:rPr>
        <w:t>Validation Forecast Performance</w:t>
      </w:r>
    </w:p>
    <w:p>
      <w:pPr>
        <w:keepNext w:val="0"/>
        <w:widowControl/>
        <w:spacing w:before="0" w:after="100" w:line="300" w:lineRule="auto"/>
      </w:pPr>
      <w:r>
        <w:rPr>
          <w:rFonts w:ascii="Arial Unicode MS" w:hAnsi="Arial Unicode MS" w:eastAsia="Arial Unicode MS"/>
          <w:color w:val="000000"/>
          <w:sz w:val="21"/>
        </w:rPr>
        <w:t>Both validation forecasts use coefficients fixed over the estimation sample and the same quarterly macroeconomic inputs. The one step forecast uses the observed lagged ER in every quarter and has an RMSE of 0.02693. The recursive forecast uses the actual 2023Q3 ER only as its starting value; beginning in 2024Q1, each forecast uses the preceding forecasted ER as its lag. Its nine quarter RMSE is 0.03114. The higher recursive error reflects the persistence of earlier ER forecast errors through the autoregressive term.</w:t>
      </w:r>
    </w:p>
    <w:p>
      <w:pPr>
        <w:keepNext/>
        <w:spacing w:before="80" w:after="40"/>
        <w:jc w:val="center"/>
      </w:pPr>
      <w:r>
        <w:drawing>
          <wp:inline xmlns:a="http://schemas.openxmlformats.org/drawingml/2006/main" xmlns:pic="http://schemas.openxmlformats.org/drawingml/2006/picture">
            <wp:extent cx="5989320" cy="2844927"/>
            <wp:docPr id="2" name="Picture 2" title="Validation actuals with one step and recursive forecasts" descr="Actual ER, one step forecasts, and fully recursive forecasts from the final unemployment ARDL model from 2023Q4 to 2025Q4."/>
            <wp:cNvGraphicFramePr>
              <a:graphicFrameLocks noChangeAspect="1"/>
            </wp:cNvGraphicFramePr>
            <a:graphic>
              <a:graphicData uri="http://schemas.openxmlformats.org/drawingml/2006/picture">
                <pic:pic>
                  <pic:nvPicPr>
                    <pic:cNvPr id="0" name="er_oot_en.png"/>
                    <pic:cNvPicPr/>
                  </pic:nvPicPr>
                  <pic:blipFill>
                    <a:blip r:embed="rId11"/>
                    <a:stretch>
                      <a:fillRect/>
                    </a:stretch>
                  </pic:blipFill>
                  <pic:spPr>
                    <a:xfrm>
                      <a:off x="0" y="0"/>
                      <a:ext cx="5989320" cy="2844927"/>
                    </a:xfrm>
                    <a:prstGeom prst="rect"/>
                  </pic:spPr>
                </pic:pic>
              </a:graphicData>
            </a:graphic>
          </wp:inline>
        </w:drawing>
      </w:r>
    </w:p>
    <w:p>
      <w:pPr>
        <w:keepNext w:val="0"/>
        <w:widowControl/>
        <w:spacing w:before="0" w:after="160" w:line="252" w:lineRule="auto"/>
        <w:jc w:val="center"/>
      </w:pPr>
      <w:r>
        <w:rPr>
          <w:rFonts w:ascii="Arial Unicode MS" w:hAnsi="Arial Unicode MS" w:eastAsia="Arial Unicode MS"/>
          <w:i/>
          <w:color w:val="666666"/>
          <w:sz w:val="18"/>
        </w:rPr>
        <w:t>Figure 2  Actual values with one step and recursive forecasts from 2023Q4 to 2025Q4</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1666"/>
        <w:gridCol w:w="1666"/>
        <w:gridCol w:w="1666"/>
        <w:gridCol w:w="1666"/>
        <w:gridCol w:w="1666"/>
        <w:gridCol w:w="1666"/>
      </w:tblGrid>
      <w:tr>
        <w:trPr>
          <w:tblHeader w:val="true"/>
        </w:trPr>
        <w:tc>
          <w:tcPr>
            <w:tcW w:type="dxa" w:w="1512"/>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6"/>
              </w:rPr>
              <w:t>Quarter</w:t>
            </w:r>
          </w:p>
        </w:tc>
        <w:tc>
          <w:tcPr>
            <w:tcW w:type="dxa" w:w="1512"/>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6"/>
              </w:rPr>
              <w:t>Actual ER</w:t>
            </w:r>
          </w:p>
        </w:tc>
        <w:tc>
          <w:tcPr>
            <w:tcW w:type="dxa" w:w="1728"/>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6"/>
              </w:rPr>
              <w:t>One step</w:t>
            </w:r>
          </w:p>
        </w:tc>
        <w:tc>
          <w:tcPr>
            <w:tcW w:type="dxa" w:w="1728"/>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6"/>
              </w:rPr>
              <w:t>One step error</w:t>
            </w:r>
          </w:p>
        </w:tc>
        <w:tc>
          <w:tcPr>
            <w:tcW w:type="dxa" w:w="1728"/>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6"/>
              </w:rPr>
              <w:t>Recursive</w:t>
            </w:r>
          </w:p>
        </w:tc>
        <w:tc>
          <w:tcPr>
            <w:tcW w:type="dxa" w:w="1728"/>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6"/>
              </w:rPr>
              <w:t>Recursive error</w:t>
            </w:r>
          </w:p>
        </w:tc>
      </w:tr>
      <w:tr>
        <w:tc>
          <w:tcPr>
            <w:tcW w:type="dxa" w:w="1512"/>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2023Q4</w:t>
            </w:r>
          </w:p>
        </w:tc>
        <w:tc>
          <w:tcPr>
            <w:tcW w:type="dxa" w:w="1512"/>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0.617</w:t>
            </w:r>
          </w:p>
        </w:tc>
        <w:tc>
          <w:tcPr>
            <w:tcW w:type="dxa" w:w="1728"/>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0.5757</w:t>
            </w:r>
          </w:p>
        </w:tc>
        <w:tc>
          <w:tcPr>
            <w:tcW w:type="dxa" w:w="1728"/>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+0.0413</w:t>
            </w:r>
          </w:p>
        </w:tc>
        <w:tc>
          <w:tcPr>
            <w:tcW w:type="dxa" w:w="1728"/>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0.5757</w:t>
            </w:r>
          </w:p>
        </w:tc>
        <w:tc>
          <w:tcPr>
            <w:tcW w:type="dxa" w:w="1728"/>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+0.0413</w:t>
            </w:r>
          </w:p>
        </w:tc>
      </w:tr>
      <w:tr>
        <w:tc>
          <w:tcPr>
            <w:tcW w:type="dxa" w:w="1512"/>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6"/>
              </w:rPr>
              <w:t>2024Q1</w:t>
            </w:r>
          </w:p>
        </w:tc>
        <w:tc>
          <w:tcPr>
            <w:tcW w:type="dxa" w:w="1512"/>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6"/>
              </w:rPr>
              <w:t>0.593</w:t>
            </w:r>
          </w:p>
        </w:tc>
        <w:tc>
          <w:tcPr>
            <w:tcW w:type="dxa" w:w="1728"/>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6"/>
              </w:rPr>
              <w:t>0.6026</w:t>
            </w:r>
          </w:p>
        </w:tc>
        <w:tc>
          <w:tcPr>
            <w:tcW w:type="dxa" w:w="1728"/>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6"/>
              </w:rPr>
              <w:t>-0.0096</w:t>
            </w:r>
          </w:p>
        </w:tc>
        <w:tc>
          <w:tcPr>
            <w:tcW w:type="dxa" w:w="1728"/>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6"/>
              </w:rPr>
              <w:t>0.5731</w:t>
            </w:r>
          </w:p>
        </w:tc>
        <w:tc>
          <w:tcPr>
            <w:tcW w:type="dxa" w:w="1728"/>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6"/>
              </w:rPr>
              <w:t>+0.0199</w:t>
            </w:r>
          </w:p>
        </w:tc>
      </w:tr>
      <w:tr>
        <w:tc>
          <w:tcPr>
            <w:tcW w:type="dxa" w:w="1512"/>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2024Q2</w:t>
            </w:r>
          </w:p>
        </w:tc>
        <w:tc>
          <w:tcPr>
            <w:tcW w:type="dxa" w:w="1512"/>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0.531</w:t>
            </w:r>
          </w:p>
        </w:tc>
        <w:tc>
          <w:tcPr>
            <w:tcW w:type="dxa" w:w="1728"/>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0.5846</w:t>
            </w:r>
          </w:p>
        </w:tc>
        <w:tc>
          <w:tcPr>
            <w:tcW w:type="dxa" w:w="1728"/>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-0.0536</w:t>
            </w:r>
          </w:p>
        </w:tc>
        <w:tc>
          <w:tcPr>
            <w:tcW w:type="dxa" w:w="1728"/>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0.5703</w:t>
            </w:r>
          </w:p>
        </w:tc>
        <w:tc>
          <w:tcPr>
            <w:tcW w:type="dxa" w:w="1728"/>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-0.0393</w:t>
            </w:r>
          </w:p>
        </w:tc>
      </w:tr>
      <w:tr>
        <w:tc>
          <w:tcPr>
            <w:tcW w:type="dxa" w:w="1512"/>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6"/>
              </w:rPr>
              <w:t>2024Q3</w:t>
            </w:r>
          </w:p>
        </w:tc>
        <w:tc>
          <w:tcPr>
            <w:tcW w:type="dxa" w:w="1512"/>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6"/>
              </w:rPr>
              <w:t>0.549</w:t>
            </w:r>
          </w:p>
        </w:tc>
        <w:tc>
          <w:tcPr>
            <w:tcW w:type="dxa" w:w="1728"/>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6"/>
              </w:rPr>
              <w:t>0.5410</w:t>
            </w:r>
          </w:p>
        </w:tc>
        <w:tc>
          <w:tcPr>
            <w:tcW w:type="dxa" w:w="1728"/>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6"/>
              </w:rPr>
              <w:t>+0.0080</w:t>
            </w:r>
          </w:p>
        </w:tc>
        <w:tc>
          <w:tcPr>
            <w:tcW w:type="dxa" w:w="1728"/>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6"/>
              </w:rPr>
              <w:t>0.5690</w:t>
            </w:r>
          </w:p>
        </w:tc>
        <w:tc>
          <w:tcPr>
            <w:tcW w:type="dxa" w:w="1728"/>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6"/>
              </w:rPr>
              <w:t>-0.0200</w:t>
            </w:r>
          </w:p>
        </w:tc>
      </w:tr>
      <w:tr>
        <w:tc>
          <w:tcPr>
            <w:tcW w:type="dxa" w:w="1512"/>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2024Q4</w:t>
            </w:r>
          </w:p>
        </w:tc>
        <w:tc>
          <w:tcPr>
            <w:tcW w:type="dxa" w:w="1512"/>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0.527</w:t>
            </w:r>
          </w:p>
        </w:tc>
        <w:tc>
          <w:tcPr>
            <w:tcW w:type="dxa" w:w="1728"/>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0.5542</w:t>
            </w:r>
          </w:p>
        </w:tc>
        <w:tc>
          <w:tcPr>
            <w:tcW w:type="dxa" w:w="1728"/>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-0.0272</w:t>
            </w:r>
          </w:p>
        </w:tc>
        <w:tc>
          <w:tcPr>
            <w:tcW w:type="dxa" w:w="1728"/>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0.5685</w:t>
            </w:r>
          </w:p>
        </w:tc>
        <w:tc>
          <w:tcPr>
            <w:tcW w:type="dxa" w:w="1728"/>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-0.0415</w:t>
            </w:r>
          </w:p>
        </w:tc>
      </w:tr>
      <w:tr>
        <w:tc>
          <w:tcPr>
            <w:tcW w:type="dxa" w:w="1512"/>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6"/>
              </w:rPr>
              <w:t>2025Q1</w:t>
            </w:r>
          </w:p>
        </w:tc>
        <w:tc>
          <w:tcPr>
            <w:tcW w:type="dxa" w:w="1512"/>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6"/>
              </w:rPr>
              <w:t>0.534</w:t>
            </w:r>
          </w:p>
        </w:tc>
        <w:tc>
          <w:tcPr>
            <w:tcW w:type="dxa" w:w="1728"/>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6"/>
              </w:rPr>
              <w:t>0.5370</w:t>
            </w:r>
          </w:p>
        </w:tc>
        <w:tc>
          <w:tcPr>
            <w:tcW w:type="dxa" w:w="1728"/>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6"/>
              </w:rPr>
              <w:t>-0.0030</w:t>
            </w:r>
          </w:p>
        </w:tc>
        <w:tc>
          <w:tcPr>
            <w:tcW w:type="dxa" w:w="1728"/>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6"/>
              </w:rPr>
              <w:t>0.5667</w:t>
            </w:r>
          </w:p>
        </w:tc>
        <w:tc>
          <w:tcPr>
            <w:tcW w:type="dxa" w:w="1728"/>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6"/>
              </w:rPr>
              <w:t>-0.0327</w:t>
            </w:r>
          </w:p>
        </w:tc>
      </w:tr>
      <w:tr>
        <w:tc>
          <w:tcPr>
            <w:tcW w:type="dxa" w:w="1512"/>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2025Q2</w:t>
            </w:r>
          </w:p>
        </w:tc>
        <w:tc>
          <w:tcPr>
            <w:tcW w:type="dxa" w:w="1512"/>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0.526</w:t>
            </w:r>
          </w:p>
        </w:tc>
        <w:tc>
          <w:tcPr>
            <w:tcW w:type="dxa" w:w="1728"/>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0.5422</w:t>
            </w:r>
          </w:p>
        </w:tc>
        <w:tc>
          <w:tcPr>
            <w:tcW w:type="dxa" w:w="1728"/>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-0.0162</w:t>
            </w:r>
          </w:p>
        </w:tc>
        <w:tc>
          <w:tcPr>
            <w:tcW w:type="dxa" w:w="1728"/>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0.5655</w:t>
            </w:r>
          </w:p>
        </w:tc>
        <w:tc>
          <w:tcPr>
            <w:tcW w:type="dxa" w:w="1728"/>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-0.0395</w:t>
            </w:r>
          </w:p>
        </w:tc>
      </w:tr>
      <w:tr>
        <w:tc>
          <w:tcPr>
            <w:tcW w:type="dxa" w:w="1512"/>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6"/>
              </w:rPr>
              <w:t>2025Q3</w:t>
            </w:r>
          </w:p>
        </w:tc>
        <w:tc>
          <w:tcPr>
            <w:tcW w:type="dxa" w:w="1512"/>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6"/>
              </w:rPr>
              <w:t>0.561</w:t>
            </w:r>
          </w:p>
        </w:tc>
        <w:tc>
          <w:tcPr>
            <w:tcW w:type="dxa" w:w="1728"/>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6"/>
              </w:rPr>
              <w:t>0.5370</w:t>
            </w:r>
          </w:p>
        </w:tc>
        <w:tc>
          <w:tcPr>
            <w:tcW w:type="dxa" w:w="1728"/>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6"/>
              </w:rPr>
              <w:t>+0.0241</w:t>
            </w:r>
          </w:p>
        </w:tc>
        <w:tc>
          <w:tcPr>
            <w:tcW w:type="dxa" w:w="1728"/>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6"/>
              </w:rPr>
              <w:t>0.5652</w:t>
            </w:r>
          </w:p>
        </w:tc>
        <w:tc>
          <w:tcPr>
            <w:tcW w:type="dxa" w:w="1728"/>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6"/>
              </w:rPr>
              <w:t>-0.0042</w:t>
            </w:r>
          </w:p>
        </w:tc>
      </w:tr>
      <w:tr>
        <w:tc>
          <w:tcPr>
            <w:tcW w:type="dxa" w:w="1512"/>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2025Q4</w:t>
            </w:r>
          </w:p>
        </w:tc>
        <w:tc>
          <w:tcPr>
            <w:tcW w:type="dxa" w:w="1512"/>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0.548</w:t>
            </w:r>
          </w:p>
        </w:tc>
        <w:tc>
          <w:tcPr>
            <w:tcW w:type="dxa" w:w="1728"/>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0.5624</w:t>
            </w:r>
          </w:p>
        </w:tc>
        <w:tc>
          <w:tcPr>
            <w:tcW w:type="dxa" w:w="1728"/>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-0.0144</w:t>
            </w:r>
          </w:p>
        </w:tc>
        <w:tc>
          <w:tcPr>
            <w:tcW w:type="dxa" w:w="1728"/>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0.5653</w:t>
            </w:r>
          </w:p>
        </w:tc>
        <w:tc>
          <w:tcPr>
            <w:tcW w:type="dxa" w:w="1728"/>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6"/>
              </w:rPr>
              <w:t>-0.0173</w:t>
            </w:r>
          </w:p>
        </w:tc>
      </w:tr>
    </w:tbl>
    <w:p>
      <w:pPr>
        <w:keepNext w:val="0"/>
        <w:widowControl/>
        <w:spacing w:before="0" w:after="60" w:line="240" w:lineRule="auto"/>
      </w:pPr>
    </w:p>
    <w:p>
      <w:pPr>
        <w:pStyle w:val="Heading1"/>
        <w:keepNext/>
        <w:widowControl/>
        <w:spacing w:before="220" w:after="100"/>
      </w:pPr>
      <w:r>
        <w:rPr>
          <w:rFonts w:ascii="Arial Unicode MS" w:hAnsi="Arial Unicode MS" w:eastAsia="Arial Unicode MS"/>
          <w:b/>
          <w:color w:val="000000"/>
          <w:sz w:val="28"/>
        </w:rPr>
        <w:t>Nine Quarter Forecast Under the S4 Unemployment Scenario</w:t>
      </w:r>
    </w:p>
    <w:p>
      <w:pPr>
        <w:keepNext w:val="0"/>
        <w:widowControl/>
        <w:spacing w:before="0" w:after="100" w:line="300" w:lineRule="auto"/>
      </w:pPr>
      <w:r>
        <w:rPr>
          <w:rFonts w:ascii="Arial Unicode MS" w:hAnsi="Arial Unicode MS" w:eastAsia="Arial Unicode MS"/>
          <w:color w:val="000000"/>
          <w:sz w:val="21"/>
        </w:rPr>
        <w:t>The S4 unemployment path covers nine quarters from 2026Q1 through 2028Q1. The forecast uses the final unemployment ARDL model and starts from the actual 2025Q4 ER of 0.548. From the second forecast quarter onward, the calculation recursively uses the previous quarter's ER forecast. The TARP dummy equals 0 throughout the forecast period.</w:t>
      </w:r>
    </w:p>
    <w:p>
      <w:pPr>
        <w:keepNext w:val="0"/>
        <w:widowControl/>
        <w:spacing w:before="0" w:after="100" w:line="300" w:lineRule="auto"/>
      </w:pPr>
      <w:r>
        <w:rPr>
          <w:rFonts w:ascii="Arial Unicode MS" w:hAnsi="Arial Unicode MS" w:eastAsia="Arial Unicode MS"/>
          <w:color w:val="000000"/>
          <w:sz w:val="21"/>
        </w:rPr>
        <w:t>Because the model uses one lag of Delta Unemp, the 2026Q1 ER forecast uses the actual change in unemployment from 2025Q3 to 2025Q4, which is +0.1167 percentage points. The 2.1154 percentage point increase from 2025Q4 to the S4 value for 2026Q1 enters the model in 2026Q2. For the same reason, the S4 unemployment level for 2028Q1 first affects ER in 2028Q2 and does not affect the final forecast shown here.</w:t>
      </w:r>
    </w:p>
    <w:p>
      <w:pPr>
        <w:keepNext/>
        <w:spacing w:before="80" w:after="40"/>
        <w:jc w:val="center"/>
      </w:pPr>
      <w:r>
        <w:drawing>
          <wp:inline xmlns:a="http://schemas.openxmlformats.org/drawingml/2006/main" xmlns:pic="http://schemas.openxmlformats.org/drawingml/2006/picture">
            <wp:extent cx="5897880" cy="2801493"/>
            <wp:docPr id="3" name="Picture 3" title="S4 unemployment path" descr="The S4 quarterly unemployment rate rises from 6.565 percent in 2026Q1 to 9.456 percent in 2027Q4 and declines slightly in 2028Q1."/>
            <wp:cNvGraphicFramePr>
              <a:graphicFrameLocks noChangeAspect="1"/>
            </wp:cNvGraphicFramePr>
            <a:graphic>
              <a:graphicData uri="http://schemas.openxmlformats.org/drawingml/2006/picture">
                <pic:pic>
                  <pic:nvPicPr>
                    <pic:cNvPr id="0" name="s4_unemployment_en.png"/>
                    <pic:cNvPicPr/>
                  </pic:nvPicPr>
                  <pic:blipFill>
                    <a:blip r:embed="rId12"/>
                    <a:stretch>
                      <a:fillRect/>
                    </a:stretch>
                  </pic:blipFill>
                  <pic:spPr>
                    <a:xfrm>
                      <a:off x="0" y="0"/>
                      <a:ext cx="5897880" cy="2801493"/>
                    </a:xfrm>
                    <a:prstGeom prst="rect"/>
                  </pic:spPr>
                </pic:pic>
              </a:graphicData>
            </a:graphic>
          </wp:inline>
        </w:drawing>
      </w:r>
    </w:p>
    <w:p>
      <w:pPr>
        <w:keepNext w:val="0"/>
        <w:widowControl/>
        <w:spacing w:before="0" w:after="160" w:line="252" w:lineRule="auto"/>
        <w:jc w:val="center"/>
      </w:pPr>
      <w:r>
        <w:rPr>
          <w:rFonts w:ascii="Arial Unicode MS" w:hAnsi="Arial Unicode MS" w:eastAsia="Arial Unicode MS"/>
          <w:i/>
          <w:color w:val="666666"/>
          <w:sz w:val="18"/>
        </w:rPr>
        <w:t>Figure 3  S4 unemployment rate path from 2026Q1 to 2028Q1</w:t>
      </w:r>
    </w:p>
    <w:p>
      <w:r>
        <w:br w:type="page"/>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498"/>
        <w:gridCol w:w="2498"/>
        <w:gridCol w:w="2498"/>
        <w:gridCol w:w="2498"/>
      </w:tblGrid>
      <w:tr>
        <w:trPr>
          <w:tblHeader w:val="true"/>
        </w:trPr>
        <w:tc>
          <w:tcPr>
            <w:tcW w:type="dxa" w:w="1655"/>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7"/>
              </w:rPr>
              <w:t>Quarter</w:t>
            </w:r>
          </w:p>
        </w:tc>
        <w:tc>
          <w:tcPr>
            <w:tcW w:type="dxa" w:w="2376"/>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7"/>
              </w:rPr>
              <w:t>S4 unemployment rate</w:t>
            </w:r>
          </w:p>
        </w:tc>
        <w:tc>
          <w:tcPr>
            <w:tcW w:type="dxa" w:w="3096"/>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7"/>
              </w:rPr>
              <w:t>Lagged Delta Unemp used</w:t>
            </w:r>
          </w:p>
        </w:tc>
        <w:tc>
          <w:tcPr>
            <w:tcW w:type="dxa" w:w="2664"/>
            <w:vAlign w:val="center"/>
            <w:tcMar>
              <w:top w:w="90" w:type="dxa"/>
              <w:start w:w="100" w:type="dxa"/>
              <w:bottom w:w="90" w:type="dxa"/>
              <w:end w:w="100" w:type="dxa"/>
            </w:tcMar>
            <w:shd w:fill="1F4E78"/>
          </w:tcPr>
          <w:p>
            <w:pPr>
              <w:keepNext w:val="0"/>
              <w:widowControl/>
              <w:spacing w:before="0" w:after="0" w:line="264" w:lineRule="auto"/>
              <w:jc w:val="center"/>
            </w:pPr>
            <w:r/>
            <w:r>
              <w:rPr>
                <w:rFonts w:ascii="Arial Unicode MS" w:hAnsi="Arial Unicode MS" w:eastAsia="Arial Unicode MS"/>
                <w:b/>
                <w:color w:val="FFFFFF"/>
                <w:sz w:val="17"/>
              </w:rPr>
              <w:t>Recursive ER forecast</w:t>
            </w:r>
          </w:p>
        </w:tc>
      </w:tr>
      <w:tr>
        <w:tc>
          <w:tcPr>
            <w:tcW w:type="dxa" w:w="1655"/>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2026Q1</w:t>
            </w:r>
          </w:p>
        </w:tc>
        <w:tc>
          <w:tcPr>
            <w:tcW w:type="dxa" w:w="2376"/>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6.565%</w:t>
            </w:r>
          </w:p>
        </w:tc>
        <w:tc>
          <w:tcPr>
            <w:tcW w:type="dxa" w:w="3096"/>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+0.1167</w:t>
            </w:r>
          </w:p>
        </w:tc>
        <w:tc>
          <w:tcPr>
            <w:tcW w:type="dxa" w:w="2664"/>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0.5530</w:t>
            </w:r>
          </w:p>
        </w:tc>
      </w:tr>
      <w:tr>
        <w:tc>
          <w:tcPr>
            <w:tcW w:type="dxa" w:w="1655"/>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7"/>
              </w:rPr>
              <w:t>2026Q2</w:t>
            </w:r>
          </w:p>
        </w:tc>
        <w:tc>
          <w:tcPr>
            <w:tcW w:type="dxa" w:w="2376"/>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7"/>
              </w:rPr>
              <w:t>7.900%</w:t>
            </w:r>
          </w:p>
        </w:tc>
        <w:tc>
          <w:tcPr>
            <w:tcW w:type="dxa" w:w="3096"/>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7"/>
              </w:rPr>
              <w:t>+2.1154</w:t>
            </w:r>
          </w:p>
        </w:tc>
        <w:tc>
          <w:tcPr>
            <w:tcW w:type="dxa" w:w="2664"/>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7"/>
              </w:rPr>
              <w:t>0.5695</w:t>
            </w:r>
          </w:p>
        </w:tc>
      </w:tr>
      <w:tr>
        <w:tc>
          <w:tcPr>
            <w:tcW w:type="dxa" w:w="1655"/>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2026Q3</w:t>
            </w:r>
          </w:p>
        </w:tc>
        <w:tc>
          <w:tcPr>
            <w:tcW w:type="dxa" w:w="2376"/>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8.566%</w:t>
            </w:r>
          </w:p>
        </w:tc>
        <w:tc>
          <w:tcPr>
            <w:tcW w:type="dxa" w:w="3096"/>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+1.3345</w:t>
            </w:r>
          </w:p>
        </w:tc>
        <w:tc>
          <w:tcPr>
            <w:tcW w:type="dxa" w:w="2664"/>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0.5763</w:t>
            </w:r>
          </w:p>
        </w:tc>
      </w:tr>
      <w:tr>
        <w:tc>
          <w:tcPr>
            <w:tcW w:type="dxa" w:w="1655"/>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7"/>
              </w:rPr>
              <w:t>2026Q4</w:t>
            </w:r>
          </w:p>
        </w:tc>
        <w:tc>
          <w:tcPr>
            <w:tcW w:type="dxa" w:w="2376"/>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7"/>
              </w:rPr>
              <w:t>8.936%</w:t>
            </w:r>
          </w:p>
        </w:tc>
        <w:tc>
          <w:tcPr>
            <w:tcW w:type="dxa" w:w="3096"/>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7"/>
              </w:rPr>
              <w:t>+0.6664</w:t>
            </w:r>
          </w:p>
        </w:tc>
        <w:tc>
          <w:tcPr>
            <w:tcW w:type="dxa" w:w="2664"/>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7"/>
              </w:rPr>
              <w:t>0.5767</w:t>
            </w:r>
          </w:p>
        </w:tc>
      </w:tr>
      <w:tr>
        <w:tc>
          <w:tcPr>
            <w:tcW w:type="dxa" w:w="1655"/>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2027Q1</w:t>
            </w:r>
          </w:p>
        </w:tc>
        <w:tc>
          <w:tcPr>
            <w:tcW w:type="dxa" w:w="2376"/>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9.191%</w:t>
            </w:r>
          </w:p>
        </w:tc>
        <w:tc>
          <w:tcPr>
            <w:tcW w:type="dxa" w:w="3096"/>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+0.3700</w:t>
            </w:r>
          </w:p>
        </w:tc>
        <w:tc>
          <w:tcPr>
            <w:tcW w:type="dxa" w:w="2664"/>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0.5751</w:t>
            </w:r>
          </w:p>
        </w:tc>
      </w:tr>
      <w:tr>
        <w:tc>
          <w:tcPr>
            <w:tcW w:type="dxa" w:w="1655"/>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7"/>
              </w:rPr>
              <w:t>2027Q2</w:t>
            </w:r>
          </w:p>
        </w:tc>
        <w:tc>
          <w:tcPr>
            <w:tcW w:type="dxa" w:w="2376"/>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7"/>
              </w:rPr>
              <w:t>9.359%</w:t>
            </w:r>
          </w:p>
        </w:tc>
        <w:tc>
          <w:tcPr>
            <w:tcW w:type="dxa" w:w="3096"/>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7"/>
              </w:rPr>
              <w:t>+0.2548</w:t>
            </w:r>
          </w:p>
        </w:tc>
        <w:tc>
          <w:tcPr>
            <w:tcW w:type="dxa" w:w="2664"/>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7"/>
              </w:rPr>
              <w:t>0.5732</w:t>
            </w:r>
          </w:p>
        </w:tc>
      </w:tr>
      <w:tr>
        <w:tc>
          <w:tcPr>
            <w:tcW w:type="dxa" w:w="1655"/>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2027Q3</w:t>
            </w:r>
          </w:p>
        </w:tc>
        <w:tc>
          <w:tcPr>
            <w:tcW w:type="dxa" w:w="2376"/>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9.429%</w:t>
            </w:r>
          </w:p>
        </w:tc>
        <w:tc>
          <w:tcPr>
            <w:tcW w:type="dxa" w:w="3096"/>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+0.1674</w:t>
            </w:r>
          </w:p>
        </w:tc>
        <w:tc>
          <w:tcPr>
            <w:tcW w:type="dxa" w:w="2664"/>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0.5713</w:t>
            </w:r>
          </w:p>
        </w:tc>
      </w:tr>
      <w:tr>
        <w:tc>
          <w:tcPr>
            <w:tcW w:type="dxa" w:w="1655"/>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7"/>
              </w:rPr>
              <w:t>2027Q4</w:t>
            </w:r>
          </w:p>
        </w:tc>
        <w:tc>
          <w:tcPr>
            <w:tcW w:type="dxa" w:w="2376"/>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7"/>
              </w:rPr>
              <w:t>9.456%</w:t>
            </w:r>
          </w:p>
        </w:tc>
        <w:tc>
          <w:tcPr>
            <w:tcW w:type="dxa" w:w="3096"/>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7"/>
              </w:rPr>
              <w:t>+0.0703</w:t>
            </w:r>
          </w:p>
        </w:tc>
        <w:tc>
          <w:tcPr>
            <w:tcW w:type="dxa" w:w="2664"/>
            <w:vAlign w:val="center"/>
            <w:tcMar>
              <w:top w:w="90" w:type="dxa"/>
              <w:start w:w="100" w:type="dxa"/>
              <w:bottom w:w="90" w:type="dxa"/>
              <w:end w:w="100" w:type="dxa"/>
            </w:tcMar>
            <w:shd w:fill="EAF2F8"/>
          </w:tcPr>
          <w:p>
            <w:pPr>
              <w:keepNext w:val="0"/>
              <w:widowControl/>
              <w:spacing w:before="0" w:after="0" w:line="264" w:lineRule="auto"/>
              <w:jc w:val="center"/>
            </w:pPr>
            <w:r/>
            <w:r>
              <w:rPr>
                <w:rFonts w:ascii="Arial Unicode MS" w:hAnsi="Arial Unicode MS" w:eastAsia="Arial Unicode MS"/>
                <w:b w:val="0"/>
                <w:color w:val="000000"/>
                <w:sz w:val="17"/>
              </w:rPr>
              <w:t>0.5693</w:t>
            </w:r>
          </w:p>
        </w:tc>
      </w:tr>
      <w:tr>
        <w:tc>
          <w:tcPr>
            <w:tcW w:type="dxa" w:w="1655"/>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2028Q1</w:t>
            </w:r>
          </w:p>
        </w:tc>
        <w:tc>
          <w:tcPr>
            <w:tcW w:type="dxa" w:w="2376"/>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9.428%</w:t>
            </w:r>
          </w:p>
        </w:tc>
        <w:tc>
          <w:tcPr>
            <w:tcW w:type="dxa" w:w="3096"/>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+0.0271</w:t>
            </w:r>
          </w:p>
        </w:tc>
        <w:tc>
          <w:tcPr>
            <w:tcW w:type="dxa" w:w="2664"/>
            <w:vAlign w:val="center"/>
            <w:tcMar>
              <w:top w:w="90" w:type="dxa"/>
              <w:start w:w="100" w:type="dxa"/>
              <w:bottom w:w="90" w:type="dxa"/>
              <w:end w:w="100" w:type="dxa"/>
            </w:tcMar>
            <w:shd w:fill="FFFFFF"/>
          </w:tcPr>
          <w:p>
            <w:pPr>
              <w:keepNext w:val="0"/>
              <w:widowControl/>
              <w:spacing w:before="0" w:after="0" w:line="264" w:lineRule="auto"/>
              <w:jc w:val="center"/>
            </w:pPr>
            <w:r/>
            <w:r>
              <w:rPr>
                <w:rFonts w:ascii="Arial Unicode MS" w:hAnsi="Arial Unicode MS" w:eastAsia="Arial Unicode MS"/>
                <w:b w:val="0"/>
                <w:color w:val="000000"/>
                <w:sz w:val="17"/>
              </w:rPr>
              <w:t>0.5676</w:t>
            </w:r>
          </w:p>
        </w:tc>
      </w:tr>
    </w:tbl>
    <w:p>
      <w:pPr>
        <w:keepNext w:val="0"/>
        <w:widowControl/>
        <w:spacing w:before="0" w:after="60" w:line="240" w:lineRule="auto"/>
      </w:pPr>
    </w:p>
    <w:p>
      <w:pPr>
        <w:keepNext/>
        <w:spacing w:before="80" w:after="40"/>
        <w:jc w:val="center"/>
      </w:pPr>
      <w:r>
        <w:drawing>
          <wp:inline xmlns:a="http://schemas.openxmlformats.org/drawingml/2006/main" xmlns:pic="http://schemas.openxmlformats.org/drawingml/2006/picture">
            <wp:extent cx="5897880" cy="2801493"/>
            <wp:docPr id="4" name="Picture 4" title="ER forecast under S4" descr="Dynamic recursive ER forecasts from 2026Q1 through 2028Q1 using the final unemployment ARDL model and the S4 unemployment path."/>
            <wp:cNvGraphicFramePr>
              <a:graphicFrameLocks noChangeAspect="1"/>
            </wp:cNvGraphicFramePr>
            <a:graphic>
              <a:graphicData uri="http://schemas.openxmlformats.org/drawingml/2006/picture">
                <pic:pic>
                  <pic:nvPicPr>
                    <pic:cNvPr id="0" name="s4_er_forecast_en.png"/>
                    <pic:cNvPicPr/>
                  </pic:nvPicPr>
                  <pic:blipFill>
                    <a:blip r:embed="rId13"/>
                    <a:stretch>
                      <a:fillRect/>
                    </a:stretch>
                  </pic:blipFill>
                  <pic:spPr>
                    <a:xfrm>
                      <a:off x="0" y="0"/>
                      <a:ext cx="5897880" cy="2801493"/>
                    </a:xfrm>
                    <a:prstGeom prst="rect"/>
                  </pic:spPr>
                </pic:pic>
              </a:graphicData>
            </a:graphic>
          </wp:inline>
        </w:drawing>
      </w:r>
    </w:p>
    <w:p>
      <w:pPr>
        <w:keepNext w:val="0"/>
        <w:widowControl/>
        <w:spacing w:before="0" w:after="160" w:line="252" w:lineRule="auto"/>
        <w:jc w:val="center"/>
      </w:pPr>
      <w:r>
        <w:rPr>
          <w:rFonts w:ascii="Arial Unicode MS" w:hAnsi="Arial Unicode MS" w:eastAsia="Arial Unicode MS"/>
          <w:i/>
          <w:color w:val="666666"/>
          <w:sz w:val="18"/>
        </w:rPr>
        <w:t>Figure 4  Recursive ER forecast under the S4 scenario</w:t>
      </w:r>
    </w:p>
    <w:p>
      <w:pPr>
        <w:keepNext w:val="0"/>
        <w:widowControl/>
        <w:spacing w:before="0" w:after="100" w:line="300" w:lineRule="auto"/>
      </w:pPr>
      <w:r>
        <w:rPr>
          <w:rFonts w:ascii="Arial Unicode MS" w:hAnsi="Arial Unicode MS" w:eastAsia="Arial Unicode MS"/>
          <w:color w:val="000000"/>
          <w:sz w:val="21"/>
        </w:rPr>
        <w:t>Under S4, ER rises from 0.5530 in 2026Q1 to about 0.5767 in 2026Q4. It then declines gradually as increases in unemployment become smaller, reaching 0.5676 in 2028Q1. The average forecast across the nine quarters is 0.5702. ER is a ratio, so the simple sum of the nine quarterly forecasts does not have a direct economic total interpretation.</w:t>
      </w:r>
    </w:p>
    <w:p>
      <w:r>
        <w:br w:type="page"/>
      </w:r>
    </w:p>
    <w:p>
      <w:pPr>
        <w:pStyle w:val="Heading1"/>
        <w:keepNext/>
        <w:widowControl/>
        <w:spacing w:before="220" w:after="100"/>
      </w:pPr>
      <w:r>
        <w:rPr>
          <w:rFonts w:ascii="Arial Unicode MS" w:hAnsi="Arial Unicode MS" w:eastAsia="Arial Unicode MS"/>
          <w:b/>
          <w:color w:val="000000"/>
          <w:sz w:val="28"/>
        </w:rPr>
        <w:t>Model Limitations and Use</w:t>
      </w:r>
    </w:p>
    <w:p>
      <w:pPr>
        <w:pStyle w:val="ListBullet"/>
        <w:keepNext w:val="0"/>
        <w:widowControl/>
        <w:spacing w:before="0" w:after="60" w:line="288" w:lineRule="auto"/>
      </w:pPr>
      <w:r>
        <w:rPr>
          <w:rFonts w:ascii="Arial Unicode MS" w:hAnsi="Arial Unicode MS" w:eastAsia="Arial Unicode MS"/>
          <w:color w:val="000000"/>
          <w:sz w:val="21"/>
        </w:rPr>
        <w:t>The macroeconomic coefficient has a p value of 0.0468, close to the 5 percent threshold. Small changes in candidate variables or data vintages may change the selected variable.</w:t>
      </w:r>
    </w:p>
    <w:p>
      <w:pPr>
        <w:pStyle w:val="ListBullet"/>
        <w:keepNext w:val="0"/>
        <w:widowControl/>
        <w:spacing w:before="0" w:after="60" w:line="288" w:lineRule="auto"/>
      </w:pPr>
      <w:r>
        <w:rPr>
          <w:rFonts w:ascii="Arial Unicode MS" w:hAnsi="Arial Unicode MS" w:eastAsia="Arial Unicode MS"/>
          <w:color w:val="000000"/>
          <w:sz w:val="21"/>
        </w:rPr>
        <w:t>The estimation sample contains only 49 observations. Structural changes, the pandemic period, and macroeconomic data revisions may affect coefficient stability.</w:t>
      </w:r>
    </w:p>
    <w:p>
      <w:pPr>
        <w:pStyle w:val="ListBullet"/>
        <w:keepNext w:val="0"/>
        <w:widowControl/>
        <w:spacing w:before="0" w:after="60" w:line="288" w:lineRule="auto"/>
      </w:pPr>
      <w:r>
        <w:rPr>
          <w:rFonts w:ascii="Arial Unicode MS" w:hAnsi="Arial Unicode MS" w:eastAsia="Arial Unicode MS"/>
          <w:color w:val="000000"/>
          <w:sz w:val="21"/>
        </w:rPr>
        <w:t>The model uses one lag of the macroeconomic variable and either an observed or forecast ER lag. It supports short term conditional forecasts and does not establish a structural causal relationship.</w:t>
      </w:r>
    </w:p>
    <w:p>
      <w:pPr>
        <w:pStyle w:val="ListBullet"/>
        <w:keepNext w:val="0"/>
        <w:widowControl/>
        <w:spacing w:before="0" w:after="60" w:line="288" w:lineRule="auto"/>
      </w:pPr>
      <w:r>
        <w:rPr>
          <w:rFonts w:ascii="Arial Unicode MS" w:hAnsi="Arial Unicode MS" w:eastAsia="Arial Unicode MS"/>
          <w:color w:val="000000"/>
          <w:sz w:val="21"/>
        </w:rPr>
        <w:t>The model should be reestimated after each four new quarters, with coefficient stability, residual diagnostics, and rolling forecast errors reported at the same time.</w:t>
      </w:r>
    </w:p>
    <w:p>
      <w:pPr>
        <w:pStyle w:val="Heading1"/>
        <w:keepNext/>
        <w:widowControl/>
        <w:spacing w:before="220" w:after="100"/>
      </w:pPr>
      <w:r>
        <w:rPr>
          <w:rFonts w:ascii="Arial Unicode MS" w:hAnsi="Arial Unicode MS" w:eastAsia="Arial Unicode MS"/>
          <w:b/>
          <w:color w:val="000000"/>
          <w:sz w:val="28"/>
        </w:rPr>
        <w:t>Conclusion</w:t>
      </w:r>
    </w:p>
    <w:p>
      <w:pPr>
        <w:keepNext w:val="0"/>
        <w:widowControl/>
        <w:spacing w:before="0" w:after="100" w:line="300" w:lineRule="auto"/>
      </w:pPr>
      <w:r>
        <w:rPr>
          <w:rFonts w:ascii="Arial Unicode MS" w:hAnsi="Arial Unicode MS" w:eastAsia="Arial Unicode MS"/>
          <w:color w:val="000000"/>
          <w:sz w:val="21"/>
        </w:rPr>
        <w:t>The final unemployment ARDL model balances statistical significance, economic interpretation, and validation error. The specification is parsimonious, and unemployment is more useful than gap or GDP for communication and scenario analysis. Ongoing model governance should retain the candidate set, entry threshold, and validation results so that future updates remain consistent.</w:t>
      </w:r>
    </w:p>
    <w:p>
      <w:pPr>
        <w:pStyle w:val="Heading1"/>
        <w:keepNext/>
        <w:widowControl/>
        <w:spacing w:before="220" w:after="100"/>
      </w:pPr>
      <w:r>
        <w:rPr>
          <w:rFonts w:ascii="Arial Unicode MS" w:hAnsi="Arial Unicode MS" w:eastAsia="Arial Unicode MS"/>
          <w:b/>
          <w:color w:val="000000"/>
          <w:sz w:val="28"/>
        </w:rPr>
        <w:t>Data Sources</w:t>
      </w:r>
    </w:p>
    <w:p>
      <w:pPr>
        <w:keepNext w:val="0"/>
        <w:widowControl/>
        <w:spacing w:before="0" w:after="40" w:line="300" w:lineRule="auto"/>
      </w:pPr>
      <w:r>
        <w:rPr>
          <w:rFonts w:ascii="Arial Unicode MS" w:hAnsi="Arial Unicode MS" w:eastAsia="Arial Unicode MS"/>
          <w:color w:val="000000"/>
          <w:sz w:val="21"/>
        </w:rPr>
        <w:t>ER series  Quarterly bank efficiency ratio observations from 2011Q1 through 2025Q4.</w:t>
      </w:r>
    </w:p>
    <w:p>
      <w:pPr>
        <w:keepNext w:val="0"/>
        <w:widowControl/>
        <w:spacing w:before="0" w:after="40" w:line="300" w:lineRule="auto"/>
      </w:pPr>
      <w:r>
        <w:rPr>
          <w:rFonts w:ascii="Arial Unicode MS" w:hAnsi="Arial Unicode MS" w:eastAsia="Arial Unicode MS"/>
          <w:color w:val="000000"/>
          <w:sz w:val="21"/>
        </w:rPr>
        <w:t>Macroeconomic variables  Quarterly macroeconomic data from the August 2026 Scenario Consistent Baseline vintage.</w:t>
      </w:r>
    </w:p>
    <w:p>
      <w:pPr>
        <w:keepNext w:val="0"/>
        <w:widowControl/>
        <w:spacing w:before="0" w:after="40" w:line="300" w:lineRule="auto"/>
      </w:pPr>
      <w:r>
        <w:rPr>
          <w:rFonts w:ascii="Arial Unicode MS" w:hAnsi="Arial Unicode MS" w:eastAsia="Arial Unicode MS"/>
          <w:color w:val="000000"/>
          <w:sz w:val="21"/>
        </w:rPr>
        <w:t>S4 forecast path  Quarterly unemployment rates from 2026Q1 through 2028Q1.</w:t>
      </w:r>
    </w:p>
    <w:sectPr w:rsidR="00FC693F" w:rsidRPr="0006063C" w:rsidSect="00034616">
      <w:footerReference w:type="default" r:id="rId9"/>
      <w:pgSz w:w="12240" w:h="15840"/>
      <w:pgMar w:top="1008"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Arial Unicode MS" w:hAnsi="Arial Unicode MS" w:eastAsia="Arial Unicode MS"/>
        <w:color w:val="666666"/>
        <w:sz w:val="17"/>
      </w:rPr>
      <w:t xml:space="preserve">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300" w:lineRule="auto"/>
    </w:pPr>
    <w:rPr>
      <w:rFonts w:ascii="Arial Unicode MS" w:hAnsi="Arial Unicode MS" w:eastAsia="Arial Unicode M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Unicode MS" w:hAnsi="Arial Unicode MS" w:eastAsia="Arial Unicode M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Unicode MS" w:hAnsi="Arial Unicode MS" w:eastAsia="Arial Unicode M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Unicode MS" w:hAnsi="Arial Unicode MS" w:eastAsia="Arial Unicode M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Efficiency Ratio ARDL Model Development Report</dc:title>
  <dc:subject>Quarterly bank efficiency ratio model development, validation, and scenario forecast</dc:subject>
  <dc:creator/>
  <cp:keywords>ER, ARDL, unemployment, forward selection</cp:keywords>
  <dc:description>generated by python-docx</dc:description>
  <cp:lastModifiedBy/>
  <cp:revision>1</cp:revision>
  <dcterms:created xsi:type="dcterms:W3CDTF">2013-12-23T23:15:00Z</dcterms:created>
  <dcterms:modified xsi:type="dcterms:W3CDTF">2013-12-23T23:15:00Z</dcterms:modified>
  <cp:category/>
</cp:coreProperties>
</file>