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Commercial and Small Business Card Two Step Model Report</w:t>
      </w:r>
    </w:p>
    <w:p>
      <w:pPr>
        <w:pStyle w:val="Subtitle"/>
        <w:jc w:val="left"/>
      </w:pPr>
      <w:r>
        <w:t>Reestimated Model and 27 Month Forecast</w:t>
      </w:r>
    </w:p>
    <w:p>
      <w:pPr>
        <w:spacing w:after="220"/>
      </w:pPr>
      <w:r>
        <w:rPr>
          <w:i/>
          <w:sz w:val="19"/>
        </w:rPr>
        <w:t>In-sample: 2011-01 to 2023-09. Out-of-time: 2023-10 to 2025-12. Forecast: 2026-01 to 2028-03.</w:t>
      </w:r>
    </w:p>
    <w:p>
      <w:pPr>
        <w:pStyle w:val="Heading1"/>
        <w:keepNext/>
        <w:keepLines/>
        <w:pageBreakBefore w:val="0"/>
      </w:pPr>
      <w:r>
        <w:t>Executive Summary</w:t>
      </w:r>
    </w:p>
    <w:p>
      <w:pPr/>
      <w:r>
        <w:rPr>
          <w:i w:val="0"/>
        </w:rPr>
        <w:t>The re-estimation reproduces the documented two-step model to the displayed precision. CPI is the sole long-run variable. The scaled error-correction term is stationary in-sample, and the 27-month overlay has a monthly slope of -0.909 percentage points. The short-run model retains the adjusted error-correction term, two own lags, and corporate profits at lag 2.</w:t>
      </w:r>
    </w:p>
    <w:p>
      <w:pPr/>
      <w:r>
        <w:rPr>
          <w:i w:val="0"/>
        </w:rPr>
        <w:t>Static OOT accuracy is 8.76% MAPE with an RMSE of 231.4 source units. The documented dynamic procedure produces 16.16% MAPE and an RMSE of 380.7. The fully recursive forecast begins at 2,243.6 in 2026-01 and ends at 2,543.4 in 2028-03. The 27-month mean is 2,441.6, with a range of 2,176.9 to 2,586.9.</w:t>
      </w:r>
    </w:p>
    <w:p>
      <w:pPr/>
      <w:r>
        <w:rPr>
          <w:i w:val="0"/>
        </w:rPr>
        <w:t>The future path is conditional on the supplied CPI and corporate-profits scenarios through 2028-03. It is a point forecast. The OOT period informs both the dual-window screen and the overlay, so its reported errors are descriptive rather than an untouched validation result.</w:t>
      </w:r>
    </w:p>
    <w:p>
      <w:pPr>
        <w:pStyle w:val="Heading1"/>
        <w:keepNext/>
        <w:keepLines/>
        <w:pageBreakBefore w:val="0"/>
      </w:pPr>
      <w:r>
        <w:t>Data and Model Definition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Period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Dependent level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Commercial Card plus Small Business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2011-01 to 2025-12 actuals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Short-run target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12-month percentage change in the dependent level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2012-01 onward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Forecast inputs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CPI and CorpProfits scenario values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Through 2028-03</w:t>
            </w:r>
          </w:p>
        </w:tc>
      </w:tr>
    </w:tbl>
    <w:p>
      <w:pPr>
        <w:spacing w:before="0" w:after="20"/>
      </w:pPr>
    </w:p>
    <w:p>
      <w:pPr>
        <w:pStyle w:val="Heading1"/>
        <w:keepNext/>
        <w:keepLines/>
        <w:pageBreakBefore w:val="0"/>
      </w:pPr>
      <w:r>
        <w:t>Step One Long Run Model</w:t>
      </w:r>
    </w:p>
    <w:p>
      <w:pPr/>
      <w:r>
        <w:rPr>
          <w:i w:val="0"/>
        </w:rPr>
        <w:t>The long-run forward-selection pool excludes SBOpt and contains CPI, DPI, GDP_Wholesale, CorpProfits, and DJ_TotalMkt. CPI is selected in round 1; no remaining term passes the significance and VIF criteria once CPI is included.</w:t>
      </w:r>
    </w:p>
    <w:p>
      <w:pPr>
        <w:pStyle w:val="Formula"/>
        <w:keepLines/>
      </w:pPr>
      <w:r>
        <w:rPr>
          <w:rFonts w:ascii="Cambria Math" w:hAnsi="Cambria Math"/>
          <w:i/>
        </w:rPr>
        <w:t>Combined(t) = -3,386.96 + 19.42 × CPI(t) + u(t)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Round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Added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Adjusted R² After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p-value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1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CPI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0.927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&lt;0.001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2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-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R²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Adjusted R²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Residual ADF p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0.927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0.927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0.0091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153</w:t>
            </w:r>
          </w:p>
        </w:tc>
      </w:tr>
    </w:tbl>
    <w:p>
      <w:pPr>
        <w:spacing w:before="0" w:after="20"/>
      </w:pPr>
    </w:p>
    <w:p>
      <w:pPr>
        <w:pStyle w:val="Heading1"/>
        <w:keepNext/>
        <w:keepLines/>
        <w:pageBreakBefore/>
      </w:pPr>
      <w:r>
        <w:t>Error Correction Scaling and Overlay</w:t>
      </w:r>
    </w:p>
    <w:p>
      <w:pPr/>
      <w:r>
        <w:rPr>
          <w:i w:val="0"/>
        </w:rPr>
        <w:t>The long-run residual is scaled by the contemporaneous fitted long-run level. The overlay is fitted on the realized 27-month OOT window and removed from the scaled residual.</w:t>
      </w:r>
    </w:p>
    <w:p>
      <w:pPr>
        <w:pStyle w:val="Formula"/>
        <w:keepLines/>
      </w:pPr>
      <w:r>
        <w:rPr>
          <w:rFonts w:ascii="Cambria Math" w:hAnsi="Cambria Math"/>
          <w:i/>
        </w:rPr>
        <w:t>EC(t) = Combined(t) - fitted_lr(t)</w:t>
      </w:r>
    </w:p>
    <w:p>
      <w:pPr>
        <w:pStyle w:val="Formula"/>
        <w:keepLines/>
      </w:pPr>
      <w:r>
        <w:rPr>
          <w:rFonts w:ascii="Cambria Math" w:hAnsi="Cambria Math"/>
          <w:i/>
        </w:rPr>
        <w:t>EC_scaled(t) = 100 × EC(t) / fitted_lr(t)</w:t>
      </w:r>
    </w:p>
    <w:p>
      <w:pPr>
        <w:pStyle w:val="Formula"/>
        <w:keepLines/>
      </w:pPr>
      <w:r>
        <w:rPr>
          <w:rFonts w:ascii="Cambria Math" w:hAnsi="Cambria Math"/>
          <w:i/>
        </w:rPr>
        <w:t>EC_scaled_adj(t) = EC_scaled(t) - Overlay(t)</w:t>
      </w:r>
    </w:p>
    <w:p>
      <w:pPr>
        <w:pStyle w:val="Heading2"/>
        <w:keepNext/>
        <w:keepLines/>
        <w:pageBreakBefore w:val="0"/>
      </w:pPr>
      <w:r>
        <w:t>Stationarity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ADF p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KPSS p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Conclusion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2011-01 to 2023-09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0.019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0.100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Passes stationarity checks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  <w:pageBreakBefore w:val="0"/>
      </w:pPr>
      <w:r>
        <w:t>Overlay Estimate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62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62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a intercept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-5.593</w:t>
            </w:r>
          </w:p>
        </w:tc>
      </w:tr>
      <w:tr>
        <w:trPr>
          <w:cantSplit/>
        </w:trPr>
        <w:tc>
          <w:tcPr>
            <w:tcW w:type="dxa" w:w="62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b slope per month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-0.909</w:t>
            </w:r>
          </w:p>
        </w:tc>
      </w:tr>
      <w:tr>
        <w:trPr>
          <w:cantSplit/>
        </w:trPr>
        <w:tc>
          <w:tcPr>
            <w:tcW w:type="dxa" w:w="62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b p-value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1.32e-08</w:t>
            </w:r>
          </w:p>
        </w:tc>
      </w:tr>
      <w:tr>
        <w:trPr>
          <w:cantSplit/>
        </w:trPr>
        <w:tc>
          <w:tcPr>
            <w:tcW w:type="dxa" w:w="62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Trend fit R²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0.732</w:t>
            </w:r>
          </w:p>
        </w:tc>
      </w:tr>
      <w:tr>
        <w:trPr>
          <w:cantSplit/>
        </w:trPr>
        <w:tc>
          <w:tcPr>
            <w:tcW w:type="dxa" w:w="62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Held value after 2025-12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-30.143</w:t>
            </w:r>
          </w:p>
        </w:tc>
      </w:tr>
    </w:tbl>
    <w:p>
      <w:pPr>
        <w:spacing w:before="0" w:after="20"/>
      </w:pPr>
    </w:p>
    <w:p>
      <w:pPr>
        <w:pStyle w:val="ListBullet"/>
        <w:spacing w:after="80"/>
        <w:ind w:left="360" w:hanging="230"/>
      </w:pPr>
      <w:r>
        <w:t>Overlay(t) equals zero before 2023-10.</w:t>
      </w:r>
    </w:p>
    <w:p>
      <w:pPr>
        <w:pStyle w:val="ListBullet"/>
        <w:spacing w:after="80"/>
        <w:ind w:left="360" w:hanging="230"/>
      </w:pPr>
      <w:r>
        <w:t>Overlay(t) equals a plus b times t during 2023-10 through 2025-12, where t runs from 1 to 27.</w:t>
      </w:r>
    </w:p>
    <w:p>
      <w:pPr>
        <w:pStyle w:val="ListBullet"/>
        <w:spacing w:after="80"/>
        <w:ind w:left="360" w:hanging="230"/>
      </w:pPr>
      <w:r>
        <w:t>Overlay(t) is held at a plus b times 27 after 2025-12.</w:t>
      </w:r>
    </w:p>
    <w:p>
      <w:pPr>
        <w:pStyle w:val="Heading1"/>
        <w:keepNext/>
        <w:keepLines/>
        <w:pageBreakBefore w:val="0"/>
      </w:pPr>
      <w:r>
        <w:t>Step Two Short Run Model</w:t>
      </w:r>
    </w:p>
    <w:p>
      <w:pPr/>
      <w:r>
        <w:rPr>
          <w:i w:val="0"/>
        </w:rPr>
        <w:t>The re-run uses the eight macro terms shown in the method document and y_lag1 through y_lag12 as the forward-selection pool. The OOT partial correlations use EC_scaled_adj_lag12 as the control term.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Candidate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rho IS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 IS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rho OOT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 OOT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Unrate_lag6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-0.258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0.003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-0.475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0.012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Unrate_lag8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-0.267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0.002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-0.579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0.002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GDP_Wholesale_lag9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0.235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0.007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0.261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0.189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GDP_Wholesale_lag10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0.150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0.088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0.445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0.020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DPI_lag9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0.146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0.094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0.355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0.069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CorpProfits_lag2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0.555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&lt;0.001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0.298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0.131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CorpProfits_lag3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0.497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&lt;0.001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0.300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0.129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CorpProfits_lag10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0.415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&lt;0.001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0.270</w:t>
            </w:r>
          </w:p>
        </w:tc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0.174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  <w:pageBreakBefore/>
      </w:pPr>
      <w:r>
        <w:t>Forward Selection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Round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Added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Adjusted R² After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p-value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1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y_lag1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0.658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&lt;0.001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2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y_lag6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0.694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&lt;0.001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3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CorpProfits_lag2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0.736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&lt;0.001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4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-</w:t>
            </w:r>
          </w:p>
        </w:tc>
      </w:tr>
    </w:tbl>
    <w:p>
      <w:pPr>
        <w:spacing w:before="0" w:after="20"/>
      </w:pPr>
    </w:p>
    <w:p>
      <w:pPr>
        <w:pStyle w:val="Heading1"/>
        <w:keepNext/>
        <w:keepLines/>
        <w:pageBreakBefore w:val="0"/>
      </w:pPr>
      <w:r>
        <w:t>Final Short Run Model</w:t>
      </w:r>
    </w:p>
    <w:p>
      <w:pPr>
        <w:pStyle w:val="Formula"/>
        <w:keepLines/>
      </w:pPr>
      <w:r>
        <w:rPr>
          <w:rFonts w:ascii="Cambria Math" w:hAnsi="Cambria Math"/>
          <w:i/>
        </w:rPr>
        <w:t>y(t) = 1.783 - 0.6535 × EC_scaled_adj_lag12(t) + 0.296 × y_lag1(t) + 0.250 × y_lag6(t) + 0.422 × CorpProfits_lag2(t) + e(t)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Coefficient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p-value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VIF</w:t>
            </w:r>
          </w:p>
        </w:tc>
      </w:tr>
      <w:tr>
        <w:trPr>
          <w:cantSplit/>
        </w:trPr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const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1.7831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0.039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EC_scaled_adj_lag12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-0.6535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1.23</w:t>
            </w:r>
          </w:p>
        </w:tc>
      </w:tr>
      <w:tr>
        <w:trPr>
          <w:cantSplit/>
        </w:trPr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y_lag1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0.2964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2.25</w:t>
            </w:r>
          </w:p>
        </w:tc>
      </w:tr>
      <w:tr>
        <w:trPr>
          <w:cantSplit/>
        </w:trPr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y_lag6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0.2502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1.29</w:t>
            </w:r>
          </w:p>
        </w:tc>
      </w:tr>
      <w:tr>
        <w:trPr>
          <w:cantSplit/>
        </w:trPr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CorpProfits_lag2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0.422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2.16</w:t>
            </w:r>
          </w:p>
        </w:tc>
      </w:tr>
    </w:tbl>
    <w:p>
      <w:pPr>
        <w:spacing w:before="0" w:after="20"/>
      </w:pPr>
    </w:p>
    <w:p>
      <w:pPr/>
      <w:r>
        <w:rPr>
          <w:i w:val="0"/>
        </w:rPr>
        <w:t>The final regression uses 135 observations. R² is 0.744, adjusted R² is 0.736, and AIC is 929.5. Durbin-Watson is 2.032. Jarque-Bera p is 0.757, and the Ljung-Box lag 12 p-value is 0.318. All VIFs are below 2.3.</w:t>
      </w:r>
    </w:p>
    <w:p>
      <w:pPr>
        <w:pStyle w:val="Heading1"/>
        <w:keepNext/>
        <w:keepLines/>
        <w:pageBreakBefore w:val="0"/>
      </w:pPr>
      <w:r>
        <w:t>Model Accuracy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Evaluation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MAPE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RMSE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MAE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In-sample fitted levels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135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5.39%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105.9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82.9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OOT static with true history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8.76%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231.4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190.9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OOT dynamic with recursive y lags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16.16%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380.7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354.7</w:t>
            </w:r>
          </w:p>
        </w:tc>
      </w:tr>
    </w:tbl>
    <w:p>
      <w:pPr>
        <w:spacing w:before="0" w:after="20"/>
      </w:pPr>
    </w:p>
    <w:p>
      <w:pPr/>
      <w:r>
        <w:rPr>
          <w:i w:val="0"/>
        </w:rPr>
        <w:t>The OOT dynamic calculation recursively updates y_lag1 and y_lag6. It retains realized lag-12 levels and the documented adjusted EC term, matching the method report. The future forecast cannot use realized post-2025 target values, so it recursively updates the level, own lags, and adjusted EC.</w:t>
      </w:r>
    </w:p>
    <w:p>
      <w:pPr>
        <w:pStyle w:val="Heading1"/>
        <w:keepNext/>
        <w:keepLines/>
        <w:pageBreakBefore/>
      </w:pPr>
      <w:r>
        <w:t>Forecast Method and Summary</w:t>
      </w:r>
    </w:p>
    <w:p>
      <w:pPr>
        <w:pStyle w:val="ListBullet"/>
        <w:spacing w:after="80"/>
        <w:ind w:left="360" w:hanging="230"/>
      </w:pPr>
      <w:r>
        <w:t>Forecast origin is 2025-12, and the horizon is 2026-01 through 2028-03.</w:t>
      </w:r>
    </w:p>
    <w:p>
      <w:pPr>
        <w:pStyle w:val="ListBullet"/>
        <w:spacing w:after="80"/>
        <w:ind w:left="360" w:hanging="230"/>
      </w:pPr>
      <w:r>
        <w:t>The path uses supplied CPI and CorpProfits scenario values through 2028-03.</w:t>
      </w:r>
    </w:p>
    <w:p>
      <w:pPr>
        <w:pStyle w:val="ListBullet"/>
        <w:spacing w:after="80"/>
        <w:ind w:left="360" w:hanging="230"/>
      </w:pPr>
      <w:r>
        <w:t>The overlay is held at -30.143 after 2025-12, as specified in the method.</w:t>
      </w:r>
    </w:p>
    <w:p>
      <w:pPr>
        <w:pStyle w:val="ListBullet"/>
        <w:spacing w:after="80"/>
        <w:ind w:left="360" w:hanging="230"/>
      </w:pPr>
      <w:r>
        <w:t>Each month recursively updates the predicted level, y lags, and EC_scaled_adj for subsequent months.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Forecast Period</w:t>
            </w:r>
          </w:p>
        </w:tc>
        <w:tc>
          <w:tcPr>
            <w:tcW w:type="dxa" w:w="10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Months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Average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Minimum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Maximum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Ending Value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2026</w:t>
            </w:r>
          </w:p>
        </w:tc>
        <w:tc>
          <w:tcPr>
            <w:tcW w:type="dxa" w:w="10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2,357.4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2,176.9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2,540.6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2,176.9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2027</w:t>
            </w:r>
          </w:p>
        </w:tc>
        <w:tc>
          <w:tcPr>
            <w:tcW w:type="dxa" w:w="10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2,503.6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2,363.6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2,586.9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2,363.6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2028 Jan to Mar</w:t>
            </w:r>
          </w:p>
        </w:tc>
        <w:tc>
          <w:tcPr>
            <w:tcW w:type="dxa" w:w="10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2,530.2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2,490.3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2,557.0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2,543.4</w:t>
            </w:r>
          </w:p>
        </w:tc>
      </w:tr>
    </w:tbl>
    <w:p>
      <w:pPr>
        <w:spacing w:before="0" w:after="20"/>
      </w:pPr>
    </w:p>
    <w:p>
      <w:pPr>
        <w:pStyle w:val="Heading1"/>
        <w:keepNext/>
        <w:keepLines/>
        <w:pageBreakBefore w:val="0"/>
      </w:pPr>
      <w:r>
        <w:t>Monthly Forecast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Month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Forecast Level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Forecast YoY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244A7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Long Run Fitted Level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2026-01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2,243.6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4.4%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2,955.3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2026-02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2,288.4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9.6%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2,972.2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2026-03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2,399.3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3.6%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3,027.1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2026-04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2,360.3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6.9%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3,068.3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2026-05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2,376.9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4.7%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3,098.8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2026-06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2,368.6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7.6%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3,071.4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2026-07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2,366.9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13.5%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3,107.3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2026-08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2,540.6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12.4%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3,113.2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2026-09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2,317.3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15.6%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3,124.0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2026-10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2,518.1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9.7%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3,139.4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2026-11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2,331.9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10.2%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3,155.9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2026-12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2,176.9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15.4%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3,171.6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2027-01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2,480.0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10.5%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3,186.6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2027-02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2,484.1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8.6%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3,200.7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2027-03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2,586.9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7.8%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3,215.3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2027-04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2,542.9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7.7%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3,230.6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2027-05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2,552.3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7.4%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3,245.6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2027-06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2,541.6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7.3%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3,259.8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2027-07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2,506.5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5.9%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3,273.6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2027-08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2,569.7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1.1%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3,287.1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2027-09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2,420.7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4.5%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3,300.0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2027-10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2,557.0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1.5%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3,312.4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2027-11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2,438.4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4.6%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3,324.6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2027-12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2,363.6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8.6%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3,336.7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2028-01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2,557.0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3.1%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3,348.9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2028-02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2,490.3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0.2%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3,360.4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2028-03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2,543.4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-1.7%</w:t>
            </w:r>
          </w:p>
        </w:tc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8" w:type="dxa"/>
              <w:start w:w="100" w:type="dxa"/>
              <w:bottom w:w="48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3,372.0</w:t>
            </w:r>
          </w:p>
        </w:tc>
      </w:tr>
    </w:tbl>
    <w:p>
      <w:pPr>
        <w:spacing w:before="0" w:after="20"/>
      </w:pPr>
    </w:p>
    <w:p>
      <w:pPr>
        <w:pStyle w:val="Heading1"/>
        <w:keepNext/>
        <w:keepLines/>
        <w:pageBreakBefore/>
      </w:pPr>
      <w:r>
        <w:t>Forecast Chart</w:t>
      </w:r>
    </w:p>
    <w:p>
      <w:pPr/>
      <w:r>
        <w:rPr>
          <w:i w:val="0"/>
        </w:rPr>
        <w:t>The chart shows actual combined fees through 2025-12, the fully recursive point forecast for the next 27 months, and the CPI-based long-run fitted path under the supplied scenario.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88762"/>
            <wp:docPr id="1" name="Picture 1" descr="Actual Commercial and Small Business Card combined fees through 2025-12 and recursive forecast from 2026-01 through 2028-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2026_01_to_2028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887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140"/>
      <w:ind w:left="360"/>
    </w:pPr>
    <w:rPr>
      <w:rFonts w:ascii="Cambria Math" w:hAnsi="Cambria Math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and Small Business Card Two Step Model Report</dc:title>
  <dc:subject>Reestimated two-step ECM with 27-month recursive forecast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