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Noto Sans CJK SC"/>
          <w:lang w:eastAsia="zh-CN"/>
        </w:rPr>
        <w:t xml:space="preserve">Commercial Card 建模报告</w:t>
      </w:r>
    </w:p>
    <w:p>
      <w:pPr>
        <w:pStyle w:val="Subtitle"/>
      </w:pPr>
      <w:r>
        <w:rPr>
          <w:rFonts w:eastAsia="Noto Sans CJK SC"/>
          <w:lang w:eastAsia="zh-CN"/>
        </w:rPr>
        <w:t xml:space="preserve">阶段虚拟变量控制下的因子筛选与回归</w:t>
      </w:r>
    </w:p>
    <w:p>
      <w:pPr>
        <w:spacing w:after="24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分析运行日期：2026年9月9日    开发期截止：2023年9月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入选回归模型以合并后 Commercial Card 收入的 pct 为因变量，不含配置的虚拟变量控制项。具体模型为 pct_none_B0_W60_AR1_H0。所有符合条件的方法中，Drift 的内部验证 RMSE 最低。本次在各因变量变换下检验同一个包含首尾月份的阶段指标，始终保留原始 0/1 取值，并保留因子工程、Spearman IC 诊断、筛选及预测比较。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加入阶段虚拟变量的模型家族已参加比较，但未入选。回归部分同时展示与入选模型对应的阶段虚拟变量模型，便于查看该控制项的系数及其不确定性。</w:t>
      </w:r>
    </w:p>
    <w:p>
      <w:pPr>
        <w:pStyle w:val="Heading1"/>
      </w:pPr>
      <w:r>
        <w:rPr>
          <w:rFonts w:eastAsia="Noto Sans CJK SC"/>
          <w:lang w:eastAsia="zh-CN"/>
        </w:rPr>
        <w:t xml:space="preserve">1 分析范围与因变量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因变量为 Commercial Card（四项合计）：1 × Commercial Card + 1 × QualPay + 1 × Sponsorships + 1 × Small Business。先合并四项收入，再进行变换；金额沿用源表单位。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按照已确认的已报告收入合计口径，QualPay 中的 149 个文本短横线按对合计贡献为零处理。这一处理并不代表实际业务收入为零。其他缺失值不填补；源表已报告的负值分项予以保留。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收入样本共 180 个月，覆盖 2011年1月至2025年12月。因子筛选截止于2023年9月。回归候选样本起点为2013年1月。内部验证期为2021年1月至2023年9月；留出样本评估期为2023年10月至2025年12月。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 宏观候选变量范围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376"/>
        <w:gridCol w:w="7456"/>
      </w:tblGrid>
      <w:tr>
        <w:trPr>
          <w:cantSplit/>
          <w:tblHeader/>
        </w:trPr>
        <w:tc>
          <w:tcPr>
            <w:tcW w:type="dxa" w:w="2376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类别</w:t>
            </w:r>
          </w:p>
        </w:tc>
        <w:tc>
          <w:tcPr>
            <w:tcW w:type="dxa" w:w="7456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本次纳入的变量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每次建模必含的核心变量</w:t>
            </w:r>
          </w:p>
        </w:tc>
        <w:tc>
          <w:tcPr>
            <w:tcW w:type="dxa" w:w="7456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FLBR, FCPIU, FYPDPIQ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业务专属变量</w:t>
            </w:r>
          </w:p>
        </w:tc>
        <w:tc>
          <w:tcPr>
            <w:tcW w:type="dxa" w:w="7456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FZA, FIP, FDJMIIUSDD_WCFTDQ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 开发期因变量平稳性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592"/>
        <w:gridCol w:w="1080"/>
        <w:gridCol w:w="1944"/>
        <w:gridCol w:w="1944"/>
        <w:gridCol w:w="2272"/>
      </w:tblGrid>
      <w:tr>
        <w:trPr>
          <w:cantSplit/>
          <w:tblHeader/>
        </w:trPr>
        <w:tc>
          <w:tcPr>
            <w:tcW w:type="dxa" w:w="259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变换方法</w:t>
            </w:r>
          </w:p>
        </w:tc>
        <w:tc>
          <w:tcPr>
            <w:tcW w:type="dxa" w:w="108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月数</w:t>
            </w:r>
          </w:p>
        </w:tc>
        <w:tc>
          <w:tcPr>
            <w:tcW w:type="dxa" w:w="1944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ADF p 值</w:t>
            </w:r>
          </w:p>
        </w:tc>
        <w:tc>
          <w:tcPr>
            <w:tcW w:type="dxa" w:w="1944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KPSS p 值</w:t>
            </w:r>
          </w:p>
        </w:tc>
        <w:tc>
          <w:tcPr>
            <w:tcW w:type="dxa" w:w="227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联合筛选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level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153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0.8877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≤0.0100</w:t>
            </w:r>
          </w:p>
        </w:tc>
        <w:tc>
          <w:tcPr>
            <w:tcW w:type="dxa" w:w="227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未通过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log</w:t>
            </w:r>
          </w:p>
        </w:tc>
        <w:tc>
          <w:tcPr>
            <w:tcW w:type="dxa" w:w="1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153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0.7539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≤0.0100</w:t>
            </w:r>
          </w:p>
        </w:tc>
        <w:tc>
          <w:tcPr>
            <w:tcW w:type="dxa" w:w="227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未通过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diff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152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0.0410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≥0.1000</w:t>
            </w:r>
          </w:p>
        </w:tc>
        <w:tc>
          <w:tcPr>
            <w:tcW w:type="dxa" w:w="227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dlog</w:t>
            </w:r>
          </w:p>
        </w:tc>
        <w:tc>
          <w:tcPr>
            <w:tcW w:type="dxa" w:w="1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152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0.0272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≥0.1000</w:t>
            </w:r>
          </w:p>
        </w:tc>
        <w:tc>
          <w:tcPr>
            <w:tcW w:type="dxa" w:w="227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yoylog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141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0.1896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≥0.1000</w:t>
            </w:r>
          </w:p>
        </w:tc>
        <w:tc>
          <w:tcPr>
            <w:tcW w:type="dxa" w:w="227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未通过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pct</w:t>
            </w:r>
          </w:p>
        </w:tc>
        <w:tc>
          <w:tcPr>
            <w:tcW w:type="dxa" w:w="1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152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0.0158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≥0.1000</w:t>
            </w:r>
          </w:p>
        </w:tc>
        <w:tc>
          <w:tcPr>
            <w:tcW w:type="dxa" w:w="227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通过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候选因变量变换为 diff、dlog、yoylog、pct。核心宏观变量始终纳入特征池，但其衍生因子仍须通过筛选。因变量变换必须通过所配置的平稳性门槛，才有资格参与最终模型选择。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2 因子工程与虚拟变量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6 个宏观变量生成 90 个主效应和 180 个交互项，共 270 个因子。针对 4 种因变量变换进行筛选，共形成 1080 条因子—目标记录。宏观因子的滞后期为 1、3、6 个日历月。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3 变换定义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512"/>
        <w:gridCol w:w="5008"/>
        <w:gridCol w:w="1728"/>
        <w:gridCol w:w="1584"/>
      </w:tblGrid>
      <w:tr>
        <w:trPr>
          <w:cantSplit/>
          <w:tblHeader/>
        </w:trPr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类型</w:t>
            </w:r>
          </w:p>
        </w:tc>
        <w:tc>
          <w:tcPr>
            <w:tcW w:type="dxa" w:w="5008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第 t 月的定义</w:t>
            </w:r>
          </w:p>
        </w:tc>
        <w:tc>
          <w:tcPr>
            <w:tcW w:type="dxa" w:w="1728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因变量候选</w:t>
            </w:r>
          </w:p>
        </w:tc>
        <w:tc>
          <w:tcPr>
            <w:tcW w:type="dxa" w:w="1584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宏观变量候选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level</w:t>
            </w:r>
          </w:p>
        </w:tc>
        <w:tc>
          <w:tcPr>
            <w:tcW w:type="dxa" w:w="500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V[t]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仅用于诊断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log</w:t>
            </w:r>
          </w:p>
        </w:tc>
        <w:tc>
          <w:tcPr>
            <w:tcW w:type="dxa" w:w="5008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ln(V[t])</w:t>
            </w:r>
          </w:p>
        </w:tc>
        <w:tc>
          <w:tcPr>
            <w:tcW w:type="dxa" w:w="1728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仅用于诊断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diff</w:t>
            </w:r>
          </w:p>
        </w:tc>
        <w:tc>
          <w:tcPr>
            <w:tcW w:type="dxa" w:w="500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V[t] − V[t−1]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dlog</w:t>
            </w:r>
          </w:p>
        </w:tc>
        <w:tc>
          <w:tcPr>
            <w:tcW w:type="dxa" w:w="5008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ln(V[t]) − ln(V[t−1])</w:t>
            </w:r>
          </w:p>
        </w:tc>
        <w:tc>
          <w:tcPr>
            <w:tcW w:type="dxa" w:w="1728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yoylog</w:t>
            </w:r>
          </w:p>
        </w:tc>
        <w:tc>
          <w:tcPr>
            <w:tcW w:type="dxa" w:w="500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ln(V[t]) − ln(V[t−12])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pct</w:t>
            </w:r>
          </w:p>
        </w:tc>
        <w:tc>
          <w:tcPr>
            <w:tcW w:type="dxa" w:w="5008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V[t] / V[t−1] − 1</w:t>
            </w:r>
          </w:p>
        </w:tc>
        <w:tc>
          <w:tcPr>
            <w:tcW w:type="dxa" w:w="1728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loglevel</w:t>
            </w:r>
          </w:p>
        </w:tc>
        <w:tc>
          <w:tcPr>
            <w:tcW w:type="dxa" w:w="500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ln(V[t])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否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是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V 表示收入 Y 或宏观序列 M。宏观因子先对 V 进行变换，再滞后 k 个月。交互项由两个变换方式和滞后期相同的父因子相乘构成。允许生成交互项的变换为 diff、dlog、yoylog、pct。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pct 为月度变化比例，0.05 表示 5%；前期值为零时无定义。它适用于因变量、宏观变量及配置的交互项。百分比变化和对数变化均不乘以 100。</w:t>
      </w:r>
    </w:p>
    <w:p>
      <w:pPr>
        <w:pStyle w:val="Heading2"/>
      </w:pPr>
      <w:r>
        <w:rPr>
          <w:rFonts w:eastAsia="Noto Sans CJK SC"/>
          <w:lang w:eastAsia="zh-CN"/>
        </w:rPr>
        <w:t xml:space="preserve">虚拟变量构造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阶段虚拟变量在包含首尾月份的区间内取 1，其余月份取 0。所有 B1 模型的因变量变换均使用同一个原始 0/1 解释变量，不做差分、取对数或滞后。</w:t>
      </w:r>
    </w:p>
    <w:p>
      <w:pPr>
        <w:keepNext/>
        <w:spacing w:after="4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phase_202101_202306：2021年1月至2023年6月，包含首尾月份。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t> = 1{2021-01 ≤ t ≤ 2023-06}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232"/>
        <w:gridCol w:w="7600"/>
      </w:tblGrid>
      <w:tr>
        <w:trPr>
          <w:cantSplit/>
          <w:tblHeader/>
        </w:trPr>
        <w:tc>
          <w:tcPr>
            <w:tcW w:type="dxa" w:w="223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因变量变换</w:t>
            </w:r>
          </w:p>
        </w:tc>
        <w:tc>
          <w:tcPr>
            <w:tcW w:type="dxa" w:w="760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阶段系数的含义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level</w:t>
            </w:r>
          </w:p>
        </w:tc>
        <w:tc>
          <w:tcPr>
            <w:tcW w:type="dxa" w:w="760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阶段内的收入水平差异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log</w:t>
            </w:r>
          </w:p>
        </w:tc>
        <w:tc>
          <w:tcPr>
            <w:tcW w:type="dxa" w:w="760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阶段内的对数收入水平差异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diff</w:t>
            </w:r>
          </w:p>
        </w:tc>
        <w:tc>
          <w:tcPr>
            <w:tcW w:type="dxa" w:w="760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阶段内的月度收入增量差异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dlog</w:t>
            </w:r>
          </w:p>
        </w:tc>
        <w:tc>
          <w:tcPr>
            <w:tcW w:type="dxa" w:w="760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阶段内的月度对数增长率差异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pct</w:t>
            </w:r>
          </w:p>
        </w:tc>
        <w:tc>
          <w:tcPr>
            <w:tcW w:type="dxa" w:w="760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阶段内的月度增长率差异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yoylog</w:t>
            </w:r>
          </w:p>
        </w:tc>
        <w:tc>
          <w:tcPr>
            <w:tcW w:type="dxa" w:w="760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阶段内的同比对数增长率差异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系数解释以控制其他解释变量为前提。对于 pct，0.02 表示月度增长率相差 2 个百分点。表中列出所有支持的形式；本次启用的因变量变换见分析范围。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可估计的阶段项保留 t 统计量、p 值和置信区间。在拟合样本中没有变化的控制项会被剔除；无法获得的估计值不视为零。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B1 加入配置的虚拟变量控制项，B0 不加入。虚拟变量不参加宏观 IC 筛选；因子 IC 仍是虚拟变量调整前的边际相关性。若日期选择使用了历史观测，这些比较应作探索性分析；系数不能识别因果效应。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3 样本内 Spearman IC 分布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每幅直方图纳入全部具有有效 Spearman IC 的宏观衍生特征，按截至2023年9月各特征的有效配对样本计算。这些 IC 为未经虚拟变量调整的边际相关系数。未通过平稳性、相关性、符号稳定性或最终缩减筛选的因子仍纳入展示。每个因子与目标组合对应一个完整样本 IC，并非月度滚动 IC 的分布。</w:t>
      </w:r>
    </w:p>
    <w:p>
      <w:pPr>
        <w:spacing w:line="240" w:lineRule="auto" w:after="160"/>
        <w:jc w:val="center"/>
      </w:pPr>
      <m:oMathPara>
        <m:oMath>
          <m:r>
            <m:t>IC = corr(rank(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), rank(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t>))</m:t>
          </m:r>
        </m:oMath>
      </m:oMathPara>
    </w:p>
    <w:p>
      <w:pPr>
        <w:spacing w:line="240" w:lineRule="auto" w:after="160"/>
        <w:jc w:val="center"/>
      </w:pPr>
      <m:oMathPara>
        <m:oMath>
          <m:sSub>
            <m:e>
              <m:r>
                <m:t>t</m:t>
              </m:r>
            </m:e>
            <m:sub>
              <m:r>
                <m:t>IC</m:t>
              </m:r>
            </m:sub>
          </m:sSub>
          <m:r>
            <m:t> = IC × √((n − 2) / (1 − IC²))</m:t>
          </m:r>
        </m:oMath>
      </m:oMathPara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图 1 筛选前全部宏观衍生特征的 IC</w:t>
      </w:r>
    </w:p>
    <w:p>
      <w:pPr>
        <w:spacing w:line="240" w:lineRule="auto"/>
        <w:jc w:val="center"/>
      </w:pPr>
      <w:r>
        <w:rPr>
          <w:rFonts w:eastAsia="Noto Sans CJK SC"/>
          <w:lang w:eastAsia="zh-CN"/>
        </w:rPr>
        <w:drawing>
          <wp:inline xmlns:a="http://schemas.openxmlformats.org/drawingml/2006/main" xmlns:pic="http://schemas.openxmlformats.org/drawingml/2006/picture">
            <wp:extent cx="6126480" cy="3939204"/>
            <wp:docPr id="1" name="Picture 1" descr="全部宏观特征的样本内 Spearman IC 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4 分布汇总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224"/>
        <w:gridCol w:w="792"/>
        <w:gridCol w:w="864"/>
        <w:gridCol w:w="1224"/>
        <w:gridCol w:w="1440"/>
        <w:gridCol w:w="1512"/>
        <w:gridCol w:w="1368"/>
        <w:gridCol w:w="1408"/>
      </w:tblGrid>
      <w:tr>
        <w:trPr>
          <w:cantSplit/>
          <w:tblHeader/>
        </w:trPr>
        <w:tc>
          <w:tcPr>
            <w:tcW w:type="dxa" w:w="122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因变量变换</w:t>
            </w:r>
          </w:p>
        </w:tc>
        <w:tc>
          <w:tcPr>
            <w:tcW w:type="dxa" w:w="79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全部</w:t>
            </w:r>
          </w:p>
        </w:tc>
        <w:tc>
          <w:tcPr>
            <w:tcW w:type="dxa" w:w="86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有效</w:t>
            </w:r>
          </w:p>
        </w:tc>
        <w:tc>
          <w:tcPr>
            <w:tcW w:type="dxa" w:w="122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未定义</w:t>
            </w:r>
          </w:p>
        </w:tc>
        <w:tc>
          <w:tcPr>
            <w:tcW w:type="dxa" w:w="144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均值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中位数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最小值</w:t>
            </w:r>
          </w:p>
        </w:tc>
        <w:tc>
          <w:tcPr>
            <w:tcW w:type="dxa" w:w="140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最大值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diff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-0.0044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-0.0008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-0.1839</w:t>
            </w:r>
          </w:p>
        </w:tc>
        <w:tc>
          <w:tcPr>
            <w:tcW w:type="dxa" w:w="14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0.2120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dlog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8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22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-0.0030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0.0003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-0.1823</w:t>
            </w:r>
          </w:p>
        </w:tc>
        <w:tc>
          <w:tcPr>
            <w:tcW w:type="dxa" w:w="14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0.2077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0.0443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0.0383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-0.5511</w:t>
            </w:r>
          </w:p>
        </w:tc>
        <w:tc>
          <w:tcPr>
            <w:tcW w:type="dxa" w:w="14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0.5314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pct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8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22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-0.0030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0.0003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-0.1823</w:t>
            </w:r>
          </w:p>
        </w:tc>
        <w:tc>
          <w:tcPr>
            <w:tcW w:type="dxa" w:w="14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0.2077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横轴固定为 −1 至 1。柱高表示特征数量，并区分主效应与交互项；标记用于识别已入选（Selected）的因子。无定义的 IC 单独计数，不按零绘制。虚拟变量、AR 项与季节性控制项属于回归项，不属于此处的宏观衍生特征范围。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该分布仅用于描述：相关的变换、滞后项和交互项并非相互独立的观测。它不是零假设下的分布，也不构成多重检验校正。筛选使用可获得的历史有效配对数据，不受后续回归起始日期限制；留出期收入不参与筛选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4 各因子家族中 IC 最强的特征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本节针对每种因变量变换，在每个源宏观变量家族中识别边际相关性最强的特征。主表覆盖 6 个宏观变量家族，共 24 条家族—目标记录。排名使用截至2023年9月全部有效的筛选前 IC，包括随后未通过筛选门槛的特征。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候选特征按 Spearman IC 绝对值排序，表中保留 IC 原始正负号。数值完全相同时，优先选择有效配对观测数更多的特征；仍相同则按特征名称升序排序。IC t 统计量不参与该排名。家族排名第一仅是描述性结果，并不意味着自动纳入模型。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5 diff 下各家族的最强特征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72"/>
        <w:gridCol w:w="3312"/>
        <w:gridCol w:w="936"/>
        <w:gridCol w:w="648"/>
        <w:gridCol w:w="2160"/>
        <w:gridCol w:w="904"/>
      </w:tblGrid>
      <w:tr>
        <w:trPr>
          <w:cantSplit/>
          <w:tblHeader/>
        </w:trPr>
        <w:tc>
          <w:tcPr>
            <w:tcW w:type="dxa" w:w="187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宏观变量族</w:t>
            </w:r>
          </w:p>
        </w:tc>
        <w:tc>
          <w:tcPr>
            <w:tcW w:type="dxa" w:w="331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按 IC 选出的最优特征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IC</w:t>
            </w:r>
          </w:p>
        </w:tc>
        <w:tc>
          <w:tcPr>
            <w:tcW w:type="dxa" w:w="6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N</w:t>
            </w:r>
          </w:p>
        </w:tc>
        <w:tc>
          <w:tcPr>
            <w:tcW w:type="dxa" w:w="216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筛选状态</w:t>
            </w:r>
          </w:p>
        </w:tc>
        <w:tc>
          <w:tcPr>
            <w:tcW w:type="dxa" w:w="90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公式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FLBR_pct_L3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-0.1125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FCPIU_dlog_L6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-0.0708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0.0548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FZA_diff_L3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0.1036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FIP_diff_L6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-0.1439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FDJMIIUSDD_</w:t>
              <w:br/>
              <w:t xml:space="preserve">WCFTDQ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FDJMIIUSDD_WCFTDQ_diff_L6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-0.1083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F06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diff：90 个主效应候选特征中有 90 个有效 IC；1 个家族的第一名需要按同值规则确定。因变量平稳性门槛：通过。N 为有效配对月份数。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6 dlog 下各家族的最强特征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72"/>
        <w:gridCol w:w="3312"/>
        <w:gridCol w:w="936"/>
        <w:gridCol w:w="648"/>
        <w:gridCol w:w="2160"/>
        <w:gridCol w:w="904"/>
      </w:tblGrid>
      <w:tr>
        <w:trPr>
          <w:cantSplit/>
          <w:tblHeader/>
        </w:trPr>
        <w:tc>
          <w:tcPr>
            <w:tcW w:type="dxa" w:w="187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宏观变量族</w:t>
            </w:r>
          </w:p>
        </w:tc>
        <w:tc>
          <w:tcPr>
            <w:tcW w:type="dxa" w:w="331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按 IC 选出的最优特征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IC</w:t>
            </w:r>
          </w:p>
        </w:tc>
        <w:tc>
          <w:tcPr>
            <w:tcW w:type="dxa" w:w="6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N</w:t>
            </w:r>
          </w:p>
        </w:tc>
        <w:tc>
          <w:tcPr>
            <w:tcW w:type="dxa" w:w="216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筛选状态</w:t>
            </w:r>
          </w:p>
        </w:tc>
        <w:tc>
          <w:tcPr>
            <w:tcW w:type="dxa" w:w="90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公式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FLBR_pct_L3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-0.1001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FCPIU_dlog_L6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-0.0851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0.0620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0.0970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FIP_diff_L6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-0.1421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FDJMIIUSDD_</w:t>
              <w:br/>
              <w:t xml:space="preserve">WCFTDQ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FDJMIIUSDD_WCFTDQ_dlog_L1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0.0958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F08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dlog：90 个主效应候选特征中有 90 个有效 IC；2 个家族的第一名需要按同值规则确定。因变量平稳性门槛：通过。N 为有效配对月份数。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 xml:space="preserve">各因子家族中 IC 最强的特征 续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其余因变量变换采用相同的 IC 绝对值排名规则。筛选门槛状态及目标的入选资格与排名分别报告；公式编号对应下一页的可编辑计算公式目录。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7 yoylog 下各家族的最强特征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72"/>
        <w:gridCol w:w="3312"/>
        <w:gridCol w:w="936"/>
        <w:gridCol w:w="648"/>
        <w:gridCol w:w="2160"/>
        <w:gridCol w:w="904"/>
      </w:tblGrid>
      <w:tr>
        <w:trPr>
          <w:cantSplit/>
          <w:tblHeader/>
        </w:trPr>
        <w:tc>
          <w:tcPr>
            <w:tcW w:type="dxa" w:w="187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宏观变量族</w:t>
            </w:r>
          </w:p>
        </w:tc>
        <w:tc>
          <w:tcPr>
            <w:tcW w:type="dxa" w:w="331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按 IC 选出的最优特征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IC</w:t>
            </w:r>
          </w:p>
        </w:tc>
        <w:tc>
          <w:tcPr>
            <w:tcW w:type="dxa" w:w="6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N</w:t>
            </w:r>
          </w:p>
        </w:tc>
        <w:tc>
          <w:tcPr>
            <w:tcW w:type="dxa" w:w="216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筛选状态</w:t>
            </w:r>
          </w:p>
        </w:tc>
        <w:tc>
          <w:tcPr>
            <w:tcW w:type="dxa" w:w="90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公式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FLBR_yoylog_L6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-0.4245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FCPIU_yoylog_L6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0.3932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F10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FYPDPIQ_diff_L1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0.2445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F11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FZA_yoylog_L3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0.3139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已入选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F12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FIP_yoylog_L6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0.5249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已入选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F13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FDJMIIUSDD_</w:t>
              <w:br/>
              <w:t xml:space="preserve">WCFTDQ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FDJMIIUSDD_WCFTDQ_yoylog_L6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0.1916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F14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yoylog：90 个主效应候选特征中有 90 个有效 IC；0 个家族的第一名需要按同值规则确定。因变量平稳性门槛：未通过；对应模型保留为对照候选。N 为有效配对月份数。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8 pct 下各家族的最强特征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72"/>
        <w:gridCol w:w="3312"/>
        <w:gridCol w:w="936"/>
        <w:gridCol w:w="648"/>
        <w:gridCol w:w="2160"/>
        <w:gridCol w:w="904"/>
      </w:tblGrid>
      <w:tr>
        <w:trPr>
          <w:cantSplit/>
          <w:tblHeader/>
        </w:trPr>
        <w:tc>
          <w:tcPr>
            <w:tcW w:type="dxa" w:w="187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宏观变量族</w:t>
            </w:r>
          </w:p>
        </w:tc>
        <w:tc>
          <w:tcPr>
            <w:tcW w:type="dxa" w:w="331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按 IC 选出的最优特征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IC</w:t>
            </w:r>
          </w:p>
        </w:tc>
        <w:tc>
          <w:tcPr>
            <w:tcW w:type="dxa" w:w="6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N</w:t>
            </w:r>
          </w:p>
        </w:tc>
        <w:tc>
          <w:tcPr>
            <w:tcW w:type="dxa" w:w="216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筛选状态</w:t>
            </w:r>
          </w:p>
        </w:tc>
        <w:tc>
          <w:tcPr>
            <w:tcW w:type="dxa" w:w="90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公式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FLBR_pct_L3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-0.1001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FCPIU_dlog_L6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-0.0851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0.0620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未通过平稳性筛选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0.0970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FIP_diff_L6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-0.1421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FDJMIIUSDD_</w:t>
              <w:br/>
              <w:t xml:space="preserve">WCFTDQ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FDJMIIUSDD_WCFTDQ_dlog_L1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0.0958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未通过边际筛选</w:t>
            </w:r>
          </w:p>
        </w:tc>
        <w:tc>
          <w:tcPr>
            <w:tcW w:type="dxa" w:w="90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F08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pct：90 个主效应候选特征中有 90 个有效 IC；2 个家族的第一名需要按同值规则确定。因变量平稳性门槛：通过。N 为有效配对月份数。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交互项的变量配对单独构成因子家族。其 60 条家族—目标最强特征记录，以及完整的筛选原因、同值候选数、候选总数和公式，保存在 best_features_by_ic_per_family.csv 与详细 HTML 视图中。此处主表仅展示源宏观变量的主效应。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门槛状态沿用已有筛选结果。“未通过平稳性”表示未通过 ADF/KPSS 联合门槛；“未通过边际门槛”表示未通过其他必要的边际门槛。可选的 BH 校正未通过与后续因子缩减分别记录。“已入选”表示原有流程的筛选决定，并非根据本节排名重新作出的决定。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对于 yoylog，FYPDPIQ_diff_L1 以 IC 0.2445 位居本家族第一，但未通过平稳性检验。原有筛选保留的是 IC 0.2202 的 FYPDPIQ_dlog_L1。这说明按 IC 绝对值排名第一的特征，可能与最终用于建模的因子不同。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 xml:space="preserve">最强特征的计算公式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每个公式编号定义相应宏观特征在建模月份 t 的计算方式。先变换，再滞后；ln 为自然对数。pct 为以小数表示的变化率，因此 0.05 表示 5%。在不同目标下重复排名第一的特征使用同一公式。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公式中的 M 表示 FDJMIIUSDD_WCFTDQ。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9 各家族最强特征的去重计算公式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720"/>
        <w:gridCol w:w="3312"/>
        <w:gridCol w:w="5800"/>
      </w:tblGrid>
      <w:tr>
        <w:trPr>
          <w:cantSplit/>
          <w:tblHeader/>
        </w:trPr>
        <w:tc>
          <w:tcPr>
            <w:tcW w:type="dxa" w:w="72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编号</w:t>
            </w:r>
          </w:p>
        </w:tc>
        <w:tc>
          <w:tcPr>
            <w:tcW w:type="dxa" w:w="33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特征</w:t>
            </w:r>
          </w:p>
        </w:tc>
        <w:tc>
          <w:tcPr>
            <w:tcW w:type="dxa" w:w="580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计算公式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F01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FLBR_pct_L3</w:t>
            </w:r>
          </w:p>
        </w:tc>
        <w:tc>
          <w:tcPr>
            <w:tcW w:type="dxa" w:w="5800"/>
            <w:vAlign w:val="center"/>
            <w:shd w:fill="FFFFFF"/>
          </w:tcPr>
          <w:p>
            <w:pPr>
              <w:spacing w:before="40" w:after="40" w:line="240" w:lineRule="auto"/>
              <w:jc w:val="left"/>
            </w:pPr>
            <m:oMath>
              <m:sSub>
                <m:e>
                  <m:r>
                    <m:t>FLBR</m:t>
                  </m:r>
                </m:e>
                <m:sub>
                  <m:r>
                    <m:t>t−3</m:t>
                  </m:r>
                </m:sub>
              </m:sSub>
              <m:r>
                <m:t> / </m:t>
              </m:r>
              <m:sSub>
                <m:e>
                  <m:r>
                    <m:t>FLBR</m:t>
                  </m:r>
                </m:e>
                <m:sub>
                  <m:r>
                    <m:t>t−4</m:t>
                  </m:r>
                </m:sub>
              </m:sSub>
              <m:r>
                <m:t> − 1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F02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FCPIU_dlog_L6</w:t>
            </w:r>
          </w:p>
        </w:tc>
        <w:tc>
          <w:tcPr>
            <w:tcW w:type="dxa" w:w="5800"/>
            <w:vAlign w:val="center"/>
            <w:shd w:fill="F3F6F8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FCPIU</m:t>
                  </m:r>
                </m:e>
                <m:sub>
                  <m:r>
                    <m:t>t−6</m:t>
                  </m:r>
                </m:sub>
              </m:sSub>
              <m:r>
                <m:t>) − ln(</m:t>
              </m:r>
              <m:sSub>
                <m:e>
                  <m:r>
                    <m:t>FCPIU</m:t>
                  </m:r>
                </m:e>
                <m:sub>
                  <m:r>
                    <m:t>t−7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F03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FYPDPIQ_diff_L3</w:t>
            </w:r>
          </w:p>
        </w:tc>
        <w:tc>
          <w:tcPr>
            <w:tcW w:type="dxa" w:w="5800"/>
            <w:vAlign w:val="center"/>
            <w:shd w:fill="FFFFFF"/>
          </w:tcPr>
          <w:p>
            <w:pPr>
              <w:spacing w:before="40" w:after="40" w:line="240" w:lineRule="auto"/>
              <w:jc w:val="left"/>
            </w:pPr>
            <m:oMath>
              <m:sSub>
                <m:e>
                  <m:r>
                    <m:t>FYPDPIQ</m:t>
                  </m:r>
                </m:e>
                <m:sub>
                  <m:r>
                    <m:t>t−3</m:t>
                  </m:r>
                </m:sub>
              </m:sSub>
              <m:r>
                <m:t> − </m:t>
              </m:r>
              <m:sSub>
                <m:e>
                  <m:r>
                    <m:t>FYPDPIQ</m:t>
                  </m:r>
                </m:e>
                <m:sub>
                  <m:r>
                    <m:t>t−4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F04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FZA_diff_L3</w:t>
            </w:r>
          </w:p>
        </w:tc>
        <w:tc>
          <w:tcPr>
            <w:tcW w:type="dxa" w:w="5800"/>
            <w:vAlign w:val="center"/>
            <w:shd w:fill="F3F6F8"/>
          </w:tcPr>
          <w:p>
            <w:pPr>
              <w:spacing w:before="40" w:after="40" w:line="240" w:lineRule="auto"/>
              <w:jc w:val="left"/>
            </w:pPr>
            <m:oMath>
              <m:sSub>
                <m:e>
                  <m:r>
                    <m:t>FZA</m:t>
                  </m:r>
                </m:e>
                <m:sub>
                  <m:r>
                    <m:t>t−3</m:t>
                  </m:r>
                </m:sub>
              </m:sSub>
              <m:r>
                <m:t> − </m:t>
              </m:r>
              <m:sSub>
                <m:e>
                  <m:r>
                    <m:t>FZA</m:t>
                  </m:r>
                </m:e>
                <m:sub>
                  <m:r>
                    <m:t>t−4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F05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FIP_diff_L6</w:t>
            </w:r>
          </w:p>
        </w:tc>
        <w:tc>
          <w:tcPr>
            <w:tcW w:type="dxa" w:w="5800"/>
            <w:vAlign w:val="center"/>
            <w:shd w:fill="FFFFFF"/>
          </w:tcPr>
          <w:p>
            <w:pPr>
              <w:spacing w:before="40" w:after="40" w:line="240" w:lineRule="auto"/>
              <w:jc w:val="left"/>
            </w:pPr>
            <m:oMath>
              <m:sSub>
                <m:e>
                  <m:r>
                    <m:t>FIP</m:t>
                  </m:r>
                </m:e>
                <m:sub>
                  <m:r>
                    <m:t>t−6</m:t>
                  </m:r>
                </m:sub>
              </m:sSub>
              <m:r>
                <m:t> − </m:t>
              </m:r>
              <m:sSub>
                <m:e>
                  <m:r>
                    <m:t>FIP</m:t>
                  </m:r>
                </m:e>
                <m:sub>
                  <m:r>
                    <m:t>t−7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F06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FDJMIIUSDD_WCFTDQ_diff_L6</w:t>
            </w:r>
          </w:p>
        </w:tc>
        <w:tc>
          <w:tcPr>
            <w:tcW w:type="dxa" w:w="5800"/>
            <w:vAlign w:val="center"/>
            <w:shd w:fill="F3F6F8"/>
          </w:tcPr>
          <w:p>
            <w:pPr>
              <w:spacing w:before="40" w:after="40" w:line="240" w:lineRule="auto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t−6</m:t>
                  </m:r>
                </m:sub>
              </m:sSub>
              <m:r>
                <m:t> − </m:t>
              </m:r>
              <m:sSub>
                <m:e>
                  <m:r>
                    <m:t>M</m:t>
                  </m:r>
                </m:e>
                <m:sub>
                  <m:r>
                    <m:t>t−7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F07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FZA_yoylog_L1</w:t>
            </w:r>
          </w:p>
        </w:tc>
        <w:tc>
          <w:tcPr>
            <w:tcW w:type="dxa" w:w="5800"/>
            <w:vAlign w:val="center"/>
            <w:shd w:fill="FFFFFF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FZA</m:t>
                  </m:r>
                </m:e>
                <m:sub>
                  <m:r>
                    <m:t>t−1</m:t>
                  </m:r>
                </m:sub>
              </m:sSub>
              <m:r>
                <m:t>) − ln(</m:t>
              </m:r>
              <m:sSub>
                <m:e>
                  <m:r>
                    <m:t>FZA</m:t>
                  </m:r>
                </m:e>
                <m:sub>
                  <m:r>
                    <m:t>t−13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F08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FDJMIIUSDD_WCFTDQ_dlog_L1</w:t>
            </w:r>
          </w:p>
        </w:tc>
        <w:tc>
          <w:tcPr>
            <w:tcW w:type="dxa" w:w="5800"/>
            <w:vAlign w:val="center"/>
            <w:shd w:fill="F3F6F8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M</m:t>
                  </m:r>
                </m:e>
                <m:sub>
                  <m:r>
                    <m:t>t−1</m:t>
                  </m:r>
                </m:sub>
              </m:sSub>
              <m:r>
                <m:t>) − ln(</m:t>
              </m:r>
              <m:sSub>
                <m:e>
                  <m:r>
                    <m:t>M</m:t>
                  </m:r>
                </m:e>
                <m:sub>
                  <m:r>
                    <m:t>t−2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F09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FLBR_yoylog_L6</w:t>
            </w:r>
          </w:p>
        </w:tc>
        <w:tc>
          <w:tcPr>
            <w:tcW w:type="dxa" w:w="5800"/>
            <w:vAlign w:val="center"/>
            <w:shd w:fill="FFFFFF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FLBR</m:t>
                  </m:r>
                </m:e>
                <m:sub>
                  <m:r>
                    <m:t>t−6</m:t>
                  </m:r>
                </m:sub>
              </m:sSub>
              <m:r>
                <m:t>) − ln(</m:t>
              </m:r>
              <m:sSub>
                <m:e>
                  <m:r>
                    <m:t>FLBR</m:t>
                  </m:r>
                </m:e>
                <m:sub>
                  <m:r>
                    <m:t>t−18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F10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FCPIU_yoylog_L6</w:t>
            </w:r>
          </w:p>
        </w:tc>
        <w:tc>
          <w:tcPr>
            <w:tcW w:type="dxa" w:w="5800"/>
            <w:vAlign w:val="center"/>
            <w:shd w:fill="F3F6F8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FCPIU</m:t>
                  </m:r>
                </m:e>
                <m:sub>
                  <m:r>
                    <m:t>t−6</m:t>
                  </m:r>
                </m:sub>
              </m:sSub>
              <m:r>
                <m:t>) − ln(</m:t>
              </m:r>
              <m:sSub>
                <m:e>
                  <m:r>
                    <m:t>FCPIU</m:t>
                  </m:r>
                </m:e>
                <m:sub>
                  <m:r>
                    <m:t>t−18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F11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FYPDPIQ_diff_L1</w:t>
            </w:r>
          </w:p>
        </w:tc>
        <w:tc>
          <w:tcPr>
            <w:tcW w:type="dxa" w:w="5800"/>
            <w:vAlign w:val="center"/>
            <w:shd w:fill="FFFFFF"/>
          </w:tcPr>
          <w:p>
            <w:pPr>
              <w:spacing w:before="40" w:after="40" w:line="240" w:lineRule="auto"/>
              <w:jc w:val="left"/>
            </w:pPr>
            <m:oMath>
              <m:sSub>
                <m:e>
                  <m:r>
                    <m:t>FYPDPIQ</m:t>
                  </m:r>
                </m:e>
                <m:sub>
                  <m:r>
                    <m:t>t−1</m:t>
                  </m:r>
                </m:sub>
              </m:sSub>
              <m:r>
                <m:t> − </m:t>
              </m:r>
              <m:sSub>
                <m:e>
                  <m:r>
                    <m:t>FYPDPIQ</m:t>
                  </m:r>
                </m:e>
                <m:sub>
                  <m:r>
                    <m:t>t−2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F12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FZA_yoylog_L3</w:t>
            </w:r>
          </w:p>
        </w:tc>
        <w:tc>
          <w:tcPr>
            <w:tcW w:type="dxa" w:w="5800"/>
            <w:vAlign w:val="center"/>
            <w:shd w:fill="F3F6F8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FZA</m:t>
                  </m:r>
                </m:e>
                <m:sub>
                  <m:r>
                    <m:t>t−3</m:t>
                  </m:r>
                </m:sub>
              </m:sSub>
              <m:r>
                <m:t>) − ln(</m:t>
              </m:r>
              <m:sSub>
                <m:e>
                  <m:r>
                    <m:t>FZA</m:t>
                  </m:r>
                </m:e>
                <m:sub>
                  <m:r>
                    <m:t>t−15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F13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FIP_yoylog_L6</w:t>
            </w:r>
          </w:p>
        </w:tc>
        <w:tc>
          <w:tcPr>
            <w:tcW w:type="dxa" w:w="5800"/>
            <w:vAlign w:val="center"/>
            <w:shd w:fill="FFFFFF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FIP</m:t>
                  </m:r>
                </m:e>
                <m:sub>
                  <m:r>
                    <m:t>t−6</m:t>
                  </m:r>
                </m:sub>
              </m:sSub>
              <m:r>
                <m:t>) − ln(</m:t>
              </m:r>
              <m:sSub>
                <m:e>
                  <m:r>
                    <m:t>FIP</m:t>
                  </m:r>
                </m:e>
                <m:sub>
                  <m:r>
                    <m:t>t−18</m:t>
                  </m:r>
                </m:sub>
              </m:sSub>
              <m:r>
                <m:t>)</m:t>
              </m:r>
            </m:oMath>
          </w:p>
        </w:tc>
      </w:tr>
      <w:tr>
        <w:trPr>
          <w:cantSplit/>
        </w:trPr>
        <w:tc>
          <w:tcPr>
            <w:tcW w:type="dxa" w:w="72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F14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FDJMIIUSDD_WCFTDQ_yoylog_L6</w:t>
            </w:r>
          </w:p>
        </w:tc>
        <w:tc>
          <w:tcPr>
            <w:tcW w:type="dxa" w:w="5800"/>
            <w:vAlign w:val="center"/>
            <w:shd w:fill="F3F6F8"/>
          </w:tcPr>
          <w:p>
            <w:pPr>
              <w:spacing w:before="40" w:after="40" w:line="240" w:lineRule="auto"/>
              <w:jc w:val="left"/>
            </w:pPr>
            <m:oMath>
              <m:r>
                <m:t>ln(</m:t>
              </m:r>
              <m:sSub>
                <m:e>
                  <m:r>
                    <m:t>M</m:t>
                  </m:r>
                </m:e>
                <m:sub>
                  <m:r>
                    <m:t>t−6</m:t>
                  </m:r>
                </m:sub>
              </m:sSub>
              <m:r>
                <m:t>) − ln(</m:t>
              </m:r>
              <m:sSub>
                <m:e>
                  <m:r>
                    <m:t>M</m:t>
                  </m:r>
                </m:e>
                <m:sub>
                  <m:r>
                    <m:t>t−18</m:t>
                  </m:r>
                </m:sub>
              </m:sSub>
              <m:r>
                <m:t>)</m:t>
              </m:r>
            </m:oMath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这些公式对应筛选前 IC 绝对值最强的候选特征。下一节仍仅展示原有流程中已入选的因子；上述排名不改变该因子清单或已拟合的回归模型。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5 通过全部边际筛选门槛的因子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每个因子至少需要 36 个有效配对观测，并满足 ADF p ≤ 0.05、KPSS p ≥ 0.05，以及近似 Spearman IC t 统计量的绝对值 ≥ 2。按时间先后划分的两个半样本中，IC 必须具有相同的非零符号。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每个宏观变量家族按 IC t 绝对值保留最强的 1 个合格主效应，并最多保留 2 个合格交互项。交互项的两个具体母因子必须均已入选。HAC 使用 12 阶滞后。BH 校正在每个目标内对全部有效 HAC p 值统一进行；本次未启用 BH 剔除阈值。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10 各因变量变换的筛选漏斗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440"/>
        <w:gridCol w:w="1512"/>
        <w:gridCol w:w="1800"/>
        <w:gridCol w:w="1656"/>
        <w:gridCol w:w="1656"/>
        <w:gridCol w:w="1768"/>
      </w:tblGrid>
      <w:tr>
        <w:trPr>
          <w:cantSplit/>
          <w:tblHeader/>
        </w:trPr>
        <w:tc>
          <w:tcPr>
            <w:tcW w:type="dxa" w:w="144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因变量变换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候选数</w:t>
            </w:r>
          </w:p>
        </w:tc>
        <w:tc>
          <w:tcPr>
            <w:tcW w:type="dxa" w:w="180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通过平稳性</w:t>
            </w:r>
          </w:p>
        </w:tc>
        <w:tc>
          <w:tcPr>
            <w:tcW w:type="dxa" w:w="1656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再通过 IC</w:t>
            </w:r>
          </w:p>
        </w:tc>
        <w:tc>
          <w:tcPr>
            <w:tcW w:type="dxa" w:w="1656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通过全部严格筛选</w:t>
            </w:r>
          </w:p>
        </w:tc>
        <w:tc>
          <w:tcPr>
            <w:tcW w:type="dxa" w:w="1768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已入选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diff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270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219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9</w:t>
            </w:r>
          </w:p>
        </w:tc>
        <w:tc>
          <w:tcPr>
            <w:tcW w:type="dxa" w:w="1768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dlog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270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219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9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9</w:t>
            </w:r>
          </w:p>
        </w:tc>
        <w:tc>
          <w:tcPr>
            <w:tcW w:type="dxa" w:w="1768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yoylog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270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214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56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48</w:t>
            </w:r>
          </w:p>
        </w:tc>
        <w:tc>
          <w:tcPr>
            <w:tcW w:type="dxa" w:w="1768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pct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270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219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9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9</w:t>
            </w:r>
          </w:p>
        </w:tc>
        <w:tc>
          <w:tcPr>
            <w:tcW w:type="dxa" w:w="1768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下表仅展示“筛选原因”为“已入选”的记录。入选数量按目标分别统计；同一因子可能在多个因变量变换下入选。宏观因子通过筛选，不能使未通过平稳性门槛的因变量变换获得入选资格。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11 入选因子的统计量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008"/>
        <w:gridCol w:w="3499"/>
        <w:gridCol w:w="648"/>
        <w:gridCol w:w="979"/>
        <w:gridCol w:w="979"/>
        <w:gridCol w:w="1238"/>
        <w:gridCol w:w="1480"/>
      </w:tblGrid>
      <w:tr>
        <w:trPr>
          <w:cantSplit/>
          <w:tblHeader/>
        </w:trPr>
        <w:tc>
          <w:tcPr>
            <w:tcW w:type="dxa" w:w="100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因变量变换</w:t>
            </w:r>
          </w:p>
        </w:tc>
        <w:tc>
          <w:tcPr>
            <w:tcW w:type="dxa" w:w="3499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入选因子</w:t>
            </w:r>
          </w:p>
        </w:tc>
        <w:tc>
          <w:tcPr>
            <w:tcW w:type="dxa" w:w="6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N</w:t>
            </w:r>
          </w:p>
        </w:tc>
        <w:tc>
          <w:tcPr>
            <w:tcW w:type="dxa" w:w="979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IC</w:t>
            </w:r>
          </w:p>
        </w:tc>
        <w:tc>
          <w:tcPr>
            <w:tcW w:type="dxa" w:w="979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t 值</w:t>
            </w:r>
          </w:p>
        </w:tc>
        <w:tc>
          <w:tcPr>
            <w:tcW w:type="dxa" w:w="123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HAC BH q 值</w:t>
            </w:r>
          </w:p>
        </w:tc>
        <w:tc>
          <w:tcPr>
            <w:tcW w:type="dxa" w:w="148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因变量筛选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3499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FYPDPIQ_dlog_L1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0.2202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2.6613</w:t>
            </w:r>
          </w:p>
        </w:tc>
        <w:tc>
          <w:tcPr>
            <w:tcW w:type="dxa" w:w="123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0.0149</w:t>
            </w:r>
          </w:p>
        </w:tc>
        <w:tc>
          <w:tcPr>
            <w:tcW w:type="dxa" w:w="148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备选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3499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FZA_yoylog_L3</w:t>
            </w:r>
          </w:p>
        </w:tc>
        <w:tc>
          <w:tcPr>
            <w:tcW w:type="dxa" w:w="6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979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0.3139</w:t>
            </w:r>
          </w:p>
        </w:tc>
        <w:tc>
          <w:tcPr>
            <w:tcW w:type="dxa" w:w="979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3.8983</w:t>
            </w:r>
          </w:p>
        </w:tc>
        <w:tc>
          <w:tcPr>
            <w:tcW w:type="dxa" w:w="123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0.0891</w:t>
            </w:r>
          </w:p>
        </w:tc>
        <w:tc>
          <w:tcPr>
            <w:tcW w:type="dxa" w:w="148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备选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3499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FIP_yoylog_L6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0.5249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7.2705</w:t>
            </w:r>
          </w:p>
        </w:tc>
        <w:tc>
          <w:tcPr>
            <w:tcW w:type="dxa" w:w="123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0.0003</w:t>
            </w:r>
          </w:p>
        </w:tc>
        <w:tc>
          <w:tcPr>
            <w:tcW w:type="dxa" w:w="148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备选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pStyle w:val="Heading2"/>
      </w:pPr>
      <w:r>
        <w:rPr>
          <w:rFonts w:eastAsia="Noto Sans CJK SC"/>
          <w:lang w:eastAsia="zh-CN"/>
        </w:rPr>
        <w:t xml:space="preserve">入选因子的计算公式</w:t>
      </w:r>
    </w:p>
    <w:p>
      <w:pPr>
        <w:keepNext/>
        <w:spacing w:after="40"/>
      </w:pPr>
      <w:r>
        <w:rPr>
          <w:rFonts w:ascii="Arial" w:hAnsi="Arial" w:eastAsia="Noto Sans CJK SC"/>
          <w:color w:val="000000"/>
          <w:sz w:val="18"/>
          <w:lang w:eastAsia="zh-CN"/>
        </w:rPr>
        <w:t>FYPDPIQ_dlog_L1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 = </m:t>
          </m:r>
          <m:r>
            <m:t>ln(</m:t>
          </m:r>
          <m:sSub>
            <m:e>
              <m:r>
                <m:t>FYPDPIQ</m:t>
              </m:r>
            </m:e>
            <m:sub>
              <m:r>
                <m:t>t−1</m:t>
              </m:r>
            </m:sub>
          </m:sSub>
          <m:r>
            <m:t>) − ln(</m:t>
          </m:r>
          <m:sSub>
            <m:e>
              <m:r>
                <m:t>FYPDPIQ</m:t>
              </m:r>
            </m:e>
            <m:sub>
              <m:r>
                <m:t>t−2</m:t>
              </m:r>
            </m:sub>
          </m:sSub>
          <m:r>
            <m:t>)</m:t>
          </m:r>
        </m:oMath>
      </m:oMathPara>
    </w:p>
    <w:p>
      <w:pPr>
        <w:keepNext/>
        <w:spacing w:after="40"/>
      </w:pPr>
      <w:r>
        <w:rPr>
          <w:rFonts w:ascii="Arial" w:hAnsi="Arial" w:eastAsia="Noto Sans CJK SC"/>
          <w:color w:val="000000"/>
          <w:sz w:val="18"/>
          <w:lang w:eastAsia="zh-CN"/>
        </w:rPr>
        <w:t>FZA_yoylog_L3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 = </m:t>
          </m:r>
          <m:r>
            <m:t>ln(</m:t>
          </m:r>
          <m:sSub>
            <m:e>
              <m:r>
                <m:t>FZA</m:t>
              </m:r>
            </m:e>
            <m:sub>
              <m:r>
                <m:t>t−3</m:t>
              </m:r>
            </m:sub>
          </m:sSub>
          <m:r>
            <m:t>) − ln(</m:t>
          </m:r>
          <m:sSub>
            <m:e>
              <m:r>
                <m:t>FZA</m:t>
              </m:r>
            </m:e>
            <m:sub>
              <m:r>
                <m:t>t−15</m:t>
              </m:r>
            </m:sub>
          </m:sSub>
          <m:r>
            <m:t>)</m:t>
          </m:r>
        </m:oMath>
      </m:oMathPara>
    </w:p>
    <w:p>
      <w:pPr>
        <w:keepNext/>
        <w:spacing w:after="40"/>
      </w:pPr>
      <w:r>
        <w:rPr>
          <w:rFonts w:ascii="Arial" w:hAnsi="Arial" w:eastAsia="Noto Sans CJK SC"/>
          <w:color w:val="000000"/>
          <w:sz w:val="18"/>
          <w:lang w:eastAsia="zh-CN"/>
        </w:rPr>
        <w:t>FIP_yoylog_L6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 = </m:t>
          </m:r>
          <m:r>
            <m:t>ln(</m:t>
          </m:r>
          <m:sSub>
            <m:e>
              <m:r>
                <m:t>FIP</m:t>
              </m:r>
            </m:e>
            <m:sub>
              <m:r>
                <m:t>t−6</m:t>
              </m:r>
            </m:sub>
          </m:sSub>
          <m:r>
            <m:t>) − ln(</m:t>
          </m:r>
          <m:sSub>
            <m:e>
              <m:r>
                <m:t>FIP</m:t>
              </m:r>
            </m:e>
            <m:sub>
              <m:r>
                <m:t>t−18</m:t>
              </m:r>
            </m:sub>
          </m:sSub>
          <m:r>
            <m:t>)</m:t>
          </m:r>
        </m:oMath>
      </m:oMathPara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12 入选因子的平稳性与符号稳定性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008"/>
        <w:gridCol w:w="3499"/>
        <w:gridCol w:w="1296"/>
        <w:gridCol w:w="1296"/>
        <w:gridCol w:w="1368"/>
        <w:gridCol w:w="1365"/>
      </w:tblGrid>
      <w:tr>
        <w:trPr>
          <w:cantSplit/>
          <w:tblHeader/>
        </w:trPr>
        <w:tc>
          <w:tcPr>
            <w:tcW w:type="dxa" w:w="100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因变量变换</w:t>
            </w:r>
          </w:p>
        </w:tc>
        <w:tc>
          <w:tcPr>
            <w:tcW w:type="dxa" w:w="3499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入选因子</w:t>
            </w:r>
          </w:p>
        </w:tc>
        <w:tc>
          <w:tcPr>
            <w:tcW w:type="dxa" w:w="129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ADF p 值</w:t>
            </w:r>
          </w:p>
        </w:tc>
        <w:tc>
          <w:tcPr>
            <w:tcW w:type="dxa" w:w="129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KPSS p 值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前半期 IC</w:t>
            </w:r>
          </w:p>
        </w:tc>
        <w:tc>
          <w:tcPr>
            <w:tcW w:type="dxa" w:w="1365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后半期 IC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3499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FYPDPIQ_dlog_L1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0.0059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≥0.1000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0.2429</w:t>
            </w:r>
          </w:p>
        </w:tc>
        <w:tc>
          <w:tcPr>
            <w:tcW w:type="dxa" w:w="136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0.1362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3499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FZA_yoylog_L3</w:t>
            </w:r>
          </w:p>
        </w:tc>
        <w:tc>
          <w:tcPr>
            <w:tcW w:type="dxa" w:w="129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0.0469</w:t>
            </w:r>
          </w:p>
        </w:tc>
        <w:tc>
          <w:tcPr>
            <w:tcW w:type="dxa" w:w="129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≥0.1000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0.4283</w:t>
            </w:r>
          </w:p>
        </w:tc>
        <w:tc>
          <w:tcPr>
            <w:tcW w:type="dxa" w:w="136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0.2520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3499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FIP_yoylog_L6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0.0389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≥0.1000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0.4616</w:t>
            </w:r>
          </w:p>
        </w:tc>
        <w:tc>
          <w:tcPr>
            <w:tcW w:type="dxa" w:w="136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0.5597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t 为建模月份，t−k 表示此前 k 个日历月。KPSS 的边界值表示 p 值的界限。近似 IC t 统计量假设配对观测相互独立；基于秩的 HAC 推断可诊断序列依赖的影响，但不能消除非平稳性或证明因果关系。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6 模型选择与预测验证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OLS 候选模型采用 AR 滞后集合 {1}、{1, 2, 3}、{1, 12}，傅里叶谐波分别设为 0、2、5 对，估计窗口为扩展窗口或 60 个月。BIC 在相同目标与窗口内，使用匹配的样本日期比较模型规格。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在每个内部验证分块的起点重新执行因子筛选与模型规格选择，并逐月重新估计系数。最终模型族按 33 个验证月的原始金额尺度 RMSE 选择，且须覆盖全部预测月份并通过所配置的目标门槛。在留出期评估前，模型族与因子清单固定。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13 2021年1月至2023年9月的内部验证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888"/>
        <w:gridCol w:w="936"/>
        <w:gridCol w:w="1584"/>
        <w:gridCol w:w="1584"/>
        <w:gridCol w:w="1840"/>
      </w:tblGrid>
      <w:tr>
        <w:trPr>
          <w:cantSplit/>
          <w:tblHeader/>
        </w:trPr>
        <w:tc>
          <w:tcPr>
            <w:tcW w:type="dxa" w:w="3888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方法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月数</w:t>
            </w:r>
          </w:p>
        </w:tc>
        <w:tc>
          <w:tcPr>
            <w:tcW w:type="dxa" w:w="1584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>RMSE</w:t>
            </w:r>
          </w:p>
        </w:tc>
        <w:tc>
          <w:tcPr>
            <w:tcW w:type="dxa" w:w="1584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>MAE</w:t>
            </w:r>
          </w:p>
        </w:tc>
        <w:tc>
          <w:tcPr>
            <w:tcW w:type="dxa" w:w="184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>sMAPE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优选回归模型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33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239.27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152.60</w:t>
            </w:r>
          </w:p>
        </w:tc>
        <w:tc>
          <w:tcPr>
            <w:tcW w:type="dxa" w:w="184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7.06%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加入虚拟变量控制项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33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266.87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170.85</w:t>
            </w:r>
          </w:p>
        </w:tc>
        <w:tc>
          <w:tcPr>
            <w:tcW w:type="dxa" w:w="184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8.46%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朴素预测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33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230.93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153.67</w:t>
            </w:r>
          </w:p>
        </w:tc>
        <w:tc>
          <w:tcPr>
            <w:tcW w:type="dxa" w:w="184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6.87%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漂移预测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33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230.33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155.25</w:t>
            </w:r>
          </w:p>
        </w:tc>
        <w:tc>
          <w:tcPr>
            <w:tcW w:type="dxa" w:w="184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6.93%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季节性朴素预测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33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533.77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435.09</w:t>
            </w:r>
          </w:p>
        </w:tc>
        <w:tc>
          <w:tcPr>
            <w:tcW w:type="dxa" w:w="184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19.45%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符合条件的最优回归模型家族为 pct_none_B0_W60，开发期具体模型为 pct_none_B0_W60_AR1_H0，不含配置的虚拟变量控制项。所有符合条件的方法中，验证表现最优的是 Drift。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直接对应的虚拟变量对照家族为 pct_none_B1_W60，开发期具体模型为 pct_none_B1_W60_AR1_H0。两者使用相同的因变量变换、宏观因子选择方式和窗口；AR 与 Fourier 项在各自家族内独立选择。本次两个家族最终采用相同的 AR 和 Fourier 结构。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开发期 AIC = -102.4744，BIC = -96.1913，调整后 R² = -0.0009。不同因变量变换或估计窗口之间不直接比较信息准则。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14 2023年10月至2025年12月的留出期评估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816"/>
        <w:gridCol w:w="1512"/>
        <w:gridCol w:w="1512"/>
        <w:gridCol w:w="1512"/>
        <w:gridCol w:w="1480"/>
      </w:tblGrid>
      <w:tr>
        <w:trPr>
          <w:cantSplit/>
          <w:tblHeader/>
        </w:trPr>
        <w:tc>
          <w:tcPr>
            <w:tcW w:type="dxa" w:w="3816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方法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滚动 RMSE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滚动 MAE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固定起点 RMSE</w:t>
            </w:r>
          </w:p>
        </w:tc>
        <w:tc>
          <w:tcPr>
            <w:tcW w:type="dxa" w:w="148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固定起点 MAE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优选回归模型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266.56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202.68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643.75</w:t>
            </w:r>
          </w:p>
        </w:tc>
        <w:tc>
          <w:tcPr>
            <w:tcW w:type="dxa" w:w="14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518.41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加入虚拟变量控制项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265.07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196.71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259.03</w:t>
            </w:r>
          </w:p>
        </w:tc>
        <w:tc>
          <w:tcPr>
            <w:tcW w:type="dxa" w:w="14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215.32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朴素预测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267.49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192.56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248.28</w:t>
            </w:r>
          </w:p>
        </w:tc>
        <w:tc>
          <w:tcPr>
            <w:tcW w:type="dxa" w:w="14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191.74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漂移预测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268.98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196.89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335.70</w:t>
            </w:r>
          </w:p>
        </w:tc>
        <w:tc>
          <w:tcPr>
            <w:tcW w:type="dxa" w:w="14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293.52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季节性朴素预测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599.16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425.59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865.61</w:t>
            </w:r>
          </w:p>
        </w:tc>
        <w:tc>
          <w:tcPr>
            <w:tcW w:type="dxa" w:w="14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743.96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滚动预测为使用此前已观测收入重新拟合的一步预测。固定起点预测将系数固定于2023年9月，递归预测时不使用未来实际收入。滚动对数模型预测采用残差涂抹校正；固定起点对数模型预测采用递归代入路径。百分比变化预测通过 Y[t−1] × (1 + z[t]) 还原。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入选回归模型的滚动预测 RMSE 比 Naive 低 0.35%，固定起点预测 RMSE 比 Naive 高 159.28%。两种模式回答不同的预测问题，应分别评价。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Naive 沿用最近一期收入；季节性朴素预测沿用 12 个月前的收入；Drift 在最近一期收入上累加历史平均月度变化。RMSE 和 MAE 沿用收入单位，sMAPE 以百分比报告。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7 OOT IC 方向与稳定性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训练期 IC 沿用截至 2023 年 9 月已冻结的开发期筛选结果。OOT 涵盖 2023 年 10 月至 2025 年 12 月。下图每个点代表一个工程化宏观特征，两个时期均与同一种因变量变换配对计算 IC。此处的 IC 为虚拟变量调整前的边际 Spearman 秩相关信息系数。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完整 OOT 的 IC 至少需要 12 个有效配对月份。训练期指历史因子筛选样本，其起点可能早于回归估计样本，并非所选模型的末端窗口估计样本。OOT 观测值不改变特征定义、开发期排名、已选因子或拟合模型的选择。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图 2 全部工程化宏观特征的训练期与 OOT IC 对比</w:t>
      </w:r>
    </w:p>
    <w:p>
      <w:pPr>
        <w:spacing w:line="240" w:lineRule="auto"/>
        <w:jc w:val="center"/>
      </w:pPr>
      <w:r>
        <w:rPr>
          <w:rFonts w:eastAsia="Noto Sans CJK SC"/>
          <w:lang w:eastAsia="zh-CN"/>
        </w:rPr>
        <w:drawing>
          <wp:inline xmlns:a="http://schemas.openxmlformats.org/drawingml/2006/main" xmlns:pic="http://schemas.openxmlformats.org/drawingml/2006/picture">
            <wp:extent cx="6126480" cy="4502594"/>
            <wp:docPr id="2" name="Picture 2" descr="开发期与样本外 Spearman IC 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vs_oot_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02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15 全部特征的对比汇总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080"/>
        <w:gridCol w:w="1080"/>
        <w:gridCol w:w="1368"/>
        <w:gridCol w:w="1368"/>
        <w:gridCol w:w="1296"/>
        <w:gridCol w:w="1800"/>
        <w:gridCol w:w="1840"/>
      </w:tblGrid>
      <w:tr>
        <w:trPr>
          <w:cantSplit/>
          <w:tblHeader/>
        </w:trPr>
        <w:tc>
          <w:tcPr>
            <w:tcW w:type="dxa" w:w="108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因变量变换</w:t>
            </w:r>
          </w:p>
        </w:tc>
        <w:tc>
          <w:tcPr>
            <w:tcW w:type="dxa" w:w="108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特征数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可比较数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符号反转数</w:t>
            </w:r>
          </w:p>
        </w:tc>
        <w:tc>
          <w:tcPr>
            <w:tcW w:type="dxa" w:w="129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符号稳定数</w:t>
            </w:r>
          </w:p>
        </w:tc>
        <w:tc>
          <w:tcPr>
            <w:tcW w:type="dxa" w:w="180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 IC</w:t>
              <w:br/>
              <w:t xml:space="preserve">中位数</w:t>
            </w:r>
          </w:p>
        </w:tc>
        <w:tc>
          <w:tcPr>
            <w:tcW w:type="dxa" w:w="184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OOT IC</w:t>
              <w:br/>
              <w:t xml:space="preserve">中位数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diff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62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-0.0008</w:t>
            </w:r>
          </w:p>
        </w:tc>
        <w:tc>
          <w:tcPr>
            <w:tcW w:type="dxa" w:w="18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0.0014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dlog</w:t>
            </w:r>
          </w:p>
        </w:tc>
        <w:tc>
          <w:tcPr>
            <w:tcW w:type="dxa" w:w="108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145</w:t>
            </w:r>
          </w:p>
        </w:tc>
        <w:tc>
          <w:tcPr>
            <w:tcW w:type="dxa" w:w="129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58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0.0003</w:t>
            </w:r>
          </w:p>
        </w:tc>
        <w:tc>
          <w:tcPr>
            <w:tcW w:type="dxa" w:w="18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0.0031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112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80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0.0383</w:t>
            </w:r>
          </w:p>
        </w:tc>
        <w:tc>
          <w:tcPr>
            <w:tcW w:type="dxa" w:w="18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0.0187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pct</w:t>
            </w:r>
          </w:p>
        </w:tc>
        <w:tc>
          <w:tcPr>
            <w:tcW w:type="dxa" w:w="108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270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145</w:t>
            </w:r>
          </w:p>
        </w:tc>
        <w:tc>
          <w:tcPr>
            <w:tcW w:type="dxa" w:w="129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58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0.0003</w:t>
            </w:r>
          </w:p>
        </w:tc>
        <w:tc>
          <w:tcPr>
            <w:tcW w:type="dxa" w:w="18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0.0031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可比数量统计两个时期的 IC 均为有限值的特征数，两个中位数也基于同一组可比特征。方向稳定要求训练期、完整 OOT 以及 OOT 前后半段的 IC 均为非零且同号。图中坐标轴固定为 −1 至 1；越接近对角线，两个时期的 IC 大小越接近；落入异号象限表示方向反转。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 xml:space="preserve">已入选因子的 OOT 稳定性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下列因子在开发期筛选流程中被标记为 Selected。即使其 OOT 相关关系减弱或反转，该标签也予以保留。yoylog 因变量变换未通过平稳性筛选门槛。所选 pct 回归模型包含 0 个宏观项。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OOT 按日历划分为两段：2023-10 至 2024-10（13 个月），以及 2024-11 至 2025-12（14 个月）。每段至少需要 6 个有效配对观测值。IC 缺失或为零时，不判定为方向稳定。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16 Selected 因子的 IC 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592"/>
        <w:gridCol w:w="2413"/>
        <w:gridCol w:w="2413"/>
        <w:gridCol w:w="2413"/>
      </w:tblGrid>
      <w:tr>
        <w:trPr>
          <w:cantSplit/>
          <w:tblHeader/>
        </w:trPr>
        <w:tc>
          <w:tcPr>
            <w:tcW w:type="dxa" w:w="259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统计量</w:t>
            </w:r>
          </w:p>
        </w:tc>
        <w:tc>
          <w:tcPr>
            <w:tcW w:type="dxa" w:w="2413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yoylog</w:t>
              <w:br/>
              <w:t xml:space="preserve">FYPDPIQ_dlog_L1</w:t>
            </w:r>
          </w:p>
        </w:tc>
        <w:tc>
          <w:tcPr>
            <w:tcW w:type="dxa" w:w="2413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yoylog</w:t>
              <w:br/>
              <w:t xml:space="preserve">FZA_yoylog_L3</w:t>
            </w:r>
          </w:p>
        </w:tc>
        <w:tc>
          <w:tcPr>
            <w:tcW w:type="dxa" w:w="2413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yoylog</w:t>
              <w:br/>
              <w:t xml:space="preserve">FIP_yoylog_L6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训练期 IC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0.2202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0.3139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0.5249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训练期配对数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OOT IC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0.4499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0.3724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-0.0598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OOT 配对数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27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OOT IC 减训练期 IC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0.2298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0.0585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-0.5847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训练期与 OOT 符号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OOT 前半期 IC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0.8132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0.5495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0.2912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前半期配对数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13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13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OOT 后半期 IC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0.2440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0.2923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-0.1824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后半期配对数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OOT 两半期符号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整体符号稳定性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符号稳定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符号稳定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滚动窗口同号率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100.0%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87.5%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37.5%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滚动 IC 中位数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0.5734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0.2762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-0.1014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有效滚动窗口数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16 / 16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16 / 16</w:t>
            </w:r>
          </w:p>
        </w:tc>
        <w:tc>
          <w:tcPr>
            <w:tcW w:type="dxa" w:w="2413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16 / 16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滚动 IC 范围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0.2797 至 0.8392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-0.1259 至 0.5874</w:t>
            </w:r>
          </w:p>
        </w:tc>
        <w:tc>
          <w:tcPr>
            <w:tcW w:type="dxa" w:w="2413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-0.3566 至 0.3357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滚动 IC 使用 OOT 内连续 12 个日历月的窗口，每个月都必须有有效配对观测值。同号率为有限值滚动 IC 中，与非零训练期 IC 同号的比例；滚动 IC 为零时计为不同号。若训练期 IC 为零或未定义，同号率不可用。窗口之间存在重叠，不能视为相互独立的重复检验。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在 3 条已入选的因子与因变量配对记录中，2 条满足总体符号稳定性定义，1 条的完整 OOT IC 符号发生反转。符号一致性是描述性指标，不能证明统计显著性、因果关系或增量预测价值。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 xml:space="preserve">主效应因子族最优特征的训练期与 OOT IC 对比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这些特征是各源宏观变量因子族在正式筛选前，按训练期 IC 绝对值选出的最优特征。其身份保持冻结，不依据 OOT 表现重新排名。完整特征公式及训练期筛选状态见前文因子族排名部分。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17 diff 因子族最优特征的训练期与 OOT 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384"/>
        <w:gridCol w:w="936"/>
        <w:gridCol w:w="936"/>
        <w:gridCol w:w="936"/>
        <w:gridCol w:w="1008"/>
        <w:gridCol w:w="1368"/>
        <w:gridCol w:w="1264"/>
      </w:tblGrid>
      <w:tr>
        <w:trPr>
          <w:cantSplit/>
          <w:tblHeader/>
        </w:trPr>
        <w:tc>
          <w:tcPr>
            <w:tcW w:type="dxa" w:w="338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训练期冻结的最优特征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OOT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变化</w:t>
            </w:r>
          </w:p>
        </w:tc>
        <w:tc>
          <w:tcPr>
            <w:tcW w:type="dxa" w:w="100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N</w:t>
              <w:br/>
              <w:t xml:space="preserve">训练期</w:t>
              <w:br/>
              <w:t xml:space="preserve">/ OOT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训练期/OOT</w:t>
              <w:br/>
              <w:t xml:space="preserve">符号</w:t>
            </w:r>
          </w:p>
        </w:tc>
        <w:tc>
          <w:tcPr>
            <w:tcW w:type="dxa" w:w="126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整体稳定性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FLBR_pct_L3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-0.1125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0.1682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0.2807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FCPIU_dlog_L6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-0.0708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0.1844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0.2552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0.0548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-0.1047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-0.1595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FZA_diff_L3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0.1036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0.0803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-0.0233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FIP_diff_L6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-0.1439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0.0568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0.2007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FDJMIIUSDD_WCFTDQ_diff_L6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-0.1083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-0.0006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0.1077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18 dlog 因子族最优特征的训练期与 OOT 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384"/>
        <w:gridCol w:w="936"/>
        <w:gridCol w:w="936"/>
        <w:gridCol w:w="936"/>
        <w:gridCol w:w="1008"/>
        <w:gridCol w:w="1368"/>
        <w:gridCol w:w="1264"/>
      </w:tblGrid>
      <w:tr>
        <w:trPr>
          <w:cantSplit/>
          <w:tblHeader/>
        </w:trPr>
        <w:tc>
          <w:tcPr>
            <w:tcW w:type="dxa" w:w="338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训练期冻结的最优特征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OOT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变化</w:t>
            </w:r>
          </w:p>
        </w:tc>
        <w:tc>
          <w:tcPr>
            <w:tcW w:type="dxa" w:w="100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N</w:t>
              <w:br/>
              <w:t xml:space="preserve">训练期</w:t>
              <w:br/>
              <w:t xml:space="preserve">/ OOT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训练期/OOT</w:t>
              <w:br/>
              <w:t xml:space="preserve">符号</w:t>
            </w:r>
          </w:p>
        </w:tc>
        <w:tc>
          <w:tcPr>
            <w:tcW w:type="dxa" w:w="126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整体稳定性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FLBR_pct_L3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-0.1001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0.1686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0.2688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FCPIU_dlog_L6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-0.0851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0.1618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0.2469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0.0620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-0.1239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-0.1859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0.0970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0.0739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-0.0231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FIP_diff_L6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-0.1421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0.0678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0.2099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FDJMIIUSDD_WCFTDQ_dlog_L1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0.0958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-0.0989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-0.1947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IC 变化等于 OOT IC 减去训练期 IC，是带符号的差值。总体方向稳定还要求 OOT 前后半段的 IC 均与非零训练期 IC 同号。短横线或 Unavailable 表示有效配对样本不足或 IC 未定义，不表示相关性为零。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 xml:space="preserve">主效应因子族最优特征的训练期与 OOT IC 对比 续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这些特征是各源宏观变量因子族在正式筛选前，按训练期 IC 绝对值选出的最优特征。其身份保持冻结，不依据 OOT 表现重新排名。完整特征公式及训练期筛选状态见前文因子族排名部分。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19 yoylog 因子族最优特征的训练期与 OOT 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384"/>
        <w:gridCol w:w="936"/>
        <w:gridCol w:w="936"/>
        <w:gridCol w:w="936"/>
        <w:gridCol w:w="1008"/>
        <w:gridCol w:w="1368"/>
        <w:gridCol w:w="1264"/>
      </w:tblGrid>
      <w:tr>
        <w:trPr>
          <w:cantSplit/>
          <w:tblHeader/>
        </w:trPr>
        <w:tc>
          <w:tcPr>
            <w:tcW w:type="dxa" w:w="338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训练期冻结的最优特征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OOT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变化</w:t>
            </w:r>
          </w:p>
        </w:tc>
        <w:tc>
          <w:tcPr>
            <w:tcW w:type="dxa" w:w="100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N</w:t>
              <w:br/>
              <w:t xml:space="preserve">训练期</w:t>
              <w:br/>
              <w:t xml:space="preserve">/ OOT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训练期/OOT</w:t>
              <w:br/>
              <w:t xml:space="preserve">符号</w:t>
            </w:r>
          </w:p>
        </w:tc>
        <w:tc>
          <w:tcPr>
            <w:tcW w:type="dxa" w:w="126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整体稳定性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FLBR_yoylog_L6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-0.4245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-0.6021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-0.1775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FCPIU_yoylog_L6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0.3932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0.1856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-0.2076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FYPDPIQ_diff_L1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0.2445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0.4292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0.1846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FZA_yoylog_L3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0.3139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0.3724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0.0585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FIP_yoylog_L6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0.5249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-0.0598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-0.5847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FDJMIIUSDD_WCFTDQ_yoylog_L6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0.1916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-0.5464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-0.7380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20 pct 因子族最优特征的训练期与 OOT 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384"/>
        <w:gridCol w:w="936"/>
        <w:gridCol w:w="936"/>
        <w:gridCol w:w="936"/>
        <w:gridCol w:w="1008"/>
        <w:gridCol w:w="1368"/>
        <w:gridCol w:w="1264"/>
      </w:tblGrid>
      <w:tr>
        <w:trPr>
          <w:cantSplit/>
          <w:tblHeader/>
        </w:trPr>
        <w:tc>
          <w:tcPr>
            <w:tcW w:type="dxa" w:w="338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训练期冻结的最优特征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OOT IC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IC 变化</w:t>
            </w:r>
          </w:p>
        </w:tc>
        <w:tc>
          <w:tcPr>
            <w:tcW w:type="dxa" w:w="100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N</w:t>
              <w:br/>
              <w:t xml:space="preserve">训练期</w:t>
              <w:br/>
              <w:t xml:space="preserve">/ OOT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训练期/OOT</w:t>
              <w:br/>
              <w:t xml:space="preserve">符号</w:t>
            </w:r>
          </w:p>
        </w:tc>
        <w:tc>
          <w:tcPr>
            <w:tcW w:type="dxa" w:w="126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整体稳定性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FLBR_pct_L3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-0.1001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0.1686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0.2688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FCPIU_dlog_L6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-0.0851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0.1618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0.2469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FYPDPIQ_diff_L3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0.0620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-0.1239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-0.1859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0.0970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0.0739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-0.0231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同号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FIP_diff_L6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-0.1421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0.0678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0.2099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FDJMIIUSDD_WCFTDQ_dlog_L1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0.0958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-0.0989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-0.1947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 / 27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符号反转</w:t>
            </w:r>
          </w:p>
        </w:tc>
        <w:tc>
          <w:tcPr>
            <w:tcW w:type="dxa" w:w="126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符号不稳定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IC 变化等于 OOT IC 减去训练期 IC，是带符号的差值。总体方向稳定还要求 OOT 前后半段的 IC 均与非零训练期 IC 同号。短横线或 Unavailable 表示有效配对样本不足或 IC 未定义，不表示相关性为零。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oot_ic_diagnostics.csv 保留每个工程化特征的训练期、完整 OOT、分段样本及滚动统计汇总。oot_ic_summary.csv 汇总全部特征，HTML 报告提供特征及交互因子族的详细结果。这些均为筛选后的诊断，不改变任何回归或预测结果。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8 回归系数与残差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入选模型的具体形式为 pct_none_B0_W60_AR1_H0，采用最近 60 个月的滚动窗口估计。Y 为合并收入，z 为其建模变换，ε 为变换尺度上的回归误差。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t> = 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t> / </m:t>
          </m:r>
          <m:sSub>
            <m:e>
              <m:r>
                <m:t>Y</m:t>
              </m:r>
            </m:e>
            <m:sub>
              <m:r>
                <m:t>t−1</m:t>
              </m:r>
            </m:sub>
          </m:sSub>
          <m:r>
            <m:t> − 1</m:t>
          </m:r>
        </m:oMath>
      </m:oMathPara>
    </w:p>
    <w:p>
      <w:pPr>
        <w:spacing w:after="120"/>
      </w:pPr>
      <w:r>
        <w:rPr>
          <w:rFonts w:ascii="Arial" w:hAnsi="Arial" w:eastAsia="Noto Sans CJK SC"/>
          <w:b/>
          <w:color w:val="000000"/>
          <w:sz w:val="19"/>
          <w:lang w:eastAsia="zh-CN"/>
        </w:rPr>
        <w:t xml:space="preserve">开发期拟合：</w:t>
      </w:r>
      <w:r>
        <w:rPr>
          <w:rFonts w:ascii="Arial" w:hAnsi="Arial" w:eastAsia="Noto Sans CJK SC"/>
          <w:color w:val="000000"/>
          <w:sz w:val="19"/>
          <w:lang w:eastAsia="zh-CN"/>
        </w:rPr>
        <w:t xml:space="preserve">2018 年 10 月至 2023 年 9 月，共 60 个观测值。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t> = </m:t>
          </m:r>
          <m:r>
            <m:t>0.011267</m:t>
          </m:r>
          <m:r>
            <m:t> − 0.126539</m:t>
          </m:r>
          <m:r>
            <m:t> </m:t>
          </m:r>
          <m:sSub>
            <m:e>
              <m:r>
                <m:t>z</m:t>
              </m:r>
            </m:e>
            <m:sub>
              <m:r>
                <m:t>t−1</m:t>
              </m:r>
            </m:sub>
          </m:sSub>
          <m:r>
            <m:t> + 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</m:oMath>
      </m:oMathPara>
    </w:p>
    <w:p>
      <w:pPr>
        <w:spacing w:after="120"/>
      </w:pPr>
      <w:r>
        <w:rPr>
          <w:rFonts w:ascii="Arial" w:hAnsi="Arial" w:eastAsia="Noto Sans CJK SC"/>
          <w:b/>
          <w:color w:val="000000"/>
          <w:sz w:val="19"/>
          <w:lang w:eastAsia="zh-CN"/>
        </w:rPr>
        <w:t xml:space="preserve">最新估计截止月重新拟合：</w:t>
      </w:r>
      <w:r>
        <w:rPr>
          <w:rFonts w:ascii="Arial" w:hAnsi="Arial" w:eastAsia="Noto Sans CJK SC"/>
          <w:color w:val="000000"/>
          <w:sz w:val="19"/>
          <w:lang w:eastAsia="zh-CN"/>
        </w:rPr>
        <w:t xml:space="preserve">2021 年 1 月至 2025 年 12 月，共 60 个观测值。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t> = </m:t>
          </m:r>
          <m:r>
            <m:t>0.012374</m:t>
          </m:r>
          <m:r>
            <m:t> − 0.226195</m:t>
          </m:r>
          <m:r>
            <m:t> </m:t>
          </m:r>
          <m:sSub>
            <m:e>
              <m:r>
                <m:t>z</m:t>
              </m:r>
            </m:e>
            <m:sub>
              <m:r>
                <m:t>t−1</m:t>
              </m:r>
            </m:sub>
          </m:sSub>
          <m:r>
            <m:t> + 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</m:oMath>
      </m:oMathPara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21 原始特征尺度上的回归系数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512"/>
        <w:gridCol w:w="2045"/>
        <w:gridCol w:w="1440"/>
        <w:gridCol w:w="1195"/>
        <w:gridCol w:w="1195"/>
        <w:gridCol w:w="1195"/>
        <w:gridCol w:w="1249"/>
      </w:tblGrid>
      <w:tr>
        <w:trPr>
          <w:cantSplit/>
          <w:tblHeader/>
        </w:trPr>
        <w:tc>
          <w:tcPr>
            <w:tcW w:type="dxa" w:w="151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样本</w:t>
            </w:r>
          </w:p>
        </w:tc>
        <w:tc>
          <w:tcPr>
            <w:tcW w:type="dxa" w:w="2045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回归项</w:t>
            </w:r>
          </w:p>
        </w:tc>
        <w:tc>
          <w:tcPr>
            <w:tcW w:type="dxa" w:w="144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系数</w:t>
            </w:r>
          </w:p>
        </w:tc>
        <w:tc>
          <w:tcPr>
            <w:tcW w:type="dxa" w:w="1195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OLS t 值</w:t>
            </w:r>
          </w:p>
        </w:tc>
        <w:tc>
          <w:tcPr>
            <w:tcW w:type="dxa" w:w="1195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OLS p 值</w:t>
            </w:r>
          </w:p>
        </w:tc>
        <w:tc>
          <w:tcPr>
            <w:tcW w:type="dxa" w:w="1195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HAC t 值</w:t>
            </w:r>
          </w:p>
        </w:tc>
        <w:tc>
          <w:tcPr>
            <w:tcW w:type="dxa" w:w="1249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HAC p 值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开发期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const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0.011267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0.8716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0.3870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1.1055</w:t>
            </w:r>
          </w:p>
        </w:tc>
        <w:tc>
          <w:tcPr>
            <w:tcW w:type="dxa" w:w="124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0.2735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开发期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AR_L1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-0.126539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-0.9738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0.3342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-0.8688</w:t>
            </w:r>
          </w:p>
        </w:tc>
        <w:tc>
          <w:tcPr>
            <w:tcW w:type="dxa" w:w="1249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0.3885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最新估计截止月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const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0.012374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1.0065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0.3183</w:t>
            </w:r>
          </w:p>
        </w:tc>
        <w:tc>
          <w:tcPr>
            <w:tcW w:type="dxa" w:w="1195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1.2949</w:t>
            </w:r>
          </w:p>
        </w:tc>
        <w:tc>
          <w:tcPr>
            <w:tcW w:type="dxa" w:w="1249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0.2005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最新估计截止月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AR_L1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-0.226195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-1.7772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0.0808</w:t>
            </w:r>
          </w:p>
        </w:tc>
        <w:tc>
          <w:tcPr>
            <w:tcW w:type="dxa" w:w="1195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-1.8312</w:t>
            </w:r>
          </w:p>
        </w:tc>
        <w:tc>
          <w:tcPr>
            <w:tcW w:type="dxa" w:w="1249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0.0722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开发期方程提供固定起点 OOT 预测的系数；滚动预测系数随每月重新拟合而变化。最新估计截止月的方程用于未来预测，不参与开发期模型选择。系数四舍五入至六位小数，CSV 保留完整精度。短横线表示无法获得推断结果。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 xml:space="preserve">阶段虚拟变量对照模型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阶段虚拟变量对照模型为 pct_none_B1_W60_AR1_H0。它与入选模型 pct_none_B0_W60_AR1_H0 同时参与评价，但未在开发期验证中胜出。下列方程基于2018年10月至2023年9月的开发期样本拟合，共 60 个观测值；该方程为对照模型，并非入选模型。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t> = 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t> / </m:t>
          </m:r>
          <m:sSub>
            <m:e>
              <m:r>
                <m:t>Y</m:t>
              </m:r>
            </m:e>
            <m:sub>
              <m:r>
                <m:t>t−1</m:t>
              </m:r>
            </m:sub>
          </m:sSub>
          <m:r>
            <m:t> − 1</m:t>
          </m:r>
        </m:oMath>
      </m:oMathPara>
    </w:p>
    <w:p>
      <w:pPr>
        <w:spacing w:line="240" w:lineRule="auto" w:after="160"/>
        <w:jc w:val="center"/>
      </w:pPr>
      <m:oMathPara>
        <m:oMath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t> = </m:t>
          </m:r>
          <m:r>
            <m:t>0.001522</m:t>
          </m:r>
          <m:r>
            <m:t> − 0.123058</m:t>
          </m:r>
          <m:r>
            <m:t> </m:t>
          </m:r>
          <m:sSub>
            <m:e>
              <m:r>
                <m:t>z</m:t>
              </m:r>
            </m:e>
            <m:sub>
              <m:r>
                <m:t>t−1</m:t>
              </m:r>
            </m:sub>
          </m:sSub>
          <m:r>
            <m:t> + 0.019423</m:t>
          </m:r>
          <m:r>
            <m:t> 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t> + 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</m:oMath>
      </m:oMathPara>
    </w:p>
    <w:p>
      <w:pPr>
        <w:keepNext/>
        <w:spacing w:after="4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D 对应 phase_202101_202306。原始指标在2021年1月至2023年6月取 1，包含首尾月份；其余月份均取 0。该指标在不同因变量变换下保持不变。</w:t>
      </w:r>
    </w:p>
    <w:p>
      <w:pPr>
        <w:spacing w:line="240" w:lineRule="auto" w:after="160"/>
        <w:jc w:val="center"/>
      </w:pPr>
      <m:oMathPara>
        <m:oMath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t> = 1{2021-01 ≤ t ≤ 2023-06}</m:t>
          </m:r>
        </m:oMath>
      </m:oMathPara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22 阶段虚拟变量对照模型的原始特征尺度系数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880"/>
        <w:gridCol w:w="1440"/>
        <w:gridCol w:w="1152"/>
        <w:gridCol w:w="1152"/>
        <w:gridCol w:w="1604"/>
        <w:gridCol w:w="1604"/>
      </w:tblGrid>
      <w:tr>
        <w:trPr>
          <w:cantSplit/>
          <w:tblHeader/>
        </w:trPr>
        <w:tc>
          <w:tcPr>
            <w:tcW w:type="dxa" w:w="288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回归项</w:t>
            </w:r>
          </w:p>
        </w:tc>
        <w:tc>
          <w:tcPr>
            <w:tcW w:type="dxa" w:w="144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系数</w:t>
            </w:r>
          </w:p>
        </w:tc>
        <w:tc>
          <w:tcPr>
            <w:tcW w:type="dxa" w:w="115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HAC t 值</w:t>
            </w:r>
          </w:p>
        </w:tc>
        <w:tc>
          <w:tcPr>
            <w:tcW w:type="dxa" w:w="115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HAC p 值</w:t>
            </w:r>
          </w:p>
        </w:tc>
        <w:tc>
          <w:tcPr>
            <w:tcW w:type="dxa" w:w="1604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95% HAC</w:t>
              <w:br/>
              <w:t xml:space="preserve">下限</w:t>
            </w:r>
          </w:p>
        </w:tc>
        <w:tc>
          <w:tcPr>
            <w:tcW w:type="dxa" w:w="1604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95% HAC</w:t>
              <w:br/>
              <w:t xml:space="preserve">上限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const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0.001522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0.1728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0.8634</w:t>
            </w:r>
          </w:p>
        </w:tc>
        <w:tc>
          <w:tcPr>
            <w:tcW w:type="dxa" w:w="160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-0.016113</w:t>
            </w:r>
          </w:p>
        </w:tc>
        <w:tc>
          <w:tcPr>
            <w:tcW w:type="dxa" w:w="160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0.019157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AR_L1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-0.123058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-0.8304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0.4098</w:t>
            </w:r>
          </w:p>
        </w:tc>
        <w:tc>
          <w:tcPr>
            <w:tcW w:type="dxa" w:w="160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-0.419813</w:t>
            </w:r>
          </w:p>
        </w:tc>
        <w:tc>
          <w:tcPr>
            <w:tcW w:type="dxa" w:w="1604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0.173697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phase_202101_202306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0.019423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1.2822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0.2050</w:t>
            </w:r>
          </w:p>
        </w:tc>
        <w:tc>
          <w:tcPr>
            <w:tcW w:type="dxa" w:w="160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-0.010911</w:t>
            </w:r>
          </w:p>
        </w:tc>
        <w:tc>
          <w:tcPr>
            <w:tcW w:type="dxa" w:w="1604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0.049757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控制其他解释变量后，phase_202101_202306 的系数对应2021年1月至2023年6月的月度增长率提高 1.9423 个百分点。这是拟合得到的统计关联，不是因果效应。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phase_202101_202306 的逐点 95% HAC 置信区间包含零。系数显著性与验证期预测是否改善是两个问题；可以单独检查阶段项，而无需替换已入选的 B0 模型。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该对照模型中的阶段区间保持原始 0/1 解释变量形式。所有系数统计量均来自此对照模型的拟合。前文的验证和 OOT 表格基于两个模型家族各自的预测路径进行比较。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9 滚动回归系数稳定性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本项诊断固定开发期模型 pct_none_B0_W60_AR1_H0，在2023年9月至2025年12月的 28 个逐月估计截止月重新拟合。因变量变换、AR 滞后、季节项、已选宏观特征、配置的虚拟变量日期及最近 60 个月的滚动窗口均保持固定，不在 OOT 期间重新选择因子或模型。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参考值为已报告的2023年9月开发期拟合系数。内部缩放后的系数已还原至原始特征单位。所选 pct 模型含 0 个宏观项，诊断跟踪全部已配置的回归项。横轴表示估计截止月：2025年12月的拟合用于预测下一月2026年1月，而非2025年12月。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图 3 月度系数路径及逐点不确定性</w:t>
      </w:r>
    </w:p>
    <w:p>
      <w:pPr>
        <w:spacing w:line="240" w:lineRule="auto"/>
        <w:jc w:val="center"/>
      </w:pPr>
      <w:r>
        <w:rPr>
          <w:rFonts w:eastAsia="Noto Sans CJK SC"/>
          <w:lang w:eastAsia="zh-CN"/>
        </w:rPr>
        <w:drawing>
          <wp:inline xmlns:a="http://schemas.openxmlformats.org/drawingml/2006/main" xmlns:pic="http://schemas.openxmlformats.org/drawingml/2006/picture">
            <wp:extent cx="6126480" cy="1910559"/>
            <wp:docPr id="3" name="Picture 3" descr="固定模型规格的滚动系数路径及逐点 HAC 置信区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coefficient_s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10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各图使用独立的纵轴刻度。水平虚线表示开发期系数，竖直点线表示开发期估计截止月；阴影显示可获得的逐点 95% HAC 区间，缺失估计保留为空缺。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HAC 区间使用小样本修正及各次拟合残差自由度对应的 Student-t 临界值。拟合样本内部存在日历缺口时，不提供 HAC 推断。阶段指标可估计时，保留能够获得的统计推断。重叠窗口与逐点区间提供描述性证据，不构成参数恒定性的联合检验。</w:t>
      </w:r>
    </w:p>
    <w:p>
      <w:pPr>
        <w:pStyle w:val="Heading2"/>
        <w:pageBreakBefore/>
      </w:pPr>
      <w:r>
        <w:rPr>
          <w:rFonts w:eastAsia="Noto Sans CJK SC"/>
          <w:lang w:eastAsia="zh-CN"/>
        </w:rPr>
        <w:t xml:space="preserve">系数范围 方向与拟合覆盖情况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具有可用同号率统计的 2 个系数中，2 个在每个可获得的后续估计截止月均保持开发期符号。同号并不表示系数大小恒定。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范围与标准差使用图示路径中的全部有限值系数。同号率、相邻变化及区间比例仅使用开发期参考点之后的截止点，基准点不计入这些比例。系数幅度保留各回归项自身的单位，不宜跨不同回归项直接排序比较。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23 各展示估计截止月的系数水平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592"/>
        <w:gridCol w:w="1448"/>
        <w:gridCol w:w="1448"/>
        <w:gridCol w:w="1448"/>
        <w:gridCol w:w="1448"/>
        <w:gridCol w:w="1448"/>
      </w:tblGrid>
      <w:tr>
        <w:trPr>
          <w:cantSplit/>
          <w:tblHeader/>
        </w:trPr>
        <w:tc>
          <w:tcPr>
            <w:tcW w:type="dxa" w:w="259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回归项</w:t>
            </w:r>
          </w:p>
        </w:tc>
        <w:tc>
          <w:tcPr>
            <w:tcW w:type="dxa" w:w="14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开发期系数</w:t>
            </w:r>
          </w:p>
        </w:tc>
        <w:tc>
          <w:tcPr>
            <w:tcW w:type="dxa" w:w="14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最新系数</w:t>
            </w:r>
          </w:p>
        </w:tc>
        <w:tc>
          <w:tcPr>
            <w:tcW w:type="dxa" w:w="14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最小值</w:t>
            </w:r>
          </w:p>
        </w:tc>
        <w:tc>
          <w:tcPr>
            <w:tcW w:type="dxa" w:w="14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最大值</w:t>
            </w:r>
          </w:p>
        </w:tc>
        <w:tc>
          <w:tcPr>
            <w:tcW w:type="dxa" w:w="1448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标准差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const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0.011267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0.012374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0.005797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0.018117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0.002954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AR_L1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-0.126539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-0.226195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-0.226195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-0.050996</w:t>
            </w:r>
          </w:p>
        </w:tc>
        <w:tc>
          <w:tcPr>
            <w:tcW w:type="dxa" w:w="1448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0.051112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24 可估计性 同号率与逐点区间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160"/>
        <w:gridCol w:w="1152"/>
        <w:gridCol w:w="1440"/>
        <w:gridCol w:w="936"/>
        <w:gridCol w:w="1800"/>
        <w:gridCol w:w="2344"/>
      </w:tblGrid>
      <w:tr>
        <w:trPr>
          <w:cantSplit/>
          <w:tblHeader/>
        </w:trPr>
        <w:tc>
          <w:tcPr>
            <w:tcW w:type="dxa" w:w="216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回归项</w:t>
            </w:r>
          </w:p>
        </w:tc>
        <w:tc>
          <w:tcPr>
            <w:tcW w:type="dxa" w:w="115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可用估计数</w:t>
            </w:r>
          </w:p>
        </w:tc>
        <w:tc>
          <w:tcPr>
            <w:tcW w:type="dxa" w:w="144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与参考系数</w:t>
              <w:br/>
              <w:t xml:space="preserve">同号率</w:t>
            </w:r>
          </w:p>
        </w:tc>
        <w:tc>
          <w:tcPr>
            <w:tcW w:type="dxa" w:w="93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反转数/</w:t>
              <w:br/>
              <w:t xml:space="preserve">配对数</w:t>
            </w:r>
          </w:p>
        </w:tc>
        <w:tc>
          <w:tcPr>
            <w:tcW w:type="dxa" w:w="1800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最大月度</w:t>
              <w:br/>
              <w:t xml:space="preserve">绝对变化</w:t>
            </w:r>
          </w:p>
        </w:tc>
        <w:tc>
          <w:tcPr>
            <w:tcW w:type="dxa" w:w="234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95% HAC 区间</w:t>
              <w:br/>
              <w:t xml:space="preserve">不含零比例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const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28/28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100.0%</w:t>
              <w:br/>
              <w:t xml:space="preserve">(27/27)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0/27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0.005560</w:t>
            </w:r>
          </w:p>
        </w:tc>
        <w:tc>
          <w:tcPr>
            <w:tcW w:type="dxa" w:w="234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3.7%</w:t>
              <w:br/>
              <w:t>(1/27)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AR_L1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28/28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100.0%</w:t>
              <w:br/>
              <w:t xml:space="preserve">(27/27)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0/27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0.076681</w:t>
            </w:r>
          </w:p>
        </w:tc>
        <w:tc>
          <w:tcPr>
            <w:tcW w:type="dxa" w:w="234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0.0%</w:t>
              <w:br/>
              <w:t>(0/27)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可用估计数涵盖图示全部截止点。同号率等于参考点之后同号估计数除以有限值估计数；零系数计为不同号，参考系数为零或不可用时，同号率不可用。系数变化及非零系数的直接变号均要求相邻日历截止点存在估计值。短横线表示估计值或统计量不可用，不表示系数为零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区间比例的分母仅包含参考点之后可用的区间。不报告单项统计推断的回归项，其区间比例也不可用。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拟合覆盖情况：要求估计的 28 个截止点中，28 个均拟合成功。下表展示首个及最新的图示拟合窗口；rolling_coefficient_fits.csv 保留每个截止点及任何失败原因。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25 首次与最新展示的系数拟合窗口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512"/>
        <w:gridCol w:w="1584"/>
        <w:gridCol w:w="1656"/>
        <w:gridCol w:w="1656"/>
        <w:gridCol w:w="792"/>
        <w:gridCol w:w="2632"/>
      </w:tblGrid>
      <w:tr>
        <w:trPr>
          <w:cantSplit/>
          <w:tblHeader/>
        </w:trPr>
        <w:tc>
          <w:tcPr>
            <w:tcW w:type="dxa" w:w="151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估计截止月</w:t>
            </w:r>
          </w:p>
        </w:tc>
        <w:tc>
          <w:tcPr>
            <w:tcW w:type="dxa" w:w="1584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下一预测月</w:t>
            </w:r>
          </w:p>
        </w:tc>
        <w:tc>
          <w:tcPr>
            <w:tcW w:type="dxa" w:w="165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拟合起始月</w:t>
            </w:r>
          </w:p>
        </w:tc>
        <w:tc>
          <w:tcPr>
            <w:tcW w:type="dxa" w:w="1656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拟合结束月</w:t>
            </w:r>
          </w:p>
        </w:tc>
        <w:tc>
          <w:tcPr>
            <w:tcW w:type="dxa" w:w="79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N</w:t>
            </w:r>
          </w:p>
        </w:tc>
        <w:tc>
          <w:tcPr>
            <w:tcW w:type="dxa" w:w="2632"/>
            <w:vAlign w:val="center"/>
            <w:shd w:fill="263C54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拟合状态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2023-09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2023-10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2018-10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2023-09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60</w:t>
            </w:r>
          </w:p>
        </w:tc>
        <w:tc>
          <w:tcPr>
            <w:tcW w:type="dxa" w:w="2632"/>
            <w:vAlign w:val="center"/>
            <w:shd w:fill="FFFFFF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拟合成功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35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2025-12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2026-01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2021-01</w:t>
            </w:r>
          </w:p>
        </w:tc>
        <w:tc>
          <w:tcPr>
            <w:tcW w:type="dxa" w:w="1656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2025-12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60</w:t>
            </w:r>
          </w:p>
        </w:tc>
        <w:tc>
          <w:tcPr>
            <w:tcW w:type="dxa" w:w="2632"/>
            <w:vAlign w:val="center"/>
            <w:shd w:fill="F3F6F8"/>
          </w:tcPr>
          <w:p>
            <w:pPr>
              <w:spacing w:before="0" w:after="0" w:line="235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拟合成功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10 残差与自相关诊断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26 各估计样本的残差诊断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72"/>
        <w:gridCol w:w="1325"/>
        <w:gridCol w:w="1325"/>
        <w:gridCol w:w="1325"/>
        <w:gridCol w:w="1325"/>
        <w:gridCol w:w="1325"/>
        <w:gridCol w:w="1336"/>
      </w:tblGrid>
      <w:tr>
        <w:trPr>
          <w:cantSplit/>
          <w:tblHeader/>
        </w:trPr>
        <w:tc>
          <w:tcPr>
            <w:tcW w:type="dxa" w:w="1872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样本</w:t>
            </w:r>
          </w:p>
        </w:tc>
        <w:tc>
          <w:tcPr>
            <w:tcW w:type="dxa" w:w="1325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ADF p 值</w:t>
            </w:r>
          </w:p>
        </w:tc>
        <w:tc>
          <w:tcPr>
            <w:tcW w:type="dxa" w:w="1325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KPSS p 值</w:t>
            </w:r>
          </w:p>
        </w:tc>
        <w:tc>
          <w:tcPr>
            <w:tcW w:type="dxa" w:w="1325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LB12 p 值</w:t>
            </w:r>
          </w:p>
        </w:tc>
        <w:tc>
          <w:tcPr>
            <w:tcW w:type="dxa" w:w="1325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LB24 p 值</w:t>
            </w:r>
          </w:p>
        </w:tc>
        <w:tc>
          <w:tcPr>
            <w:tcW w:type="dxa" w:w="1325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BP p 值</w:t>
            </w:r>
          </w:p>
        </w:tc>
        <w:tc>
          <w:tcPr>
            <w:tcW w:type="dxa" w:w="1336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JB p 值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开发期</w:t>
            </w:r>
          </w:p>
        </w:tc>
        <w:tc>
          <w:tcPr>
            <w:tcW w:type="dxa" w:w="1325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1.98e-11</w:t>
            </w:r>
          </w:p>
        </w:tc>
        <w:tc>
          <w:tcPr>
            <w:tcW w:type="dxa" w:w="1325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≥0.1000</w:t>
            </w:r>
          </w:p>
        </w:tc>
        <w:tc>
          <w:tcPr>
            <w:tcW w:type="dxa" w:w="1325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0.7335</w:t>
            </w:r>
          </w:p>
        </w:tc>
        <w:tc>
          <w:tcPr>
            <w:tcW w:type="dxa" w:w="1325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0.9118</w:t>
            </w:r>
          </w:p>
        </w:tc>
        <w:tc>
          <w:tcPr>
            <w:tcW w:type="dxa" w:w="1325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0.1781</w:t>
            </w:r>
          </w:p>
        </w:tc>
        <w:tc>
          <w:tcPr>
            <w:tcW w:type="dxa" w:w="1336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0.0024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8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 xml:space="preserve">最新估计截止月</w:t>
            </w:r>
          </w:p>
        </w:tc>
        <w:tc>
          <w:tcPr>
            <w:tcW w:type="dxa" w:w="1325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1.10e-14</w:t>
            </w:r>
          </w:p>
        </w:tc>
        <w:tc>
          <w:tcPr>
            <w:tcW w:type="dxa" w:w="1325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≥0.1000</w:t>
            </w:r>
          </w:p>
        </w:tc>
        <w:tc>
          <w:tcPr>
            <w:tcW w:type="dxa" w:w="1325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0.8641</w:t>
            </w:r>
          </w:p>
        </w:tc>
        <w:tc>
          <w:tcPr>
            <w:tcW w:type="dxa" w:w="1325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0.6444</w:t>
            </w:r>
          </w:p>
        </w:tc>
        <w:tc>
          <w:tcPr>
            <w:tcW w:type="dxa" w:w="1325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0.0394</w:t>
            </w:r>
          </w:p>
        </w:tc>
        <w:tc>
          <w:tcPr>
            <w:tcW w:type="dxa" w:w="1336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2.59e-09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LB 表示 Ljung–Box 检验；BP 表示 Breusch–Pagan 检验；JB 表示 Jarque–Bera 检验。Ljung–Box 结果用于描述性诊断，未完整调整模型估计所消耗的自由度。HAC 使用配置的滞后阶数并进行小样本修正。若样本内部存在日历月份缺口，使月度相邻关系假设失效，则不报告 HAC 推断。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开发期：残差平稳性通过联合门槛；12 个月 Ljung–Box 检验在 5% 水平下不拒绝原假设；Jarque–Bera 检验在 5% 水平下拒绝正态性。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最新估计截止月：残差平稳性通过联合筛选门槛；12 个月滞后的 Ljung–Box 检验在 5% 水平上不拒绝原假设；Jarque–Bera 检验在 5% 水平上拒绝正态性。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27 因变量与已入选因子的自相关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384"/>
        <w:gridCol w:w="792"/>
        <w:gridCol w:w="1368"/>
        <w:gridCol w:w="1368"/>
        <w:gridCol w:w="1368"/>
        <w:gridCol w:w="1552"/>
      </w:tblGrid>
      <w:tr>
        <w:trPr>
          <w:cantSplit/>
          <w:tblHeader/>
        </w:trPr>
        <w:tc>
          <w:tcPr>
            <w:tcW w:type="dxa" w:w="3384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序列</w:t>
            </w:r>
          </w:p>
        </w:tc>
        <w:tc>
          <w:tcPr>
            <w:tcW w:type="dxa" w:w="792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N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ACF 1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ACF 12</w:t>
            </w:r>
          </w:p>
        </w:tc>
        <w:tc>
          <w:tcPr>
            <w:tcW w:type="dxa" w:w="1368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>PACF 12</w:t>
            </w:r>
          </w:p>
        </w:tc>
        <w:tc>
          <w:tcPr>
            <w:tcW w:type="dxa" w:w="1552"/>
            <w:vAlign w:val="center"/>
            <w:shd w:fill="263C54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  <w:lang w:eastAsia="zh-CN"/>
              </w:rPr>
              <w:t xml:space="preserve">LB12 p 值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level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0.8595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0.4730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0.0292</w:t>
            </w:r>
          </w:p>
        </w:tc>
        <w:tc>
          <w:tcPr>
            <w:tcW w:type="dxa" w:w="155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7.33e-149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log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153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0.8624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0.5174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0.0356</w:t>
            </w:r>
          </w:p>
        </w:tc>
        <w:tc>
          <w:tcPr>
            <w:tcW w:type="dxa" w:w="155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1.23e-167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diff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-0.3136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0.3213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0.2351</w:t>
            </w:r>
          </w:p>
        </w:tc>
        <w:tc>
          <w:tcPr>
            <w:tcW w:type="dxa" w:w="155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1.02e-07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dlog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-0.3291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0.3467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0.2450</w:t>
            </w:r>
          </w:p>
        </w:tc>
        <w:tc>
          <w:tcPr>
            <w:tcW w:type="dxa" w:w="155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2.97e-09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yoylog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0.7471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-0.0491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-0.2521</w:t>
            </w:r>
          </w:p>
        </w:tc>
        <w:tc>
          <w:tcPr>
            <w:tcW w:type="dxa" w:w="155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4.83e-51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pct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152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-0.3424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0.3508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0.2367</w:t>
            </w:r>
          </w:p>
        </w:tc>
        <w:tc>
          <w:tcPr>
            <w:tcW w:type="dxa" w:w="155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1.39e-09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FYPDPIQ_dlog_L1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163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-0.5634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-0.2250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0.1133</w:t>
            </w:r>
          </w:p>
        </w:tc>
        <w:tc>
          <w:tcPr>
            <w:tcW w:type="dxa" w:w="155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2.18e-18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3F6F8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FZA_yoylog_L3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150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0.8957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-0.3843</w:t>
            </w:r>
          </w:p>
        </w:tc>
        <w:tc>
          <w:tcPr>
            <w:tcW w:type="dxa" w:w="1368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-0.0883</w:t>
            </w:r>
          </w:p>
        </w:tc>
        <w:tc>
          <w:tcPr>
            <w:tcW w:type="dxa" w:w="1552"/>
            <w:vAlign w:val="center"/>
            <w:shd w:fill="F3F6F8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3.12e-55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</w:tcPr>
          <w:p>
            <w:pPr>
              <w:spacing w:before="0" w:after="0" w:line="243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FIP_yoylog_L6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147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0.8564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-0.2017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0.1380</w:t>
            </w:r>
          </w:p>
        </w:tc>
        <w:tc>
          <w:tcPr>
            <w:tcW w:type="dxa" w:w="1552"/>
            <w:vAlign w:val="center"/>
            <w:shd w:fill="FFFFFF"/>
          </w:tcPr>
          <w:p>
            <w:pPr>
              <w:spacing w:before="0" w:after="0" w:line="243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7"/>
                <w:lang w:eastAsia="zh-CN"/>
              </w:rPr>
              <w:t>9.45e-65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时间序列检验使用最长的连续有效月度样本段。因子 ACF 的样本可能与因子和目标配对计算 IC 的样本不同。ACF 和 PACF 用于诊断，并非自动剔除规则；重叠的同比变化可能产生明显的序列依赖。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28 入选回归模型残差的自相关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592"/>
        <w:gridCol w:w="1008"/>
        <w:gridCol w:w="1512"/>
        <w:gridCol w:w="1512"/>
        <w:gridCol w:w="1512"/>
        <w:gridCol w:w="1696"/>
      </w:tblGrid>
      <w:tr>
        <w:trPr>
          <w:cantSplit/>
          <w:tblHeader/>
        </w:trPr>
        <w:tc>
          <w:tcPr>
            <w:tcW w:type="dxa" w:w="259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样本</w:t>
            </w:r>
          </w:p>
        </w:tc>
        <w:tc>
          <w:tcPr>
            <w:tcW w:type="dxa" w:w="1008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月数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>ACF 1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>ACF 12</w:t>
            </w:r>
          </w:p>
        </w:tc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>ACF 24</w:t>
            </w:r>
          </w:p>
        </w:tc>
        <w:tc>
          <w:tcPr>
            <w:tcW w:type="dxa" w:w="1696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LB12 p 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开发期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60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-0.0113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0.1068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0.1307</w:t>
            </w:r>
          </w:p>
        </w:tc>
        <w:tc>
          <w:tcPr>
            <w:tcW w:type="dxa" w:w="1696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0.7335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 xml:space="preserve">最新估计截止月</w:t>
            </w:r>
          </w:p>
        </w:tc>
        <w:tc>
          <w:tcPr>
            <w:tcW w:type="dxa" w:w="1008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60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-0.0685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0.1012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0.0486</w:t>
            </w:r>
          </w:p>
        </w:tc>
        <w:tc>
          <w:tcPr>
            <w:tcW w:type="dxa" w:w="1696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0.8641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对于正值观测，loglevel 与 level 保留相同排序，因此在目标变换、滞后及配对样本相同的情况下，Spearman IC 完全相同，但两者仍可能对应不同的回归形式。边际相关不能证明因果关系或增量预测价值。</w:t>
      </w:r>
    </w:p>
    <w:p>
      <w:pPr>
        <w:pStyle w:val="Heading1"/>
        <w:pageBreakBefore/>
      </w:pPr>
      <w:r>
        <w:rPr>
          <w:rFonts w:eastAsia="Noto Sans CJK SC"/>
          <w:lang w:eastAsia="zh-CN"/>
        </w:rPr>
        <w:t xml:space="preserve">11 未来路径与结果复现</w:t>
      </w:r>
    </w:p>
    <w:p>
      <w:pPr>
        <w:spacing w:after="120"/>
      </w:pPr>
      <w:r>
        <w:rPr>
          <w:rFonts w:ascii="Arial" w:hAnsi="Arial" w:eastAsia="Noto Sans CJK SC"/>
          <w:color w:val="000000"/>
          <w:lang w:eastAsia="zh-CN"/>
        </w:rPr>
        <w:t xml:space="preserve">点预测涵盖 2026 年 1 月至 2026 年 12 月。所选回归模型保留开发期确定的规格，并使用截至 2025 年 12 月的数据重新估计系数。下列数值沿用原始收入单位。</w:t>
      </w:r>
    </w:p>
    <w:p>
      <w:pPr>
        <w:pStyle w:val="Caption"/>
        <w:keepNext/>
      </w:pPr>
      <w:r>
        <w:rPr>
          <w:rFonts w:eastAsia="Noto Sans CJK SC"/>
          <w:lang w:eastAsia="zh-CN"/>
        </w:rPr>
        <w:t xml:space="preserve">表 29 未来点预测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512"/>
        <w:gridCol w:w="2080"/>
        <w:gridCol w:w="2080"/>
        <w:gridCol w:w="2080"/>
        <w:gridCol w:w="2080"/>
      </w:tblGrid>
      <w:tr>
        <w:trPr>
          <w:cantSplit/>
          <w:tblHeader/>
        </w:trPr>
        <w:tc>
          <w:tcPr>
            <w:tcW w:type="dxa" w:w="1512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月份</w:t>
            </w:r>
          </w:p>
        </w:tc>
        <w:tc>
          <w:tcPr>
            <w:tcW w:type="dxa" w:w="208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优选回归模型</w:t>
            </w:r>
          </w:p>
        </w:tc>
        <w:tc>
          <w:tcPr>
            <w:tcW w:type="dxa" w:w="208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朴素预测</w:t>
            </w:r>
          </w:p>
        </w:tc>
        <w:tc>
          <w:tcPr>
            <w:tcW w:type="dxa" w:w="208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漂移预测</w:t>
            </w:r>
          </w:p>
        </w:tc>
        <w:tc>
          <w:tcPr>
            <w:tcW w:type="dxa" w:w="2080"/>
            <w:vAlign w:val="center"/>
            <w:shd w:fill="263C54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  <w:lang w:eastAsia="zh-CN"/>
              </w:rPr>
              <w:t xml:space="preserve">季节性朴素预测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2026-01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3,148.77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3,075.79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3,868.00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2026-02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3,168.26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3,086.59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3,798.00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2026-03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3,203.03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3,097.38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3,809.00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2026-04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3,234.72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3,108.17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3,417.00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2026-05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3,267.51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3,118.97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3,340.00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2026-06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3,300.45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3,129.76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3,163.00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2026-07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3,333.76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3,140.55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3,093.00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2026-08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3,367.40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3,151.35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3,299.00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2026-09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3,401.39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3,162.14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3,050.00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2026-10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3,435.71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3,172.93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3,353.00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2026-11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3,470.38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3,183.73</w:t>
            </w:r>
          </w:p>
        </w:tc>
        <w:tc>
          <w:tcPr>
            <w:tcW w:type="dxa" w:w="2080"/>
            <w:vAlign w:val="center"/>
            <w:shd w:fill="FFFFFF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3,282.00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6F8"/>
          </w:tcPr>
          <w:p>
            <w:pPr>
              <w:spacing w:before="0" w:after="0" w:line="248" w:lineRule="exact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2026-12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3,505.41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3,194.52</w:t>
            </w:r>
          </w:p>
        </w:tc>
        <w:tc>
          <w:tcPr>
            <w:tcW w:type="dxa" w:w="2080"/>
            <w:vAlign w:val="center"/>
            <w:shd w:fill="F3F6F8"/>
          </w:tcPr>
          <w:p>
            <w:pPr>
              <w:spacing w:before="0" w:after="0" w:line="248" w:lineRule="exact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8"/>
                <w:lang w:eastAsia="zh-CN"/>
              </w:rPr>
              <w:t>3,065.00</w:t>
            </w:r>
          </w:p>
        </w:tc>
      </w:tr>
    </w:tbl>
    <w:p>
      <w:pPr>
        <w:spacing w:after="60" w:line="40" w:lineRule="exact"/>
      </w:pPr>
      <w:r>
        <w:rPr>
          <w:rFonts w:ascii="Arial" w:hAnsi="Arial" w:eastAsia="Noto Sans CJK SC"/>
          <w:color w:val="000000"/>
          <w:lang w:eastAsia="zh-CN"/>
        </w:rPr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这些是递归点预测路径，未提供经校准的预测区间。所需未来宏观观测值仅在源数据中可用时使用，缺失输入会记录为预测问题。所选模型不包含宏观项，因此其未来路径不受宏观情景驱动。</w:t>
      </w:r>
    </w:p>
    <w:p>
      <w:pPr>
        <w:pStyle w:val="Heading2"/>
      </w:pPr>
      <w:r>
        <w:rPr>
          <w:rFonts w:eastAsia="Noto Sans CJK SC"/>
          <w:lang w:eastAsia="zh-CN"/>
        </w:rPr>
        <w:t xml:space="preserve">结果解释与局限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虚拟变量系数吸收模型中与指定时期相关的统计差异，不识别因果干预效应。阶段指标仅在包含首尾月份的区间内产生直接贡献，区间结束后取零，但 AR 动态仍可传递此前的影响。若日期选择使用了完整样本信息，虚拟变量调整后的历史结果应作探索性分析。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宏观文件未提供发布日期或实时历史版本，因此日历滞后不能确认相关数据在历史时点是否已经可得。良好的样本内 IC 分布或残差诊断不保证留出期预测有效。固定起点与滚动预测结果应分别用于判断未来路径的不同用途。</w:t>
      </w:r>
    </w:p>
    <w:p>
      <w:pPr>
        <w:pStyle w:val="Heading2"/>
      </w:pPr>
      <w:r>
        <w:rPr>
          <w:rFonts w:eastAsia="Noto Sans CJK SC"/>
          <w:lang w:eastAsia="zh-CN"/>
        </w:rPr>
        <w:t xml:space="preserve">源文件与审计记录</w:t>
      </w:r>
    </w:p>
    <w:p>
      <w:pPr>
        <w:spacing w:after="120"/>
      </w:pPr>
      <w:r>
        <w:rPr>
          <w:rFonts w:ascii="Arial" w:hAnsi="Arial" w:eastAsia="Noto Sans CJK SC"/>
          <w:color w:val="000000"/>
          <w:sz w:val="19"/>
          <w:lang w:eastAsia="zh-CN"/>
        </w:rPr>
        <w:t xml:space="preserve">收入来源：Cardfee.xlsx，使用配置的工作表及日期字段 YYYYMM。宏观来源：Macro_Data_201001-202612.xls，Macro Data 工作表，表头位于第 2 行。运行清单记录精确的源文件路径、哈希值、配置及模型规格。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本次运行：20260909_142129_425283_Commercial_Card_Four-Component_Total。screening.csv 保留全部因子与排除原因，factor_metadata.csv 记录构造方式。ic_distribution_values、ic_distribution_summary 和 ic_distribution_bins CSV 保留完整 IC 分布。</w:t>
      </w:r>
    </w:p>
    <w:p>
      <w:pPr>
        <w:spacing w:after="120"/>
      </w:pPr>
      <w:r>
        <w:rPr>
          <w:rFonts w:ascii="Arial" w:hAnsi="Arial" w:eastAsia="Noto Sans CJK SC"/>
          <w:color w:val="000000"/>
          <w:sz w:val="18"/>
          <w:lang w:eastAsia="zh-CN"/>
        </w:rPr>
        <w:t xml:space="preserve">诊断 CSV 文件包含平稳性与 ACF 结果。model_search.csv 记录模型信息准则；coefficients.csv 和 fitted_values.csv 支持报告中的模型方程。验证、留出期及预测 CSV 文件保留评价指标与月度预测。report.html 提供英文表格和图表。</w:t>
      </w:r>
    </w:p>
    <w:sectPr w:rsidR="00FC693F" w:rsidRPr="0006063C" w:rsidSect="00034616">
      <w:footerReference w:type="default" r:id="rId9"/>
      <w:pgSz w:w="11905" w:h="16838"/>
      <w:pgMar w:top="979" w:right="1037" w:bottom="936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000000"/>
        <w:sz w:val="17"/>
        <w:lang w:eastAsia="zh-CN"/>
      </w:rPr>
      <w:t xml:space="preserve">第 </w:t>
    </w:r>
    <w:fldSimple w:instr="PAGE"/>
    <w:r>
      <w:rPr>
        <w:rFonts w:eastAsia="Noto Sans CJK SC"/>
        <w:lang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Noto Sans CJK SC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8" w:lineRule="exact"/>
    </w:pPr>
    <w:rPr>
      <w:rFonts w:ascii="Arial" w:hAnsi="Arial" w:eastAsia="Noto Sans CJK SC"/>
      <w:color w:val="000000"/>
      <w:sz w:val="21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369" w:lineRule="exact"/>
      <w:outlineLvl w:val="0"/>
    </w:pPr>
    <w:rPr>
      <w:rFonts w:asciiTheme="majorHAnsi" w:hAnsiTheme="majorHAnsi" w:cstheme="majorBidi" w:ascii="Arial" w:hAnsi="Arial" w:eastAsia="Noto Sans CJK SC"/>
      <w:b/>
      <w:bCs/>
      <w:color w:val="000000"/>
      <w:sz w:val="26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312" w:lineRule="exact"/>
      <w:outlineLvl w:val="1"/>
    </w:pPr>
    <w:rPr>
      <w:rFonts w:asciiTheme="majorHAnsi" w:hAnsiTheme="majorHAnsi" w:cstheme="majorBidi" w:ascii="Arial" w:hAnsi="Arial" w:eastAsia="Noto Sans CJK SC"/>
      <w:b/>
      <w:bCs/>
      <w:color w:val="000000"/>
      <w:sz w:val="22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596" w:lineRule="exact"/>
      <w:contextualSpacing/>
    </w:pPr>
    <w:rPr>
      <w:rFonts w:asciiTheme="majorHAnsi" w:hAnsiTheme="majorHAnsi" w:cstheme="majorBidi" w:ascii="Arial" w:hAnsi="Arial" w:eastAsia="Noto Sans CJK SC"/>
      <w:color w:val="000000"/>
      <w:spacing w:val="5"/>
      <w:kern w:val="28"/>
      <w:sz w:val="42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12" w:lineRule="exact"/>
    </w:pPr>
    <w:rPr>
      <w:rFonts w:asciiTheme="majorHAnsi" w:hAnsiTheme="majorHAnsi" w:cstheme="majorBidi" w:ascii="Arial" w:hAnsi="Arial" w:eastAsia="Noto Sans CJK SC"/>
      <w:i/>
      <w:iCs/>
      <w:color w:val="000000"/>
      <w:spacing w:val="15"/>
      <w:sz w:val="22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6" w:lineRule="exact" w:after="120"/>
    </w:pPr>
    <w:rPr>
      <w:rFonts w:ascii="Arial" w:hAnsi="Arial" w:eastAsia="Noto Sans CJK SC"/>
      <w:b/>
      <w:bCs/>
      <w:color w:val="000000"/>
      <w:sz w:val="18"/>
      <w:szCs w:val="18"/>
      <w:lang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Card 建模报告 中文版</dc:title>
  <dc:subject>因子工程 阶段虚拟变量 筛选与稳定性诊断</dc:subject>
  <dc:creator/>
  <cp:keywords>Commercial Card, Spearman IC, percentage change, phase dummy, regression</cp:keywords>
  <dc:description>generated by python-docx</dc:description>
  <cp:lastModifiedBy/>
  <cp:revision>1</cp:revision>
  <dcterms:created xsi:type="dcterms:W3CDTF">2013-12-23T23:15:00Z</dcterms:created>
  <dcterms:modified xsi:type="dcterms:W3CDTF">2026-09-09T14:21:41Z</dcterms:modified>
  <cp:category/>
  <dc:language>zh-CN</dc:language>
</cp:coreProperties>
</file>