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Noto Sans CJK SC"/>
          <w:lang w:eastAsia="zh-CN"/>
        </w:rPr>
        <w:t xml:space="preserve">Commercial Card 建模报告</w:t>
      </w:r>
    </w:p>
    <w:p>
      <w:pPr>
        <w:pStyle w:val="Subtitle"/>
      </w:pPr>
      <w:r>
        <w:rPr>
          <w:rFonts w:eastAsia="Noto Sans CJK SC"/>
          <w:lang w:eastAsia="zh-CN"/>
        </w:rPr>
        <w:t xml:space="preserve">纳入虚拟变量控制与百分比变化的因子筛选</w:t>
      </w:r>
    </w:p>
    <w:p>
      <w:pPr>
        <w:spacing w:after="24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分析运行日期：2026年9月9日    开发期截止：2023年9月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入选回归模型以合并后的 Commercial Card 收入的 pct 为因变量，并纳入事件虚拟变量。具体模型为 pct_none_B1_W60_AR1_12_H0。在全部符合条件的候选模型中，Drift 的内部验证 RMSE 最低。本次更新加入百分比变化变换，并展示筛选前全部宏观衍生特征的样本内 Spearman 秩相关信息系数（IC）分布。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新增的因子家族排名根据 IC 绝对值识别各宏观变量家族中关联最强的特征；该排名与最终因子筛选决定分别报告。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样本外（时间外）检验（OOT）在后续观测期评估开发期已固定的相关关系的方向与稳定性，不据此修改因子或模型选择。</w:t>
      </w:r>
    </w:p>
    <w:p>
      <w:pPr>
        <w:pStyle w:val="Heading1"/>
      </w:pPr>
      <w:r>
        <w:rPr>
          <w:rFonts w:eastAsia="Noto Sans CJK SC"/>
          <w:lang w:eastAsia="zh-CN"/>
        </w:rPr>
        <w:t xml:space="preserve">1 分析范围与因变量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因变量为 Commercial Card（四项合计）：1 × Commercial Card + 1 × QualPay + 1 × Sponsorships + 1 × Small Business。先合并四项收入，再进行变换；金额沿用源表单位。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按照已确认的已报告收入合计口径，QualPay 中的 149 个文本短横线按对合计贡献为零处理。这一处理并不代表实际业务收入为零。其他缺失值不填补；源表已报告的负值分项予以保留。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收入样本共 180 个月，覆盖 2011年1月至2025年12月。因子筛选截止于2023年9月。回归候选样本起点为2013年1月。内部验证期为2021年1月至2023年9月；留出样本评估期为2023年10月至2025年12月。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 宏观候选变量范围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376"/>
        <w:gridCol w:w="7456"/>
      </w:tblGrid>
      <w:tr>
        <w:trPr>
          <w:cantSplit/>
          <w:tblHeader/>
        </w:trPr>
        <w:tc>
          <w:tcPr>
            <w:tcW w:type="dxa" w:w="237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类别</w:t>
            </w:r>
          </w:p>
        </w:tc>
        <w:tc>
          <w:tcPr>
            <w:tcW w:type="dxa" w:w="745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本次纳入的变量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每次建模必含的核心变量</w:t>
            </w:r>
          </w:p>
        </w:tc>
        <w:tc>
          <w:tcPr>
            <w:tcW w:type="dxa" w:w="745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FLBR, FCPIU, FYPDPIQ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业务专属变量</w:t>
            </w:r>
          </w:p>
        </w:tc>
        <w:tc>
          <w:tcPr>
            <w:tcW w:type="dxa" w:w="745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FZA, FIP, FDJMIIUSDD_WCFTDQ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 开发期因变量平稳性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1080"/>
        <w:gridCol w:w="1944"/>
        <w:gridCol w:w="1944"/>
        <w:gridCol w:w="2272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变换方法</w:t>
            </w:r>
          </w:p>
        </w:tc>
        <w:tc>
          <w:tcPr>
            <w:tcW w:type="dxa" w:w="1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月数</w:t>
            </w:r>
          </w:p>
        </w:tc>
        <w:tc>
          <w:tcPr>
            <w:tcW w:type="dxa" w:w="194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ADF p 值</w:t>
            </w:r>
          </w:p>
        </w:tc>
        <w:tc>
          <w:tcPr>
            <w:tcW w:type="dxa" w:w="194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KPSS p 值</w:t>
            </w:r>
          </w:p>
        </w:tc>
        <w:tc>
          <w:tcPr>
            <w:tcW w:type="dxa" w:w="227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联合筛选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level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0.8877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≤0.0100</w:t>
            </w:r>
          </w:p>
        </w:tc>
        <w:tc>
          <w:tcPr>
            <w:tcW w:type="dxa" w:w="227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log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153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0.7539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≤0.0100</w:t>
            </w:r>
          </w:p>
        </w:tc>
        <w:tc>
          <w:tcPr>
            <w:tcW w:type="dxa" w:w="227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diff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0.0410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dlog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0.0272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141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0.1896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pct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0.0158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通过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候选因变量变换为 diff、dlog、yoylog、pct。核心宏观变量始终纳入特征池，但其衍生因子仍须通过筛选。因变量变换必须通过所配置的平稳性门槛，才有资格参与最终模型选择。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2 因子工程与虚拟变量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6 个宏观变量生成 90 个主效应和 180 个交互项，共 270 个因子。针对 4 种因变量变换进行筛选，共形成 1080 条因子—目标记录。宏观因子的滞后期为 1、3、6 个日历月。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3 变换定义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5008"/>
        <w:gridCol w:w="1728"/>
        <w:gridCol w:w="1584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类型</w:t>
            </w:r>
          </w:p>
        </w:tc>
        <w:tc>
          <w:tcPr>
            <w:tcW w:type="dxa" w:w="500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第 t 月的定义</w:t>
            </w:r>
          </w:p>
        </w:tc>
        <w:tc>
          <w:tcPr>
            <w:tcW w:type="dxa" w:w="172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因变量候选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宏观变量候选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level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V[t]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仅用于诊断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log</w:t>
            </w:r>
          </w:p>
        </w:tc>
        <w:tc>
          <w:tcPr>
            <w:tcW w:type="dxa" w:w="500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仅用于诊断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diff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V[t] − V[t−1]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dlog</w:t>
            </w:r>
          </w:p>
        </w:tc>
        <w:tc>
          <w:tcPr>
            <w:tcW w:type="dxa" w:w="500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 − ln(V[t−1])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 − ln(V[t−12])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pct</w:t>
            </w:r>
          </w:p>
        </w:tc>
        <w:tc>
          <w:tcPr>
            <w:tcW w:type="dxa" w:w="500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V[t] / V[t−1] − 1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loglevel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否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V 表示收入 Y 或宏观序列 M。宏观因子先执行指定变换，再滞后 k 个月。交互项由两个采用相同变换和相同滞后期的母因子相乘构成。允许生成交互项的变换为 diff、dlog、yoylog、pct。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pct 为以小数表示的月度变化率：0.05 表示 5%。该值不乘以 100；前一期数值为零时，pct 无定义。对数变化也不乘以 100。百分比变化可用于因变量、宏观主效应及配置允许的交互项。</w:t>
      </w:r>
    </w:p>
    <w:p>
      <w:pPr>
        <w:pStyle w:val="Heading2"/>
      </w:pPr>
      <w:r>
        <w:rPr>
          <w:rFonts w:eastAsia="Noto Sans CJK SC"/>
          <w:lang w:eastAsia="zh-CN"/>
        </w:rPr>
        <w:t xml:space="preserve">事件虚拟变量的构造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配置的事件月份为2021年1月、2023年6月。对每个事件月 τ，定义阶跃变量 D[t]：从 τ 起取 1，此前取 0。这些变量作为回归模型族中预先指定的控制项，不经过宏观 IC 筛选门槛。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6448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因变量变换</w:t>
            </w:r>
          </w:p>
        </w:tc>
        <w:tc>
          <w:tcPr>
            <w:tcW w:type="dxa" w:w="644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事件回归项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level 或 log</w:t>
            </w:r>
          </w:p>
        </w:tc>
        <w:tc>
          <w:tcPr>
            <w:tcW w:type="dxa" w:w="644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D[t]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diff、dlog 或 pct</w:t>
            </w:r>
          </w:p>
        </w:tc>
        <w:tc>
          <w:tcPr>
            <w:tcW w:type="dxa" w:w="644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D[t] − D[t−1]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644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D[t] − D[t−12]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对于 pct，虚拟变量取阶跃变量的一阶月度差分，而非二元序列的百分比变化。在配置的事件日期之前，未来事件变量不可用；拟合时省略全零控制项。脉冲虚拟变量只报告系数，不报告常规显著性检验，因为单个事件月份不足以支持此类推断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分别比较包含与不包含事件控制项的模型族。如果事件日期是在观察历史样本后指定的，则这些比较具有探索性；不据此估计事件的因果效应。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3 样本内 Spearman IC 分布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每幅直方图纳入全部具有有效 Spearman IC 的宏观衍生特征，按截至2023年9月各特征的有效配对样本计算。这些 IC 为未经虚拟变量调整的边际相关系数。未通过平稳性、相关性、符号稳定性或最终缩减筛选的因子仍纳入展示。每个因子与目标组合对应一个完整样本 IC，并非月度滚动 IC 的分布。</w:t>
      </w:r>
    </w:p>
    <w:p>
      <w:pPr>
        <w:spacing w:line="240" w:lineRule="auto" w:after="160"/>
        <w:jc w:val="center"/>
      </w:pPr>
      <m:oMathPara>
        <m:oMath>
          <m:r>
            <m:t>IC = corr(rank(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), rank(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))</m:t>
          </m:r>
        </m:oMath>
      </m:oMathPara>
    </w:p>
    <w:p>
      <w:pPr>
        <w:spacing w:line="240" w:lineRule="auto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t>IC</m:t>
              </m:r>
            </m:sub>
          </m:sSub>
          <m:r>
            <m:t> = IC × √((n − 2) / (1 − IC²))</m:t>
          </m:r>
        </m:oMath>
      </m:oMathPara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图 1 筛选前全部宏观衍生特征的 IC</w:t>
      </w:r>
    </w:p>
    <w:p>
      <w:pPr>
        <w:spacing w:line="240" w:lineRule="auto"/>
        <w:jc w:val="center"/>
      </w:pPr>
      <w:r>
        <w:rPr>
          <w:rFonts w:eastAsia="Noto Sans CJK SC"/>
          <w:lang w:eastAsia="zh-CN"/>
        </w:rPr>
        <w:drawing>
          <wp:inline xmlns:a="http://schemas.openxmlformats.org/drawingml/2006/main" xmlns:pic="http://schemas.openxmlformats.org/drawingml/2006/picture">
            <wp:extent cx="6126480" cy="3939204"/>
            <wp:docPr id="1" name="Picture 1" descr="全部宏观特征的样本内 Spearman IC 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4 分布汇总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224"/>
        <w:gridCol w:w="792"/>
        <w:gridCol w:w="864"/>
        <w:gridCol w:w="1224"/>
        <w:gridCol w:w="1440"/>
        <w:gridCol w:w="1512"/>
        <w:gridCol w:w="1368"/>
        <w:gridCol w:w="1408"/>
      </w:tblGrid>
      <w:tr>
        <w:trPr>
          <w:cantSplit/>
          <w:tblHeader/>
        </w:trPr>
        <w:tc>
          <w:tcPr>
            <w:tcW w:type="dxa" w:w="122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7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全部</w:t>
            </w:r>
          </w:p>
        </w:tc>
        <w:tc>
          <w:tcPr>
            <w:tcW w:type="dxa" w:w="8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有效</w:t>
            </w:r>
          </w:p>
        </w:tc>
        <w:tc>
          <w:tcPr>
            <w:tcW w:type="dxa" w:w="122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未定义</w:t>
            </w:r>
          </w:p>
        </w:tc>
        <w:tc>
          <w:tcPr>
            <w:tcW w:type="dxa" w:w="14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均值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中位数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最小值</w:t>
            </w:r>
          </w:p>
        </w:tc>
        <w:tc>
          <w:tcPr>
            <w:tcW w:type="dxa" w:w="14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最大值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diff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-0.0044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-0.1839</w:t>
            </w:r>
          </w:p>
        </w:tc>
        <w:tc>
          <w:tcPr>
            <w:tcW w:type="dxa" w:w="14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0.2120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dlog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-0.0030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-0.1823</w:t>
            </w:r>
          </w:p>
        </w:tc>
        <w:tc>
          <w:tcPr>
            <w:tcW w:type="dxa" w:w="14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0.2077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0.0443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0.0383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-0.5511</w:t>
            </w:r>
          </w:p>
        </w:tc>
        <w:tc>
          <w:tcPr>
            <w:tcW w:type="dxa" w:w="14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0.5314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pct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-0.0030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-0.1823</w:t>
            </w:r>
          </w:p>
        </w:tc>
        <w:tc>
          <w:tcPr>
            <w:tcW w:type="dxa" w:w="14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0.2077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横轴固定为 −1 至 1。柱高表示特征数量，并区分主效应与交互项；标记用于识别已入选（Selected）的因子。无定义的 IC 单独计数，不按零绘制。虚拟变量、AR 项与季节性控制项属于回归项，不属于此处的宏观衍生特征范围。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该分布仅用于描述：相关的变换、滞后项和交互项并非相互独立的观测。它不是零假设下的分布，也不构成多重检验校正。筛选使用可获得的历史有效配对数据，不受后续回归起始日期限制；留出期收入不参与筛选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4 各因子家族中 IC 最强的特征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本节针对每种因变量变换，在每个源宏观变量家族中识别边际相关性最强的特征。主表覆盖 6 个宏观变量家族，共 24 条家族—目标记录。排名使用截至2023年9月全部有效的筛选前 IC，包括随后未通过筛选门槛的特征。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候选特征按 Spearman IC 绝对值排序，表中保留 IC 原始正负号。数值完全相同时，优先选择有效配对观测数更多的特征；仍相同则按特征名称升序排序。IC t 统计量不参与该排名。家族排名第一仅是描述性结果，并不意味着自动纳入模型。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5 diff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-0.1125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-0.0708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0.0548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FZA_diff_L3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0.1036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-0.1439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</w:t>
              <w:br/>
              <w:t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FDJMIIUSDD_WCFTDQ_diff_L6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-0.1083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F06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diff：90 个主效应候选特征中有 90 个有效 IC；1 个家族的第一名需要按同值规则确定。因变量平稳性门槛：通过。N 为有效配对月份数。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6 dlog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</w:t>
              <w:br/>
              <w:t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F08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dlog：90 个主效应候选特征中有 90 个有效 IC；2 个家族的第一名需要按同值规则确定。因变量平稳性门槛：通过。N 为有效配对月份数。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各因子家族中 IC 最强的特征 续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其余因变量变换采用相同的 IC 绝对值排名规则。筛选门槛状态及目标的入选资格与排名分别报告；公式编号对应下一页的可编辑计算公式目录。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7 yoylog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-0.4245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0.3932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0.2445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已入选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已入选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</w:t>
              <w:br/>
              <w:t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0.1916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F14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yoylog：90 个主效应候选特征中有 90 个有效 IC；0 个家族的第一名需要按同值规则确定。因变量平稳性门槛：未通过；对应模型保留为对照候选。N 为有效配对月份数。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8 pct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</w:t>
              <w:br/>
              <w:t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F08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pct：90 个主效应候选特征中有 90 个有效 IC；2 个家族的第一名需要按同值规则确定。因变量平稳性门槛：通过。N 为有效配对月份数。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交互项的变量配对单独构成因子家族。其 60 条家族—目标最强特征记录，以及完整的筛选原因、同值候选数、候选总数和公式，保存在 best_features_by_ic_per_family.csv 与详细 HTML 视图中。此处主表仅展示源宏观变量的主效应。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门槛状态沿用已有筛选结果。“未通过平稳性”表示未通过 ADF/KPSS 联合门槛；“未通过边际门槛”表示未通过其他必要的边际门槛。可选的 BH 校正未通过与后续因子缩减分别记录。“已入选”表示原有流程的筛选决定，并非根据本节排名重新作出的决定。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对于 yoylog，FYPDPIQ_diff_L1 以 IC 0.2445 位居本家族第一，但未通过平稳性检验。原有筛选保留的是 IC 0.2202 的 FYPDPIQ_dlog_L1。这说明按 IC 绝对值排名第一的特征，可能与最终用于建模的因子不同。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最强特征的计算公式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每个公式编号定义相应宏观特征在建模月份 t 的计算方式。先变换，再滞后；ln 为自然对数。pct 为以小数表示的变化率，因此 0.05 表示 5%。在不同目标下重复排名第一的特征使用同一公式。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公式中的 M 表示 FDJMIIUSDD_WCFTDQ。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9 各家族最强特征的去重计算公式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720"/>
        <w:gridCol w:w="3312"/>
        <w:gridCol w:w="5800"/>
      </w:tblGrid>
      <w:tr>
        <w:trPr>
          <w:cantSplit/>
          <w:tblHeader/>
        </w:trPr>
        <w:tc>
          <w:tcPr>
            <w:tcW w:type="dxa" w:w="72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编号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特征</w:t>
            </w:r>
          </w:p>
        </w:tc>
        <w:tc>
          <w:tcPr>
            <w:tcW w:type="dxa" w:w="580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计算公式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F01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FLBR_pct_L3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FLBR</m:t>
                  </m:r>
                </m:e>
                <m:sub>
                  <m:r>
                    <m:t>t−3</m:t>
                  </m:r>
                </m:sub>
              </m:sSub>
              <m:r>
                <m:t> / </m:t>
              </m:r>
              <m:sSub>
                <m:e>
                  <m:r>
                    <m:t>FLBR</m:t>
                  </m:r>
                </m:e>
                <m:sub>
                  <m:r>
                    <m:t>t−4</m:t>
                  </m:r>
                </m:sub>
              </m:sSub>
              <m:r>
                <m:t> − 1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F02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FCPIU_dlog_L6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FCPIU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FCPIU</m:t>
                  </m:r>
                </m:e>
                <m:sub>
                  <m:r>
                    <m:t>t−7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F03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FYPDPIQ_diff_L3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FYPDPIQ</m:t>
                  </m:r>
                </m:e>
                <m:sub>
                  <m:r>
                    <m:t>t−3</m:t>
                  </m:r>
                </m:sub>
              </m:sSub>
              <m:r>
                <m:t> − </m:t>
              </m:r>
              <m:sSub>
                <m:e>
                  <m:r>
                    <m:t>FYPDPIQ</m:t>
                  </m:r>
                </m:e>
                <m:sub>
                  <m:r>
                    <m:t>t−4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F04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FZA_diff_L3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FZA</m:t>
                  </m:r>
                </m:e>
                <m:sub>
                  <m:r>
                    <m:t>t−3</m:t>
                  </m:r>
                </m:sub>
              </m:sSub>
              <m:r>
                <m:t> − </m:t>
              </m:r>
              <m:sSub>
                <m:e>
                  <m:r>
                    <m:t>FZA</m:t>
                  </m:r>
                </m:e>
                <m:sub>
                  <m:r>
                    <m:t>t−4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F05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FIP_diff_L6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FIP</m:t>
                  </m:r>
                </m:e>
                <m:sub>
                  <m:r>
                    <m:t>t−6</m:t>
                  </m:r>
                </m:sub>
              </m:sSub>
              <m:r>
                <m:t> − </m:t>
              </m:r>
              <m:sSub>
                <m:e>
                  <m:r>
                    <m:t>FIP</m:t>
                  </m:r>
                </m:e>
                <m:sub>
                  <m:r>
                    <m:t>t−7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F06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FDJMIIUSDD_WCFTDQ_diff_L6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t−6</m:t>
                  </m:r>
                </m:sub>
              </m:sSub>
              <m:r>
                <m:t> − </m:t>
              </m:r>
              <m:sSub>
                <m:e>
                  <m:r>
                    <m:t>M</m:t>
                  </m:r>
                </m:e>
                <m:sub>
                  <m:r>
                    <m:t>t−7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F07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FZA_yoylog_L1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FZA</m:t>
                  </m:r>
                </m:e>
                <m:sub>
                  <m:r>
                    <m:t>t−1</m:t>
                  </m:r>
                </m:sub>
              </m:sSub>
              <m:r>
                <m:t>) − ln(</m:t>
              </m:r>
              <m:sSub>
                <m:e>
                  <m:r>
                    <m:t>FZA</m:t>
                  </m:r>
                </m:e>
                <m:sub>
                  <m:r>
                    <m:t>t−13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F08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FDJMIIUSDD_WCFTDQ_dlog_L1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M</m:t>
                  </m:r>
                </m:e>
                <m:sub>
                  <m:r>
                    <m:t>t−1</m:t>
                  </m:r>
                </m:sub>
              </m:sSub>
              <m:r>
                <m:t>) − ln(</m:t>
              </m:r>
              <m:sSub>
                <m:e>
                  <m:r>
                    <m:t>M</m:t>
                  </m:r>
                </m:e>
                <m:sub>
                  <m:r>
                    <m:t>t−2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F09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FLBR_yoylog_L6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FLBR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FLBR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F10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FCPIU_yoylog_L6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FCPIU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FCPIU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F11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FYPDPIQ_diff_L1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FYPDPIQ</m:t>
                  </m:r>
                </m:e>
                <m:sub>
                  <m:r>
                    <m:t>t−1</m:t>
                  </m:r>
                </m:sub>
              </m:sSub>
              <m:r>
                <m:t> − </m:t>
              </m:r>
              <m:sSub>
                <m:e>
                  <m:r>
                    <m:t>FYPDPIQ</m:t>
                  </m:r>
                </m:e>
                <m:sub>
                  <m:r>
                    <m:t>t−2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F12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FZA_yoylog_L3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FZA</m:t>
                  </m:r>
                </m:e>
                <m:sub>
                  <m:r>
                    <m:t>t−3</m:t>
                  </m:r>
                </m:sub>
              </m:sSub>
              <m:r>
                <m:t>) − ln(</m:t>
              </m:r>
              <m:sSub>
                <m:e>
                  <m:r>
                    <m:t>FZA</m:t>
                  </m:r>
                </m:e>
                <m:sub>
                  <m:r>
                    <m:t>t−15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F13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FIP_yoylog_L6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FIP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FIP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F14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FDJMIIUSDD_WCFTDQ_yoylog_L6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M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M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这些公式对应筛选前 IC 绝对值最强的候选特征。下一节仍仅展示原有流程中已入选的因子；上述排名不改变该因子清单或已拟合的回归模型。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5 通过全部边际筛选门槛的因子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每个因子至少需要 36 个有效配对观测，并满足 ADF p ≤ 0.05、KPSS p ≥ 0.05，以及近似 Spearman IC t 统计量的绝对值 ≥ 2。按时间先后划分的两个半样本中，IC 必须具有相同的非零符号。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每个宏观变量家族按 IC t 绝对值保留最强的 1 个合格主效应，并最多保留 2 个合格交互项。交互项的两个具体母因子必须均已入选。HAC 使用 12 阶滞后。BH 校正在每个目标内对全部有效 HAC p 值统一进行；本次未启用 BH 剔除阈值。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10 各因变量变换的筛选漏斗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440"/>
        <w:gridCol w:w="1512"/>
        <w:gridCol w:w="1800"/>
        <w:gridCol w:w="1656"/>
        <w:gridCol w:w="1656"/>
        <w:gridCol w:w="1768"/>
      </w:tblGrid>
      <w:tr>
        <w:trPr>
          <w:cantSplit/>
          <w:tblHeader/>
        </w:trPr>
        <w:tc>
          <w:tcPr>
            <w:tcW w:type="dxa" w:w="144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因变量变换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候选数</w:t>
            </w:r>
          </w:p>
        </w:tc>
        <w:tc>
          <w:tcPr>
            <w:tcW w:type="dxa" w:w="180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通过平稳性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再通过 IC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通过全部严格筛选</w:t>
            </w:r>
          </w:p>
        </w:tc>
        <w:tc>
          <w:tcPr>
            <w:tcW w:type="dxa" w:w="176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已入选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diff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76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dlog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76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48</w:t>
            </w:r>
          </w:p>
        </w:tc>
        <w:tc>
          <w:tcPr>
            <w:tcW w:type="dxa" w:w="176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pct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76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下表仅展示“筛选原因”为“已入选”的记录。入选数量按目标分别统计；同一因子可能在多个因变量变换下入选。宏观因子通过筛选，不能使未通过平稳性门槛的因变量变换获得入选资格。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11 入选因子的统计量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08"/>
        <w:gridCol w:w="3499"/>
        <w:gridCol w:w="648"/>
        <w:gridCol w:w="979"/>
        <w:gridCol w:w="979"/>
        <w:gridCol w:w="1238"/>
        <w:gridCol w:w="1480"/>
      </w:tblGrid>
      <w:tr>
        <w:trPr>
          <w:cantSplit/>
          <w:tblHeader/>
        </w:trPr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349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入选因子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97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97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t 值</w:t>
            </w:r>
          </w:p>
        </w:tc>
        <w:tc>
          <w:tcPr>
            <w:tcW w:type="dxa" w:w="123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HAC BH q 值</w:t>
            </w:r>
          </w:p>
        </w:tc>
        <w:tc>
          <w:tcPr>
            <w:tcW w:type="dxa" w:w="148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因变量筛选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FYPDPIQ_dlog_L1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0.2202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2.6613</w:t>
            </w:r>
          </w:p>
        </w:tc>
        <w:tc>
          <w:tcPr>
            <w:tcW w:type="dxa" w:w="123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0.0149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备选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97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97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3.8983</w:t>
            </w:r>
          </w:p>
        </w:tc>
        <w:tc>
          <w:tcPr>
            <w:tcW w:type="dxa" w:w="123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0.0891</w:t>
            </w:r>
          </w:p>
        </w:tc>
        <w:tc>
          <w:tcPr>
            <w:tcW w:type="dxa" w:w="148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备选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7.2705</w:t>
            </w:r>
          </w:p>
        </w:tc>
        <w:tc>
          <w:tcPr>
            <w:tcW w:type="dxa" w:w="123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备选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Heading2"/>
      </w:pPr>
      <w:r>
        <w:rPr>
          <w:rFonts w:eastAsia="Noto Sans CJK SC"/>
          <w:lang w:eastAsia="zh-CN"/>
        </w:rPr>
        <w:t xml:space="preserve">入选因子的计算公式</w:t>
      </w:r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8"/>
          <w:lang w:eastAsia="zh-CN"/>
        </w:rPr>
        <w:t>FYPDPIQ_dlog_L1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 = </m:t>
          </m:r>
          <m:r>
            <m:t>ln(</m:t>
          </m:r>
          <m:sSub>
            <m:e>
              <m:r>
                <m:t>FYPDPIQ</m:t>
              </m:r>
            </m:e>
            <m:sub>
              <m:r>
                <m:t>t−1</m:t>
              </m:r>
            </m:sub>
          </m:sSub>
          <m:r>
            <m:t>) − ln(</m:t>
          </m:r>
          <m:sSub>
            <m:e>
              <m:r>
                <m:t>FYPDPIQ</m:t>
              </m:r>
            </m:e>
            <m:sub>
              <m:r>
                <m:t>t−2</m:t>
              </m:r>
            </m:sub>
          </m:sSub>
          <m:r>
            <m:t>)</m:t>
          </m:r>
        </m:oMath>
      </m:oMathPara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8"/>
          <w:lang w:eastAsia="zh-CN"/>
        </w:rPr>
        <w:t>FZA_yoylog_L3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 = </m:t>
          </m:r>
          <m:r>
            <m:t>ln(</m:t>
          </m:r>
          <m:sSub>
            <m:e>
              <m:r>
                <m:t>FZA</m:t>
              </m:r>
            </m:e>
            <m:sub>
              <m:r>
                <m:t>t−3</m:t>
              </m:r>
            </m:sub>
          </m:sSub>
          <m:r>
            <m:t>) − ln(</m:t>
          </m:r>
          <m:sSub>
            <m:e>
              <m:r>
                <m:t>FZA</m:t>
              </m:r>
            </m:e>
            <m:sub>
              <m:r>
                <m:t>t−15</m:t>
              </m:r>
            </m:sub>
          </m:sSub>
          <m:r>
            <m:t>)</m:t>
          </m:r>
        </m:oMath>
      </m:oMathPara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8"/>
          <w:lang w:eastAsia="zh-CN"/>
        </w:rPr>
        <w:t>FIP_yoylog_L6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 = </m:t>
          </m:r>
          <m:r>
            <m:t>ln(</m:t>
          </m:r>
          <m:sSub>
            <m:e>
              <m:r>
                <m:t>FIP</m:t>
              </m:r>
            </m:e>
            <m:sub>
              <m:r>
                <m:t>t−6</m:t>
              </m:r>
            </m:sub>
          </m:sSub>
          <m:r>
            <m:t>) − ln(</m:t>
          </m:r>
          <m:sSub>
            <m:e>
              <m:r>
                <m:t>FIP</m:t>
              </m:r>
            </m:e>
            <m:sub>
              <m:r>
                <m:t>t−18</m:t>
              </m:r>
            </m:sub>
          </m:sSub>
          <m:r>
            <m:t>)</m:t>
          </m:r>
        </m:oMath>
      </m:oMathPara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12 入选因子的平稳性与符号稳定性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08"/>
        <w:gridCol w:w="3499"/>
        <w:gridCol w:w="1296"/>
        <w:gridCol w:w="1296"/>
        <w:gridCol w:w="1368"/>
        <w:gridCol w:w="1365"/>
      </w:tblGrid>
      <w:tr>
        <w:trPr>
          <w:cantSplit/>
          <w:tblHeader/>
        </w:trPr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349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入选因子</w:t>
            </w:r>
          </w:p>
        </w:tc>
        <w:tc>
          <w:tcPr>
            <w:tcW w:type="dxa" w:w="129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ADF p 值</w:t>
            </w:r>
          </w:p>
        </w:tc>
        <w:tc>
          <w:tcPr>
            <w:tcW w:type="dxa" w:w="129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KPSS p 值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前半期 IC</w:t>
            </w:r>
          </w:p>
        </w:tc>
        <w:tc>
          <w:tcPr>
            <w:tcW w:type="dxa" w:w="136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后半期 IC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FYPDPIQ_dlog_L1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0.0059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0.2429</w:t>
            </w:r>
          </w:p>
        </w:tc>
        <w:tc>
          <w:tcPr>
            <w:tcW w:type="dxa" w:w="136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0.1362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0.0469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0.4283</w:t>
            </w:r>
          </w:p>
        </w:tc>
        <w:tc>
          <w:tcPr>
            <w:tcW w:type="dxa" w:w="136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0.2520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0.0389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0.4616</w:t>
            </w:r>
          </w:p>
        </w:tc>
        <w:tc>
          <w:tcPr>
            <w:tcW w:type="dxa" w:w="136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0.5597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t 为建模月份，t−k 表示此前 k 个日历月。KPSS 的边界值表示 p 值的界限。近似 IC t 统计量假设配对观测相互独立；基于秩的 HAC 推断可诊断序列依赖的影响，但不能消除非平稳性或证明因果关系。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6 模型选择与预测验证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OLS 候选模型采用 AR 滞后集合 {1}、{1, 2, 3}、{1, 12}，傅里叶谐波分别设为 0、2、5 对，估计窗口为扩展窗口或 60 个月。BIC 在相同目标与窗口内，使用匹配的样本日期比较模型规格。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在每个内部验证分块的起点重新执行因子筛选与模型规格选择，并逐月重新估计系数。最终模型族按 33 个验证月的原始金额尺度 RMSE 选择，且须覆盖全部预测月份并通过所配置的目标门槛。在留出期评估前，模型族与因子清单固定。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13 2021年1月至2023年9月的内部验证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888"/>
        <w:gridCol w:w="936"/>
        <w:gridCol w:w="1584"/>
        <w:gridCol w:w="1584"/>
        <w:gridCol w:w="1840"/>
      </w:tblGrid>
      <w:tr>
        <w:trPr>
          <w:cantSplit/>
          <w:tblHeader/>
        </w:trPr>
        <w:tc>
          <w:tcPr>
            <w:tcW w:type="dxa" w:w="388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方法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月数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RMSE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MAE</w:t>
            </w:r>
          </w:p>
        </w:tc>
        <w:tc>
          <w:tcPr>
            <w:tcW w:type="dxa" w:w="184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sMAPE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优选回归模型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237.15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149.28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6.95%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不含虚拟变量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239.27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152.60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7.06%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朴素预测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230.93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153.67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6.87%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漂移预测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230.33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155.25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6.93%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季节性朴素预测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533.77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435.09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19.45%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符合条件的最佳回归模型族为 pct_none_B1_W60；其开发期模型规格为 pct_none_B1_W60_AR1_12_H0，包含事件虚拟变量。在全部符合条件的候选模型中，Drift 的验证表现最佳。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用于直接比较虚拟变量效果的模型族为 pct_none_B0_W60。它采用相同的目标、宏观因子选择模式与窗口；AR 项和傅里叶项在各模型族内独立选择。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开发期 AIC = -128.5466；BIC = -115.9806；调整后 R² = 0.3816。信息准则不用于直接比较不同因变量变换或不同估计窗口的模型。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14 2023年10月至2025年12月的留出期评估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816"/>
        <w:gridCol w:w="1512"/>
        <w:gridCol w:w="1512"/>
        <w:gridCol w:w="1512"/>
        <w:gridCol w:w="1480"/>
      </w:tblGrid>
      <w:tr>
        <w:trPr>
          <w:cantSplit/>
          <w:tblHeader/>
        </w:trPr>
        <w:tc>
          <w:tcPr>
            <w:tcW w:type="dxa" w:w="381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方法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滚动 RMSE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滚动 MAE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固定起点 RMSE</w:t>
            </w:r>
          </w:p>
        </w:tc>
        <w:tc>
          <w:tcPr>
            <w:tcW w:type="dxa" w:w="14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固定起点 MAE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优选回归模型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272.34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189.12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942.81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771.32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不含虚拟变量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266.56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202.68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643.75</w:t>
            </w:r>
          </w:p>
        </w:tc>
        <w:tc>
          <w:tcPr>
            <w:tcW w:type="dxa" w:w="14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518.41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朴素预测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267.49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192.56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248.28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191.74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漂移预测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268.98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196.89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335.70</w:t>
            </w:r>
          </w:p>
        </w:tc>
        <w:tc>
          <w:tcPr>
            <w:tcW w:type="dxa" w:w="14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293.52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季节性朴素预测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599.16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425.59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865.61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743.96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滚动预测为使用此前已观测收入重新拟合的一步预测。固定起点预测将系数固定于2023年9月，递归预测时不使用未来实际收入。滚动对数模型预测采用残差涂抹校正；固定起点对数模型预测采用递归代入路径。百分比变化预测通过 Y[t−1] × (1 + z[t]) 还原。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所选回归模型的滚动预测 RMSE 比 Naive 高 1.81%，固定起点预测 RMSE 比 Naive 高 279.74%。两种预测方式回答不同的问题，应分别评价。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Naive 沿用最近一期收入；季节性朴素预测沿用 12 个月前的收入；Drift 在最近一期收入上累加历史平均月度变化。RMSE 和 MAE 沿用收入单位，sMAPE 以百分比报告。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7 OOT IC 方向与稳定性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训练期 IC 沿用截至 2023 年 9 月已冻结的开发期筛选结果。OOT 涵盖 2023 年 10 月至 2025 年 12 月。下图每个点代表一个工程化宏观特征，两个时期均与同一种因变量变换配对计算 IC。此处的 IC 为虚拟变量调整前的边际 Spearman 秩相关信息系数。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完整 OOT 的 IC 至少需要 12 个有效配对月份。训练期指历史因子筛选样本，其起点可能早于回归估计样本，并非所选模型的末端窗口估计样本。OOT 观测值不改变特征定义、开发期排名、已选因子或拟合模型的选择。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图 2 全部工程化宏观特征的训练期与 OOT IC 对比</w:t>
      </w:r>
    </w:p>
    <w:p>
      <w:pPr>
        <w:spacing w:line="240" w:lineRule="auto"/>
        <w:jc w:val="center"/>
      </w:pPr>
      <w:r>
        <w:rPr>
          <w:rFonts w:eastAsia="Noto Sans CJK SC"/>
          <w:lang w:eastAsia="zh-CN"/>
        </w:rPr>
        <w:drawing>
          <wp:inline xmlns:a="http://schemas.openxmlformats.org/drawingml/2006/main" xmlns:pic="http://schemas.openxmlformats.org/drawingml/2006/picture">
            <wp:extent cx="6126480" cy="4502594"/>
            <wp:docPr id="2" name="Picture 2" descr="开发期与样本外 Spearman IC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vs_oot_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0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15 全部特征的对比汇总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80"/>
        <w:gridCol w:w="1080"/>
        <w:gridCol w:w="1368"/>
        <w:gridCol w:w="1368"/>
        <w:gridCol w:w="1296"/>
        <w:gridCol w:w="1800"/>
        <w:gridCol w:w="1840"/>
      </w:tblGrid>
      <w:tr>
        <w:trPr>
          <w:cantSplit/>
          <w:tblHeader/>
        </w:trPr>
        <w:tc>
          <w:tcPr>
            <w:tcW w:type="dxa" w:w="108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108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特征数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可比较数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符号反转数</w:t>
            </w:r>
          </w:p>
        </w:tc>
        <w:tc>
          <w:tcPr>
            <w:tcW w:type="dxa" w:w="129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符号稳定数</w:t>
            </w:r>
          </w:p>
        </w:tc>
        <w:tc>
          <w:tcPr>
            <w:tcW w:type="dxa" w:w="180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  <w:br/>
              <w:t xml:space="preserve">中位数</w:t>
            </w:r>
          </w:p>
        </w:tc>
        <w:tc>
          <w:tcPr>
            <w:tcW w:type="dxa" w:w="18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OOT IC</w:t>
              <w:br/>
              <w:t xml:space="preserve">中位数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diff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62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-0.0008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0.0014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dlog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145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58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0.0031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112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80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0.0383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0.0187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pct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145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58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0.0031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可比数量统计两个时期的 IC 均为有限值的特征数，两个中位数也基于同一组可比特征。方向稳定要求训练期、完整 OOT 以及 OOT 前后半段的 IC 均为非零且同号。图中坐标轴固定为 −1 至 1；越接近对角线，两个时期的 IC 大小越接近；落入异号象限表示方向反转。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已入选因子的 OOT 稳定性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下列因子在开发期筛选流程中被标记为 Selected。即使其 OOT 相关关系减弱或反转，该标签也予以保留。yoylog 因变量变换未通过平稳性筛选门槛。所选 pct 回归模型包含 0 个宏观项。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OOT 按日历划分为两段：2023-10 至 2024-10（13 个月），以及 2024-11 至 2025-12（14 个月）。每段至少需要 6 个有效配对观测值。IC 缺失或为零时，不判定为方向稳定。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16 Selected 因子的 IC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2413"/>
        <w:gridCol w:w="2413"/>
        <w:gridCol w:w="2413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统计量</w:t>
            </w:r>
          </w:p>
        </w:tc>
        <w:tc>
          <w:tcPr>
            <w:tcW w:type="dxa" w:w="2413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yoylog</w:t>
              <w:br/>
              <w:t>FYPDPIQ_dlog_L1</w:t>
            </w:r>
          </w:p>
        </w:tc>
        <w:tc>
          <w:tcPr>
            <w:tcW w:type="dxa" w:w="2413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yoylog</w:t>
              <w:br/>
              <w:t>FZA_yoylog_L3</w:t>
            </w:r>
          </w:p>
        </w:tc>
        <w:tc>
          <w:tcPr>
            <w:tcW w:type="dxa" w:w="2413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yoylog</w:t>
              <w:br/>
              <w:t>FIP_yoylog_L6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0.2202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训练期配对数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OOT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0.4499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0.3724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-0.0598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IC 减训练期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0.2298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0.0585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-0.5847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训练期与 OOT 符号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前半期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0.8132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0.5495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0.2912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前半期配对数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13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13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后半期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0.2440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0.2923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-0.1824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后半期配对数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两半期符号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整体符号稳定性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滚动窗口同号率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100.0%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87.5%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37.5%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滚动 IC 中位数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0.5734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0.2762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-0.1014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有效滚动窗口数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 / 16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 / 16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 / 16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滚动 IC 范围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0.2797 至 0.8392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-0.1259 至 0.5874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-0.3566 至 0.3357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滚动 IC 使用 OOT 内连续 12 个日历月的窗口，每个月都必须有有效配对观测值。同号率为有限值滚动 IC 中，与非零训练期 IC 同号的比例；滚动 IC 为零时计为不同号。若训练期 IC 为零或未定义，同号率不可用。窗口之间存在重叠，不能视为相互独立的重复检验。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在 3 条 Selected 因子与目标变换的配对记录中，2 条满足总体方向稳定定义，1 条从训练期到完整 OOT 发生方向反转。方向一致性属于描述性结果，不能证明统计显著性、因果关系或增量预测价值。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主效应因子族最优特征的训练期与 OOT IC 对比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这些特征是各源宏观变量因子族在正式筛选前，按训练期 IC 绝对值选出的最优特征。其身份保持冻结，不依据 OOT 表现重新排名。完整特征公式及训练期筛选状态见前文因子族排名部分。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17 diff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-0.1125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0.1682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0.2807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-0.0708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0.1844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0.2552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0.0548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-0.1047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-0.1595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FZA_diff_L3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0.1036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0.0803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-0.0233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-0.1439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0.0568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0.2007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FDJMIIUSDD_WCFTDQ_diff_L6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-0.1083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-0.0006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0.1077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18 dlog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0.1686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0.2688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0.1618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0.2469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-0.1239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-0.1859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0.0739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-0.0231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0.0678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0.2099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-0.0989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-0.1947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IC 变化等于 OOT IC 减去训练期 IC，是带符号的差值。总体方向稳定还要求 OOT 前后半段的 IC 均与非零训练期 IC 同号。短横线或 Unavailable 表示有效配对样本不足或 IC 未定义，不表示相关性为零。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主效应因子族最优特征的训练期与 OOT IC 对比 续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这些特征是各源宏观变量因子族在正式筛选前，按训练期 IC 绝对值选出的最优特征。其身份保持冻结，不依据 OOT 表现重新排名。完整特征公式及训练期筛选状态见前文因子族排名部分。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19 yoylog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-0.4245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-0.6021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-0.1775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0.3932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0.1856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-0.2076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0.2445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0.4292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0.1846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0.3724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0.0585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-0.0598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-0.5847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0.1916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-0.5464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-0.7380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20 pct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0.1686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0.2688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0.1618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0.2469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-0.1239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-0.1859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0.0739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-0.0231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0.0678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0.2099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-0.0989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-0.1947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IC 变化等于 OOT IC 减去训练期 IC，是带符号的差值。总体方向稳定还要求 OOT 前后半段的 IC 均与非零训练期 IC 同号。短横线或 Unavailable 表示有效配对样本不足或 IC 未定义，不表示相关性为零。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oot_ic_diagnostics.csv 保留每个工程化特征的训练期、完整 OOT、分段样本及滚动统计汇总。oot_ic_summary.csv 汇总全部特征，HTML 报告提供特征及交互因子族的详细结果。这些均为筛选后的诊断，不改变任何回归或预测结果。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8 回归系数与残差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所选模型为 pct_none_B1_W60_AR1_12_H0，使用末端 60 个月窗口估计。Y 表示合并收入，z 表示建模所用的收入变换，ε 表示变换尺度上的回归误差。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t> / </m:t>
          </m:r>
          <m:sSub>
            <m:e>
              <m:r>
                <m:t>Y</m:t>
              </m:r>
            </m:e>
            <m:sub>
              <m:r>
                <m:t>t−1</m:t>
              </m:r>
            </m:sub>
          </m:sSub>
          <m:r>
            <m:t> − 1</m:t>
          </m:r>
        </m:oMath>
      </m:oMathPara>
    </w:p>
    <w:p>
      <w:pPr>
        <w:spacing w:after="120"/>
      </w:pPr>
      <w:r>
        <w:rPr>
          <w:rFonts w:ascii="Arial" w:hAnsi="Arial" w:eastAsia="Noto Sans CJK SC"/>
          <w:b/>
          <w:color w:val="000000"/>
          <w:sz w:val="19"/>
          <w:lang w:eastAsia="zh-CN"/>
        </w:rPr>
        <w:t xml:space="preserve">开发期拟合：</w:t>
      </w:r>
      <w:r>
        <w:rPr>
          <w:rFonts w:ascii="Arial" w:hAnsi="Arial" w:eastAsia="Noto Sans CJK SC"/>
          <w:color w:val="000000"/>
          <w:sz w:val="19"/>
          <w:lang w:eastAsia="zh-CN"/>
        </w:rPr>
        <w:t xml:space="preserve">2018 年 10 月至 2023 年 9 月，共 60 个观测值。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r>
            <m:t>0.008011</m:t>
          </m:r>
          <m:r>
            <m:t> − 0.099475</m:t>
          </m:r>
          <m:r>
            <m:t> </m:t>
          </m:r>
          <m:sSub>
            <m:e>
              <m:r>
                <m:t>z</m:t>
              </m:r>
            </m:e>
            <m:sub>
              <m:r>
                <m:t>t−1</m:t>
              </m:r>
            </m:sub>
          </m:sSub>
          <m:r>
            <m:t> + 0.322157</m:t>
          </m:r>
          <m:r>
            <m:t> </m:t>
          </m:r>
          <m:sSub>
            <m:e>
              <m:r>
                <m:t>z</m:t>
              </m:r>
            </m:e>
            <m:sub>
              <m:r>
                <m:t>t−12</m:t>
              </m:r>
            </m:sub>
          </m:sSub>
          <m:r>
            <m:t> − 0.303907</m:t>
          </m:r>
          <m:r>
            <m:t> </m:t>
          </m:r>
          <m:sSub>
            <m:e>
              <m:r>
                <m:t>E1</m:t>
              </m:r>
            </m:e>
            <m:sub>
              <m:r>
                <m:t>t</m:t>
              </m:r>
            </m:sub>
          </m:sSub>
          <m:r>
            <m:t> + 0.339215</m:t>
          </m:r>
          <m:r>
            <m:t> </m:t>
          </m:r>
          <m:sSub>
            <m:e>
              <m:r>
                <m:t>E2</m:t>
              </m:r>
            </m:e>
            <m:sub>
              <m:r>
                <m:t>t</m:t>
              </m:r>
            </m:sub>
          </m:sSub>
          <m:r>
            <m:t> + 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spacing w:after="8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E1[t] = D[t] − D[t−1]，其中 D[t] 从 2021 年 1 月起取 1，此前取 0（break_202101）。</w:t>
      </w:r>
    </w:p>
    <w:p>
      <w:pPr>
        <w:spacing w:after="8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E2[t] = D[t] − D[t−1]，其中 D[t] 从 2023 年 6 月起取 1，此前取 0（break_202306）。</w:t>
      </w:r>
    </w:p>
    <w:p>
      <w:pPr>
        <w:spacing w:after="120"/>
      </w:pPr>
      <w:r>
        <w:rPr>
          <w:rFonts w:ascii="Arial" w:hAnsi="Arial" w:eastAsia="Noto Sans CJK SC"/>
          <w:b/>
          <w:color w:val="000000"/>
          <w:sz w:val="19"/>
          <w:lang w:eastAsia="zh-CN"/>
        </w:rPr>
        <w:t xml:space="preserve">最新估计截止月重新拟合：</w:t>
      </w:r>
      <w:r>
        <w:rPr>
          <w:rFonts w:ascii="Arial" w:hAnsi="Arial" w:eastAsia="Noto Sans CJK SC"/>
          <w:color w:val="000000"/>
          <w:sz w:val="19"/>
          <w:lang w:eastAsia="zh-CN"/>
        </w:rPr>
        <w:t xml:space="preserve">2021 年 1 月至 2025 年 12 月，共 60 个观测值。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r>
            <m:t>0.011450</m:t>
          </m:r>
          <m:r>
            <m:t> − 0.248671</m:t>
          </m:r>
          <m:r>
            <m:t> </m:t>
          </m:r>
          <m:sSub>
            <m:e>
              <m:r>
                <m:t>z</m:t>
              </m:r>
            </m:e>
            <m:sub>
              <m:r>
                <m:t>t−1</m:t>
              </m:r>
            </m:sub>
          </m:sSub>
          <m:r>
            <m:t> + 0.117874</m:t>
          </m:r>
          <m:r>
            <m:t> </m:t>
          </m:r>
          <m:sSub>
            <m:e>
              <m:r>
                <m:t>z</m:t>
              </m:r>
            </m:e>
            <m:sub>
              <m:r>
                <m:t>t−12</m:t>
              </m:r>
            </m:sub>
          </m:sSub>
          <m:r>
            <m:t> − 0.313056</m:t>
          </m:r>
          <m:r>
            <m:t> </m:t>
          </m:r>
          <m:sSub>
            <m:e>
              <m:r>
                <m:t>E1</m:t>
              </m:r>
            </m:e>
            <m:sub>
              <m:r>
                <m:t>t</m:t>
              </m:r>
            </m:sub>
          </m:sSub>
          <m:r>
            <m:t> + 0.325201</m:t>
          </m:r>
          <m:r>
            <m:t> </m:t>
          </m:r>
          <m:sSub>
            <m:e>
              <m:r>
                <m:t>E2</m:t>
              </m:r>
            </m:e>
            <m:sub>
              <m:r>
                <m:t>t</m:t>
              </m:r>
            </m:sub>
          </m:sSub>
          <m:r>
            <m:t> + 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spacing w:after="8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E1[t] = D[t] − D[t−1]，其中 D[t] 从 2021 年 1 月起取 1，此前取 0（break_202101）。</w:t>
      </w:r>
    </w:p>
    <w:p>
      <w:pPr>
        <w:spacing w:after="8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E2[t] = D[t] − D[t−1]，其中 D[t] 从 2023 年 6 月起取 1，此前取 0（break_202306）。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21 原始特征尺度上的回归系数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2045"/>
        <w:gridCol w:w="1440"/>
        <w:gridCol w:w="1195"/>
        <w:gridCol w:w="1195"/>
        <w:gridCol w:w="1195"/>
        <w:gridCol w:w="1249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样本</w:t>
            </w:r>
          </w:p>
        </w:tc>
        <w:tc>
          <w:tcPr>
            <w:tcW w:type="dxa" w:w="204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回归项</w:t>
            </w:r>
          </w:p>
        </w:tc>
        <w:tc>
          <w:tcPr>
            <w:tcW w:type="dxa" w:w="14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系数</w:t>
            </w:r>
          </w:p>
        </w:tc>
        <w:tc>
          <w:tcPr>
            <w:tcW w:type="dxa" w:w="119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OLS t 值</w:t>
            </w:r>
          </w:p>
        </w:tc>
        <w:tc>
          <w:tcPr>
            <w:tcW w:type="dxa" w:w="119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OLS p 值</w:t>
            </w:r>
          </w:p>
        </w:tc>
        <w:tc>
          <w:tcPr>
            <w:tcW w:type="dxa" w:w="119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HAC t 值</w:t>
            </w:r>
          </w:p>
        </w:tc>
        <w:tc>
          <w:tcPr>
            <w:tcW w:type="dxa" w:w="124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HAC p 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0.008011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0.7682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0.4457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0.8578</w:t>
            </w:r>
          </w:p>
        </w:tc>
        <w:tc>
          <w:tcPr>
            <w:tcW w:type="dxa" w:w="124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0.3948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-0.099475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-0.9330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0.3549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-1.0061</w:t>
            </w:r>
          </w:p>
        </w:tc>
        <w:tc>
          <w:tcPr>
            <w:tcW w:type="dxa" w:w="124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0.3188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0.322157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2.7780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0.0075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2.4770</w:t>
            </w:r>
          </w:p>
        </w:tc>
        <w:tc>
          <w:tcPr>
            <w:tcW w:type="dxa" w:w="124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0.0164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break_202101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-0.303907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24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break_202306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0.339215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24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0.011450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1.1308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0.2630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1.6161</w:t>
            </w:r>
          </w:p>
        </w:tc>
        <w:tc>
          <w:tcPr>
            <w:tcW w:type="dxa" w:w="124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0.1118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-0.248671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-2.3218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0.0240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-2.8619</w:t>
            </w:r>
          </w:p>
        </w:tc>
        <w:tc>
          <w:tcPr>
            <w:tcW w:type="dxa" w:w="124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0.0059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AR_L12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0.117874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1.0560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0.2956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0.9530</w:t>
            </w:r>
          </w:p>
        </w:tc>
        <w:tc>
          <w:tcPr>
            <w:tcW w:type="dxa" w:w="124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0.3448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break_202101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-0.313056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24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break_202306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0.325201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  <w:tc>
          <w:tcPr>
            <w:tcW w:type="dxa" w:w="124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—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开发期方程为固定起点留出期预测提供系数；滚动预测的系数随每月重新拟合而变化。最新估计截止月方程用于未来预测路径，不参与开发期模型选择。系数保留六位小数，CSV 文件保留完整精度。短横线表示推断结果不可用，单月事件脉冲项也按此口径处理。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9 滚动回归系数稳定性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本项诊断固定开发期确定的模型规格 pct_none_B1_W60_AR1_12_H0，在 2023 年 9 月至 2025 年 12 月的 28 个月度估计截止点逐一重新拟合。因变量变换、AR 滞后阶数、季节项、已选宏观特征、事件日期及末端 60 个月窗口保持固定，不在 OOT 期间重新筛选因子或模型。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参考值为已报告的 2023 年 9 月开发期拟合系数。内部缩放后的系数已还原至原始特征单位。所选 pct 模型包含 0 个宏观项，诊断跟踪全部已配置的回归项。横轴为估计截止月：2025-12 的拟合用于下一月 2026-01 的预测，而非 2025-12 的预测。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图 3 月度系数路径及逐点不确定性</w:t>
      </w:r>
    </w:p>
    <w:p>
      <w:pPr>
        <w:spacing w:line="240" w:lineRule="auto"/>
        <w:jc w:val="center"/>
      </w:pPr>
      <w:r>
        <w:rPr>
          <w:rFonts w:eastAsia="Noto Sans CJK SC"/>
          <w:lang w:eastAsia="zh-CN"/>
        </w:rPr>
        <w:drawing>
          <wp:inline xmlns:a="http://schemas.openxmlformats.org/drawingml/2006/main" xmlns:pic="http://schemas.openxmlformats.org/drawingml/2006/picture">
            <wp:extent cx="6126480" cy="5474352"/>
            <wp:docPr id="3" name="Picture 3" descr="固定模型规格的滚动系数路径及逐点 HAC 置信区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coefficient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7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各子图使用独立的纵轴尺度。水平虚线标记开发期系数，竖直点线标记开发期估计截止月。阴影表示可用的逐点 95% HAC 区间，缺失估计值保留为断点。事件脉冲项仅展示点估计，不报告单项显著性区间。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HAC 区间采用小样本修正，并按每次拟合的残差自由度使用 Student-t 临界值。单月事件脉冲项，以及样本内部存在日历月份缺口的拟合，不报告单项统计推断。重叠窗口和逐点区间提供描述性证据，不构成参数恒定性的联合检验。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系数范围 方向与拟合覆盖情况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具备同号率统计的 5 个回归项中，5 个在开发期后的每个可用截止点均保持开发期方向。方向不变并不意味着系数幅度恒定。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范围与标准差使用图示路径中的全部有限值系数。同号率、相邻变化及区间比例仅使用开发期参考点之后的截止点，基准点不计入这些比例。系数幅度保留各回归项自身的单位，不宜跨不同回归项直接排序比较。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22 图示估计截止点的系数水平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1448"/>
        <w:gridCol w:w="1448"/>
        <w:gridCol w:w="1448"/>
        <w:gridCol w:w="1448"/>
        <w:gridCol w:w="1448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回归项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开发期系数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最新系数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最小值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最大值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标准差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0.008011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0.011450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0.002940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0.017452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0.003669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-0.099475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-0.248671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-0.248671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-0.043211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0.067103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AR_L12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0.322157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0.117874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0.097440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0.346359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0.093655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break_202101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-0.303907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-0.313056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-0.315978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-0.290819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0.007437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break_202306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0.339215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0.325201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0.318394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0.339215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0.007367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23 估计可用性、同号率与逐点区间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60"/>
        <w:gridCol w:w="1152"/>
        <w:gridCol w:w="1440"/>
        <w:gridCol w:w="936"/>
        <w:gridCol w:w="1800"/>
        <w:gridCol w:w="2344"/>
      </w:tblGrid>
      <w:tr>
        <w:trPr>
          <w:cantSplit/>
          <w:tblHeader/>
        </w:trPr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回归项</w:t>
            </w:r>
          </w:p>
        </w:tc>
        <w:tc>
          <w:tcPr>
            <w:tcW w:type="dxa" w:w="115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可用估计数</w:t>
            </w:r>
          </w:p>
        </w:tc>
        <w:tc>
          <w:tcPr>
            <w:tcW w:type="dxa" w:w="14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与参考系数</w:t>
              <w:br/>
              <w:t xml:space="preserve">同号率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反转数/配对数</w:t>
            </w:r>
          </w:p>
        </w:tc>
        <w:tc>
          <w:tcPr>
            <w:tcW w:type="dxa" w:w="180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最大月度</w:t>
              <w:br/>
              <w:t xml:space="preserve">绝对变化</w:t>
            </w:r>
          </w:p>
        </w:tc>
        <w:tc>
          <w:tcPr>
            <w:tcW w:type="dxa" w:w="234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95% HAC 区间</w:t>
              <w:br/>
              <w:t xml:space="preserve">不含零比例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28/28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100.0%</w:t>
              <w:br/>
              <w:t>(27/27)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0/27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0.006740</w:t>
            </w:r>
          </w:p>
        </w:tc>
        <w:tc>
          <w:tcPr>
            <w:tcW w:type="dxa" w:w="234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14.8%</w:t>
              <w:br/>
              <w:t>(4/27)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28/28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100.0%</w:t>
              <w:br/>
              <w:t>(27/27)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0/27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0.094591</w:t>
            </w:r>
          </w:p>
        </w:tc>
        <w:tc>
          <w:tcPr>
            <w:tcW w:type="dxa" w:w="234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29.6%</w:t>
              <w:br/>
              <w:t>(8/27)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28/28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100.0%</w:t>
              <w:br/>
              <w:t>(27/27)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0/27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0.099038</w:t>
            </w:r>
          </w:p>
        </w:tc>
        <w:tc>
          <w:tcPr>
            <w:tcW w:type="dxa" w:w="234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51.9%</w:t>
              <w:br/>
              <w:t>(14/27)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break_202101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28/28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100.0%</w:t>
              <w:br/>
              <w:t>(27/27)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0/27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0.013818</w:t>
            </w:r>
          </w:p>
        </w:tc>
        <w:tc>
          <w:tcPr>
            <w:tcW w:type="dxa" w:w="234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—（0 个区间）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break_202306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28/28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100.0%</w:t>
              <w:br/>
              <w:t>(27/27)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0/27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0.009093</w:t>
            </w:r>
          </w:p>
        </w:tc>
        <w:tc>
          <w:tcPr>
            <w:tcW w:type="dxa" w:w="234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—（0 个区间）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可用估计数涵盖图示全部截止点。同号率等于参考点之后同号估计数除以有限值估计数；零系数计为不同号，参考系数为零或不可用时，同号率不可用。系数变化及非零系数的直接变号均要求相邻日历截止点存在估计值。短横线表示估计值或统计量不可用，不表示系数为零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区间比例的分母仅包含参考点之后可用的区间。不报告单项统计推断的回归项，其区间比例也不可用。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拟合覆盖情况：要求估计的 28 个截止点中，28 个均拟合成功。下表展示首个及最新的图示拟合窗口；rolling_coefficient_fits.csv 保留每个截止点及任何失败原因。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24 首个及最新图示截止点的系数拟合窗口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1584"/>
        <w:gridCol w:w="1656"/>
        <w:gridCol w:w="1656"/>
        <w:gridCol w:w="792"/>
        <w:gridCol w:w="2632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估计截止月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下一预测月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拟合起始月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拟合结束月</w:t>
            </w:r>
          </w:p>
        </w:tc>
        <w:tc>
          <w:tcPr>
            <w:tcW w:type="dxa" w:w="7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63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拟合状态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2023-09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2023-10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2018-10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2023-09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60</w:t>
            </w:r>
          </w:p>
        </w:tc>
        <w:tc>
          <w:tcPr>
            <w:tcW w:type="dxa" w:w="263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拟合成功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2025-12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2026-01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2021-01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2025-12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60</w:t>
            </w:r>
          </w:p>
        </w:tc>
        <w:tc>
          <w:tcPr>
            <w:tcW w:type="dxa" w:w="263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拟合成功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10 残差与自相关诊断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25 各估计样本的残差诊断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1325"/>
        <w:gridCol w:w="1325"/>
        <w:gridCol w:w="1325"/>
        <w:gridCol w:w="1325"/>
        <w:gridCol w:w="1325"/>
        <w:gridCol w:w="1336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样本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ADF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KPSS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LB12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LB24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BP p 值</w:t>
            </w:r>
          </w:p>
        </w:tc>
        <w:tc>
          <w:tcPr>
            <w:tcW w:type="dxa" w:w="1336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JB p 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1.66e-11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0.8807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0.9434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0.0742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0.2847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4.48e-15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0.4094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0.6050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0.1820</w:t>
            </w:r>
          </w:p>
        </w:tc>
        <w:tc>
          <w:tcPr>
            <w:tcW w:type="dxa" w:w="1336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3.05e-12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LB 表示 Ljung–Box 检验；BP 表示 Breusch–Pagan 检验；JB 表示 Jarque–Bera 检验。Ljung–Box 结果用于描述性诊断，未完整调整模型估计所消耗的自由度。HAC 使用配置的滞后阶数并进行小样本修正。若样本内部存在日历月份缺口，使月度相邻关系假设失效，则不报告 HAC 推断。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开发期：残差平稳性通过联合筛选门槛；12 个月滞后的 Ljung–Box 检验在 5% 水平上不拒绝原假设；Jarque–Bera 检验在 5% 水平上不拒绝正态性。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最新估计截止月：残差平稳性通过联合筛选门槛；12 个月滞后的 Ljung–Box 检验在 5% 水平上不拒绝原假设；Jarque–Bera 检验在 5% 水平上拒绝正态性。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26 因变量与已选因子的自相关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792"/>
        <w:gridCol w:w="1368"/>
        <w:gridCol w:w="1368"/>
        <w:gridCol w:w="1368"/>
        <w:gridCol w:w="1552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序列</w:t>
            </w:r>
          </w:p>
        </w:tc>
        <w:tc>
          <w:tcPr>
            <w:tcW w:type="dxa" w:w="792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ACF 1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ACF 12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PACF 12</w:t>
            </w:r>
          </w:p>
        </w:tc>
        <w:tc>
          <w:tcPr>
            <w:tcW w:type="dxa" w:w="1552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LB12 p 值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level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0.8595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0.4730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0.0292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7.33e-149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log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0.8624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0.5174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0.0356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1.23e-167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diff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-0.3136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0.3213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0.2351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1.02e-07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dlog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-0.3291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0.3467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0.2450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2.97e-09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0.7471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-0.0491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-0.2521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4.83e-51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pct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-0.3424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0.3508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0.2367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1.39e-09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FYPDPIQ_dlog_L1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-0.5634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-0.2250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0.1133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2.18e-18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0.8957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-0.3843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-0.0883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3.12e-55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0.8564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-0.2017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0.1380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9.45e-65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时间序列检验使用最长的连续有效月度样本段。因子 ACF 的样本可能与因子和目标配对计算 IC 的样本不同。ACF 和 PACF 用于诊断，并非自动剔除规则；重叠的同比变化可能产生明显的序列依赖。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27 所选回归模型的残差自相关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1008"/>
        <w:gridCol w:w="1512"/>
        <w:gridCol w:w="1512"/>
        <w:gridCol w:w="1512"/>
        <w:gridCol w:w="1696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样本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月数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ACF 1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ACF 12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ACF 24</w:t>
            </w:r>
          </w:p>
        </w:tc>
        <w:tc>
          <w:tcPr>
            <w:tcW w:type="dxa" w:w="169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LB12 p 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开发期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-0.0104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-0.0946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0.0759</w:t>
            </w:r>
          </w:p>
        </w:tc>
        <w:tc>
          <w:tcPr>
            <w:tcW w:type="dxa" w:w="169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0.8807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最新估计截止月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60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-0.1856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0.1964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0.0664</w:t>
            </w:r>
          </w:p>
        </w:tc>
        <w:tc>
          <w:tcPr>
            <w:tcW w:type="dxa" w:w="169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0.4094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对于正值观测，loglevel 与 level 保留相同排序，因此在目标变换、滞后及配对样本相同的情况下，Spearman IC 完全相同，但两者仍可能对应不同的回归形式。边际相关不能证明因果关系或增量预测价值。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11 未来路径与结果复现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点预测涵盖 2026 年 1 月至 2026 年 12 月。所选回归模型保留开发期确定的规格，并使用截至 2025 年 12 月的数据重新估计系数。下列数值沿用原始收入单位。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28 未来点预测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2080"/>
        <w:gridCol w:w="2080"/>
        <w:gridCol w:w="2080"/>
        <w:gridCol w:w="2080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月份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优选回归模型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朴素预测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漂移预测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季节性朴素预测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2026-01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3,273.59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3,075.79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3,868.00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3,248.69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3,086.59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3,798.00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2026-03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3,293.14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3,097.38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3,809.00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2026-04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3,279.69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3,108.17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3,417.00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2026-05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3,311.86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3,118.97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3,340.00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2026-06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3,321.02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3,129.76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3,163.00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2026-07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3,348.10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3,140.55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3,093.00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2026-08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3,405.93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3,151.35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3,299.00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2026-09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3,400.00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3,162.14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3,050.00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2026-10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3,480.22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3,172.93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3,353.00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2026-11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3,490.96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3,183.73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3,282.00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2026-12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3,501.05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3,194.52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这些是递归点预测路径，未提供经校准的预测区间。所需未来宏观观测值仅在源数据中可用时使用，缺失输入会记录为预测问题。所选模型不包含宏观项，因此其未来路径不受宏观情景驱动。</w:t>
      </w:r>
    </w:p>
    <w:p>
      <w:pPr>
        <w:pStyle w:val="Heading2"/>
      </w:pPr>
      <w:r>
        <w:rPr>
          <w:rFonts w:eastAsia="Noto Sans CJK SC"/>
          <w:lang w:eastAsia="zh-CN"/>
        </w:rPr>
        <w:t xml:space="preserve">结果解释与局限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虚拟变量系数反映所配置事件时期在当前模型中的关联，并不识别干预的因果效应。单月脉冲项不会在所有后续预测月份持续生效。若事件日期是在了解全样本信息后选定的，经虚拟变量调整的历史结果可能具有探索性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宏观文件未提供发布日期或实时历史版本，因此日历滞后不能确认相关数据在历史时点是否已经可得。良好的样本内 IC 分布或残差诊断不保证留出期预测有效。固定起点与滚动预测结果应分别用于判断未来路径的不同用途。</w:t>
      </w:r>
    </w:p>
    <w:p>
      <w:pPr>
        <w:pStyle w:val="Heading2"/>
      </w:pPr>
      <w:r>
        <w:rPr>
          <w:rFonts w:eastAsia="Noto Sans CJK SC"/>
          <w:lang w:eastAsia="zh-CN"/>
        </w:rPr>
        <w:t xml:space="preserve">源文件与审计记录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收入来源：Cardfee.xlsx，使用配置的工作表及日期字段 YYYYMM。宏观来源：Macro_Data_201001-202612.xls，Macro Data 工作表，表头位于第 2 行。运行清单记录精确的源文件路径、哈希值、配置及模型规格。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运行批次：20260909_112242_483452_Commercial_Card_Four-Component_Total。screening.csv 保留全部因子及剔除原因，factor_metadata.csv 定义特征构造。ic_distribution_values、ic_distribution_summary 和 ic_distribution_bins 对应的 CSV 文件保留完整 IC 分布。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诊断 CSV 文件包含平稳性与 ACF 结果。model_search.csv 记录模型信息准则；coefficients.csv 和 fitted_values.csv 支持报告中的模型方程。验证、留出期及预测 CSV 文件保留评价指标与月度预测。report.html 提供英文表格和图表。</w:t>
      </w:r>
    </w:p>
    <w:sectPr w:rsidR="00FC693F" w:rsidRPr="0006063C" w:rsidSect="00034616">
      <w:footerReference w:type="default" r:id="rId9"/>
      <w:pgSz w:w="11905" w:h="16838"/>
      <w:pgMar w:top="979" w:right="1037" w:bottom="936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000000"/>
        <w:sz w:val="17"/>
        <w:lang w:eastAsia="zh-CN"/>
      </w:rPr>
      <w:t xml:space="preserve">第 </w:t>
    </w:r>
    <w:fldSimple w:instr="PAGE"/>
    <w:r>
      <w:rPr>
        <w:rFonts w:eastAsia="Noto Sans CJK SC"/>
        <w:lang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Noto Sans CJK SC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exact"/>
    </w:pPr>
    <w:rPr>
      <w:rFonts w:ascii="Arial" w:hAnsi="Arial" w:eastAsia="Noto Sans CJK SC"/>
      <w:color w:val="000000"/>
      <w:sz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369" w:lineRule="exact"/>
      <w:outlineLvl w:val="0"/>
    </w:pPr>
    <w:rPr>
      <w:rFonts w:asciiTheme="majorHAnsi" w:hAnsiTheme="majorHAnsi" w:cstheme="majorBidi" w:ascii="Arial" w:hAnsi="Arial" w:eastAsia="Noto Sans CJK SC"/>
      <w:b/>
      <w:bCs/>
      <w:color w:val="000000"/>
      <w:sz w:val="26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312" w:lineRule="exact"/>
      <w:outlineLvl w:val="1"/>
    </w:pPr>
    <w:rPr>
      <w:rFonts w:asciiTheme="majorHAnsi" w:hAnsiTheme="majorHAnsi" w:cstheme="majorBidi" w:ascii="Arial" w:hAnsi="Arial" w:eastAsia="Noto Sans CJK SC"/>
      <w:b/>
      <w:bCs/>
      <w:color w:val="000000"/>
      <w:sz w:val="22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96" w:lineRule="exact"/>
      <w:contextualSpacing/>
    </w:pPr>
    <w:rPr>
      <w:rFonts w:asciiTheme="majorHAnsi" w:hAnsiTheme="majorHAnsi" w:cstheme="majorBidi" w:ascii="Arial" w:hAnsi="Arial" w:eastAsia="Noto Sans CJK SC"/>
      <w:color w:val="000000"/>
      <w:spacing w:val="5"/>
      <w:kern w:val="28"/>
      <w:sz w:val="42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12" w:lineRule="exact"/>
    </w:pPr>
    <w:rPr>
      <w:rFonts w:asciiTheme="majorHAnsi" w:hAnsiTheme="majorHAnsi" w:cstheme="majorBidi" w:ascii="Arial" w:hAnsi="Arial" w:eastAsia="Noto Sans CJK SC"/>
      <w:i/>
      <w:iCs/>
      <w:color w:val="000000"/>
      <w:spacing w:val="15"/>
      <w:sz w:val="22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6" w:lineRule="exact" w:after="120"/>
    </w:pPr>
    <w:rPr>
      <w:rFonts w:ascii="Arial" w:hAnsi="Arial" w:eastAsia="Noto Sans CJK SC"/>
      <w:b/>
      <w:bCs/>
      <w:color w:val="000000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Card 建模报告 中文版</dc:title>
  <dc:subject>因子工程 筛选与稳定性诊断</dc:subject>
  <dc:creator/>
  <cp:keywords>Commercial Card, Spearman IC, percentage change, dummy variables, regression</cp:keywords>
  <dc:description>generated by python-docx</dc:description>
  <cp:lastModifiedBy/>
  <cp:revision>1</cp:revision>
  <dcterms:created xsi:type="dcterms:W3CDTF">2013-12-23T23:15:00Z</dcterms:created>
  <dcterms:modified xsi:type="dcterms:W3CDTF">2026-09-09T11:22:54Z</dcterms:modified>
  <cp:category/>
  <dc:language>zh-CN</dc:language>
</cp:coreProperties>
</file>