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line="254" w:lineRule="auto" w:after="400" w:before="700"/>
      </w:pPr>
      <w:r>
        <w:rPr>
          <w:rFonts w:ascii="Arial" w:hAnsi="Arial"/>
          <w:b/>
          <w:sz w:val="48"/>
        </w:rPr>
        <w:t>Noncomp Efficiency Ratio</w:t>
        <w:br/>
        <w:t>Model Development Documentation</w:t>
      </w:r>
    </w:p>
    <w:p>
      <w:pPr>
        <w:keepNext w:val="0"/>
        <w:keepLines w:val="0"/>
        <w:spacing w:line="254" w:lineRule="auto" w:after="120"/>
      </w:pPr>
      <w:r>
        <w:rPr>
          <w:sz w:val="26"/>
        </w:rPr>
        <w:t>Changes in the EF level and trend from 2014Q1</w:t>
      </w:r>
    </w:p>
    <w:p>
      <w:pPr>
        <w:keepNext w:val="0"/>
        <w:keepLines w:val="0"/>
        <w:spacing w:line="254" w:lineRule="auto" w:after="120"/>
      </w:pPr>
      <w:r>
        <w:rPr>
          <w:sz w:val="22"/>
        </w:rPr>
        <w:t>Development draft for review | October 19, 2026</w:t>
      </w:r>
    </w:p>
    <w:p>
      <w:pPr>
        <w:keepNext/>
        <w:keepLines w:val="0"/>
        <w:spacing w:line="254" w:lineRule="auto" w:after="120"/>
      </w:pPr>
      <w:r>
        <w:rPr>
          <w:b/>
          <w:sz w:val="23"/>
        </w:rPr>
        <w:t>Table 0.1. Document scope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2880"/>
        <w:gridCol w:w="7200"/>
      </w:tblGrid>
      <w:tr>
        <w:trPr>
          <w:cantSplit/>
          <w:tblHeader/>
        </w:trPr>
        <w:tc>
          <w:tcPr>
            <w:tcW w:type="dxa" w:w="2880"/>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Item</w:t>
            </w:r>
          </w:p>
        </w:tc>
        <w:tc>
          <w:tcPr>
            <w:tcW w:type="dxa" w:w="7200"/>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Coverage</w:t>
            </w:r>
          </w:p>
        </w:tc>
      </w:tr>
      <w:tr>
        <w:trPr>
          <w:cantSplit/>
        </w:trPr>
        <w:tc>
          <w:tcPr>
            <w:tcW w:type="dxa" w:w="2880"/>
            <w:tcMar>
              <w:top w:w="65" w:type="dxa"/>
              <w:bottom w:w="65" w:type="dxa"/>
              <w:left w:w="80" w:type="dxa"/>
              <w:right w:w="80" w:type="dxa"/>
            </w:tcMar>
          </w:tcPr>
          <w:p>
            <w:pPr>
              <w:keepNext w:val="0"/>
              <w:keepLines/>
              <w:spacing w:after="0" w:line="240" w:lineRule="auto"/>
            </w:pPr>
            <w:r>
              <w:rPr>
                <w:rFonts w:ascii="Times New Roman" w:hAnsi="Times New Roman"/>
                <w:b w:val="0"/>
                <w:sz w:val="21"/>
              </w:rPr>
              <w:t>Current equation</w:t>
            </w:r>
          </w:p>
        </w:tc>
        <w:tc>
          <w:tcPr>
            <w:tcW w:type="dxa" w:w="7200"/>
            <w:tcMar>
              <w:top w:w="65" w:type="dxa"/>
              <w:bottom w:w="65" w:type="dxa"/>
              <w:left w:w="80" w:type="dxa"/>
              <w:right w:w="80" w:type="dxa"/>
            </w:tcMar>
          </w:tcPr>
          <w:p>
            <w:pPr>
              <w:keepNext w:val="0"/>
              <w:keepLines/>
              <w:spacing w:after="0" w:line="240" w:lineRule="auto"/>
            </w:pPr>
            <w:r>
              <w:rPr>
                <w:rFonts w:ascii="Times New Roman" w:hAnsi="Times New Roman"/>
                <w:b w:val="0"/>
                <w:sz w:val="21"/>
              </w:rPr>
              <w:t>EF fitted to two lines, with a level and trend change at 2014Q1</w:t>
            </w:r>
          </w:p>
        </w:tc>
      </w:tr>
      <w:tr>
        <w:trPr>
          <w:cantSplit/>
        </w:trPr>
        <w:tc>
          <w:tcPr>
            <w:tcW w:type="dxa" w:w="2880"/>
            <w:tcMar>
              <w:top w:w="65" w:type="dxa"/>
              <w:bottom w:w="65" w:type="dxa"/>
              <w:left w:w="80" w:type="dxa"/>
              <w:right w:w="80" w:type="dxa"/>
            </w:tcMar>
          </w:tcPr>
          <w:p>
            <w:pPr>
              <w:keepNext w:val="0"/>
              <w:keepLines/>
              <w:spacing w:after="0" w:line="240" w:lineRule="auto"/>
            </w:pPr>
            <w:r>
              <w:rPr>
                <w:rFonts w:ascii="Times New Roman" w:hAnsi="Times New Roman"/>
                <w:b w:val="0"/>
                <w:sz w:val="21"/>
              </w:rPr>
              <w:t>Development / full history</w:t>
            </w:r>
          </w:p>
        </w:tc>
        <w:tc>
          <w:tcPr>
            <w:tcW w:type="dxa" w:w="7200"/>
            <w:tcMar>
              <w:top w:w="65" w:type="dxa"/>
              <w:bottom w:w="65" w:type="dxa"/>
              <w:left w:w="80" w:type="dxa"/>
              <w:right w:w="80" w:type="dxa"/>
            </w:tcMar>
          </w:tcPr>
          <w:p>
            <w:pPr>
              <w:keepNext w:val="0"/>
              <w:keepLines/>
              <w:spacing w:after="0" w:line="240" w:lineRule="auto"/>
            </w:pPr>
            <w:r>
              <w:rPr>
                <w:rFonts w:ascii="Times New Roman" w:hAnsi="Times New Roman"/>
                <w:b w:val="0"/>
                <w:sz w:val="21"/>
              </w:rPr>
              <w:t>2011Q1–2023Q3 (51) / 2011Q1–2025Q4 (60)</w:t>
            </w:r>
          </w:p>
        </w:tc>
      </w:tr>
      <w:tr>
        <w:trPr>
          <w:cantSplit/>
        </w:trPr>
        <w:tc>
          <w:tcPr>
            <w:tcW w:type="dxa" w:w="2880"/>
            <w:tcMar>
              <w:top w:w="65" w:type="dxa"/>
              <w:bottom w:w="65" w:type="dxa"/>
              <w:left w:w="80" w:type="dxa"/>
              <w:right w:w="80" w:type="dxa"/>
            </w:tcMar>
          </w:tcPr>
          <w:p>
            <w:pPr>
              <w:keepNext w:val="0"/>
              <w:keepLines/>
              <w:spacing w:after="0" w:line="240" w:lineRule="auto"/>
            </w:pPr>
            <w:r>
              <w:rPr>
                <w:rFonts w:ascii="Times New Roman" w:hAnsi="Times New Roman"/>
                <w:b w:val="0"/>
                <w:sz w:val="21"/>
              </w:rPr>
              <w:t>Latest source</w:t>
            </w:r>
          </w:p>
        </w:tc>
        <w:tc>
          <w:tcPr>
            <w:tcW w:type="dxa" w:w="7200"/>
            <w:tcMar>
              <w:top w:w="65" w:type="dxa"/>
              <w:bottom w:w="65" w:type="dxa"/>
              <w:left w:w="80" w:type="dxa"/>
              <w:right w:w="80" w:type="dxa"/>
            </w:tcMar>
          </w:tcPr>
          <w:p>
            <w:pPr>
              <w:keepNext w:val="0"/>
              <w:keepLines/>
              <w:spacing w:after="0" w:line="240" w:lineRule="auto"/>
            </w:pPr>
            <w:r>
              <w:rPr>
                <w:rFonts w:ascii="Times New Roman" w:hAnsi="Times New Roman"/>
                <w:b w:val="0"/>
                <w:sz w:val="21"/>
              </w:rPr>
              <w:t>EF_Trend_Break.docx</w:t>
            </w:r>
          </w:p>
        </w:tc>
      </w:tr>
      <w:tr>
        <w:trPr>
          <w:cantSplit/>
        </w:trPr>
        <w:tc>
          <w:tcPr>
            <w:tcW w:type="dxa" w:w="2880"/>
            <w:tcMar>
              <w:top w:w="65" w:type="dxa"/>
              <w:bottom w:w="65" w:type="dxa"/>
              <w:left w:w="80" w:type="dxa"/>
              <w:right w:w="80" w:type="dxa"/>
            </w:tcMar>
          </w:tcPr>
          <w:p>
            <w:pPr>
              <w:keepNext w:val="0"/>
              <w:keepLines/>
              <w:spacing w:after="0" w:line="240" w:lineRule="auto"/>
            </w:pPr>
            <w:r>
              <w:rPr>
                <w:rFonts w:ascii="Times New Roman" w:hAnsi="Times New Roman"/>
                <w:b w:val="0"/>
                <w:sz w:val="21"/>
              </w:rPr>
              <w:t>Earlier forecast tests</w:t>
            </w:r>
          </w:p>
        </w:tc>
        <w:tc>
          <w:tcPr>
            <w:tcW w:type="dxa" w:w="7200"/>
            <w:tcMar>
              <w:top w:w="65" w:type="dxa"/>
              <w:bottom w:w="65" w:type="dxa"/>
              <w:left w:w="80" w:type="dxa"/>
              <w:right w:w="80" w:type="dxa"/>
            </w:tcMar>
          </w:tcPr>
          <w:p>
            <w:pPr>
              <w:keepNext w:val="0"/>
              <w:keepLines/>
              <w:spacing w:after="0" w:line="240" w:lineRule="auto"/>
            </w:pPr>
            <w:r>
              <w:rPr>
                <w:rFonts w:ascii="Times New Roman" w:hAnsi="Times New Roman"/>
                <w:b w:val="0"/>
                <w:sz w:val="21"/>
              </w:rPr>
              <w:t>Three earlier ARDL models, each clearly labeled</w:t>
            </w:r>
          </w:p>
        </w:tc>
      </w:tr>
      <w:tr>
        <w:trPr>
          <w:cantSplit/>
        </w:trPr>
        <w:tc>
          <w:tcPr>
            <w:tcW w:type="dxa" w:w="2880"/>
            <w:tcMar>
              <w:top w:w="65" w:type="dxa"/>
              <w:bottom w:w="65" w:type="dxa"/>
              <w:left w:w="80" w:type="dxa"/>
              <w:right w:w="80" w:type="dxa"/>
            </w:tcMar>
          </w:tcPr>
          <w:p>
            <w:pPr>
              <w:keepNext w:val="0"/>
              <w:keepLines/>
              <w:spacing w:after="0" w:line="240" w:lineRule="auto"/>
            </w:pPr>
            <w:r>
              <w:rPr>
                <w:rFonts w:ascii="Times New Roman" w:hAnsi="Times New Roman"/>
                <w:b w:val="0"/>
                <w:sz w:val="21"/>
              </w:rPr>
              <w:t>Status</w:t>
            </w:r>
          </w:p>
        </w:tc>
        <w:tc>
          <w:tcPr>
            <w:tcW w:type="dxa" w:w="7200"/>
            <w:tcMar>
              <w:top w:w="65" w:type="dxa"/>
              <w:bottom w:w="65" w:type="dxa"/>
              <w:left w:w="80" w:type="dxa"/>
              <w:right w:w="80" w:type="dxa"/>
            </w:tcMar>
          </w:tcPr>
          <w:p>
            <w:pPr>
              <w:keepNext w:val="0"/>
              <w:keepLines/>
              <w:spacing w:after="0" w:line="240" w:lineRule="auto"/>
            </w:pPr>
            <w:r>
              <w:rPr>
                <w:rFonts w:ascii="Times New Roman" w:hAnsi="Times New Roman"/>
                <w:b w:val="0"/>
                <w:sz w:val="21"/>
              </w:rPr>
              <w:t>Development draft. Approval and production use need confirmation.</w:t>
            </w:r>
          </w:p>
        </w:tc>
      </w:tr>
    </w:tbl>
    <w:p>
      <w:pPr>
        <w:keepNext w:val="0"/>
        <w:keepLines w:val="0"/>
        <w:spacing w:line="254" w:lineRule="auto" w:after="120"/>
      </w:pPr>
      <w:r>
        <w:rPr>
          <w:sz w:val="21"/>
        </w:rPr>
        <w:t>This document covers the latest EF trend analysis. It also records tests of the earlier forecasting models. Each set of results is labeled by model. Source: [S1–S5].</w:t>
      </w:r>
    </w:p>
    <w:p>
      <w:pPr>
        <w:pStyle w:val="Heading2"/>
        <w:keepNext/>
        <w:pageBreakBefore w:val="0"/>
        <w:spacing w:before="200" w:after="140"/>
      </w:pPr>
      <w:r>
        <w:rPr>
          <w:rFonts w:ascii="Arial" w:hAnsi="Arial"/>
          <w:b/>
          <w:color w:val="000000"/>
        </w:rPr>
        <w:t>Contents</w:t>
      </w:r>
    </w:p>
    <w:p>
      <w:pPr>
        <w:keepNext w:val="0"/>
        <w:keepLines w:val="0"/>
        <w:spacing w:line="254" w:lineRule="auto" w:after="40"/>
      </w:pPr>
      <w:r>
        <w:rPr>
          <w:sz w:val="22"/>
        </w:rPr>
        <w:t>1. Executive Summary</w:t>
      </w:r>
    </w:p>
    <w:p>
      <w:pPr>
        <w:keepNext w:val="0"/>
        <w:keepLines w:val="0"/>
        <w:spacing w:line="254" w:lineRule="auto" w:after="40"/>
      </w:pPr>
      <w:r>
        <w:rPr>
          <w:sz w:val="22"/>
        </w:rPr>
        <w:t>2. Model Theory and Design</w:t>
      </w:r>
    </w:p>
    <w:p>
      <w:pPr>
        <w:keepNext w:val="0"/>
        <w:keepLines w:val="0"/>
        <w:spacing w:line="254" w:lineRule="auto" w:after="40"/>
      </w:pPr>
      <w:r>
        <w:rPr>
          <w:sz w:val="22"/>
        </w:rPr>
        <w:t>3. Model Estimation</w:t>
      </w:r>
    </w:p>
    <w:p>
      <w:pPr>
        <w:keepNext w:val="0"/>
        <w:keepLines w:val="0"/>
        <w:spacing w:line="254" w:lineRule="auto" w:after="40"/>
      </w:pPr>
      <w:r>
        <w:rPr>
          <w:sz w:val="22"/>
        </w:rPr>
        <w:t>4. Model Development Data</w:t>
      </w:r>
    </w:p>
    <w:p>
      <w:pPr>
        <w:keepNext w:val="0"/>
        <w:keepLines w:val="0"/>
        <w:spacing w:line="254" w:lineRule="auto" w:after="40"/>
      </w:pPr>
      <w:r>
        <w:rPr>
          <w:sz w:val="22"/>
        </w:rPr>
        <w:t>5. Linkages with Other Models</w:t>
      </w:r>
    </w:p>
    <w:p>
      <w:pPr>
        <w:keepNext w:val="0"/>
        <w:keepLines w:val="0"/>
        <w:spacing w:line="254" w:lineRule="auto" w:after="40"/>
      </w:pPr>
      <w:r>
        <w:rPr>
          <w:sz w:val="22"/>
        </w:rPr>
        <w:t>6. Model Testing</w:t>
      </w:r>
    </w:p>
    <w:p>
      <w:pPr>
        <w:keepNext w:val="0"/>
        <w:keepLines w:val="0"/>
        <w:spacing w:line="254" w:lineRule="auto" w:after="40"/>
      </w:pPr>
      <w:r>
        <w:rPr>
          <w:sz w:val="22"/>
        </w:rPr>
        <w:t>7. Model Implementation</w:t>
      </w:r>
    </w:p>
    <w:p>
      <w:pPr>
        <w:keepNext w:val="0"/>
        <w:keepLines w:val="0"/>
        <w:spacing w:line="254" w:lineRule="auto" w:after="40"/>
      </w:pPr>
      <w:r>
        <w:rPr>
          <w:sz w:val="22"/>
        </w:rPr>
        <w:t>8. Model Monitoring</w:t>
      </w:r>
    </w:p>
    <w:p>
      <w:pPr>
        <w:keepNext w:val="0"/>
        <w:keepLines w:val="0"/>
        <w:spacing w:line="254" w:lineRule="auto" w:after="40"/>
      </w:pPr>
      <w:r>
        <w:rPr>
          <w:sz w:val="22"/>
        </w:rPr>
        <w:t>9. Procedures</w:t>
      </w:r>
    </w:p>
    <w:p>
      <w:pPr>
        <w:keepNext w:val="0"/>
        <w:keepLines w:val="0"/>
        <w:spacing w:line="254" w:lineRule="auto" w:after="40"/>
      </w:pPr>
      <w:r>
        <w:rPr>
          <w:sz w:val="22"/>
        </w:rPr>
        <w:t>10. Governance</w:t>
      </w:r>
    </w:p>
    <w:p>
      <w:pPr>
        <w:keepNext w:val="0"/>
        <w:keepLines w:val="0"/>
        <w:spacing w:line="254" w:lineRule="auto" w:after="40"/>
      </w:pPr>
      <w:r>
        <w:rPr>
          <w:sz w:val="22"/>
        </w:rPr>
        <w:t>11. Appendix Information</w:t>
      </w:r>
    </w:p>
    <w:p>
      <w:pPr>
        <w:pStyle w:val="Heading1"/>
        <w:keepNext/>
        <w:pageBreakBefore/>
        <w:spacing w:before="0" w:after="140"/>
      </w:pPr>
      <w:r>
        <w:rPr>
          <w:rFonts w:ascii="Arial" w:hAnsi="Arial"/>
          <w:b/>
          <w:color w:val="000000"/>
        </w:rPr>
        <w:t>1. Executive Summary</w:t>
      </w:r>
    </w:p>
    <w:p>
      <w:pPr>
        <w:pStyle w:val="Heading2"/>
        <w:keepNext/>
        <w:pageBreakBefore w:val="0"/>
        <w:spacing w:before="200" w:after="140"/>
      </w:pPr>
      <w:r>
        <w:rPr>
          <w:rFonts w:ascii="Arial" w:hAnsi="Arial"/>
          <w:b/>
          <w:color w:val="000000"/>
        </w:rPr>
        <w:t>1.1 Model overview</w:t>
      </w:r>
    </w:p>
    <w:p>
      <w:pPr>
        <w:keepNext w:val="0"/>
        <w:keepLines w:val="0"/>
        <w:spacing w:line="254" w:lineRule="auto" w:after="120"/>
      </w:pPr>
      <w:r>
        <w:rPr>
          <w:sz w:val="23"/>
        </w:rPr>
        <w:t>The Noncomp team uses the efficiency ratio (EF) to study expenses relative to revenue. The current analysis fits two straight lines to quarterly EF history. One line covers the period before 2014Q1. The other covers 2014Q1 onward. Each line has its own level and rate of change. The fitting method is called ordinary least squares (OLS).</w:t>
      </w:r>
    </w:p>
    <w:p>
      <w:pPr>
        <w:pStyle w:val="Heading2"/>
        <w:keepNext/>
        <w:pageBreakBefore w:val="0"/>
        <w:spacing w:before="200" w:after="140"/>
      </w:pPr>
      <w:r>
        <w:rPr>
          <w:rFonts w:ascii="Arial" w:hAnsi="Arial"/>
          <w:b/>
          <w:color w:val="000000"/>
        </w:rPr>
        <w:t>1.2 Business purpose and 1.3 intended use</w:t>
      </w:r>
    </w:p>
    <w:p>
      <w:pPr>
        <w:keepNext w:val="0"/>
        <w:keepLines w:val="0"/>
        <w:spacing w:line="254" w:lineRule="auto" w:after="120"/>
      </w:pPr>
      <w:r>
        <w:rPr>
          <w:sz w:val="23"/>
        </w:rPr>
        <w:t>The analysis helps explain how EF changed over time. It also helps the team choose a trend for future forecasts. The current equation describes the historical path. A forecast that responds to economic conditions needs further development. Converting EF into Noncomp dollars also requires agreed revenue and compensation definitions.</w:t>
      </w:r>
    </w:p>
    <w:p>
      <w:pPr>
        <w:pStyle w:val="Heading2"/>
        <w:keepNext/>
        <w:pageBreakBefore w:val="0"/>
        <w:spacing w:before="200" w:after="140"/>
      </w:pPr>
      <w:r>
        <w:rPr>
          <w:rFonts w:ascii="Arial" w:hAnsi="Arial"/>
          <w:b/>
          <w:color w:val="000000"/>
        </w:rPr>
        <w:t>1.4 Development summary</w:t>
      </w:r>
    </w:p>
    <w:p>
      <w:pPr>
        <w:keepNext w:val="0"/>
        <w:keepLines w:val="0"/>
        <w:spacing w:line="254" w:lineRule="auto" w:after="120"/>
      </w:pPr>
      <w:r>
        <w:rPr>
          <w:sz w:val="23"/>
        </w:rPr>
        <w:t>Earlier work allowed EF to change level in 2014Q1 while keeping one common trend. The team then built forecasting models using the previous quarter’s EF and unemployment change. These are called autoregressive distributed lag (ARDL) models. The latest analysis allows the trend to change as well. It uses 51 quarters for development and 60 quarters for a longer-history check. Both adjusted 2017 values are included.</w:t>
      </w:r>
    </w:p>
    <w:p>
      <w:pPr>
        <w:pStyle w:val="Heading2"/>
        <w:keepNext/>
        <w:pageBreakBefore w:val="0"/>
        <w:spacing w:before="200" w:after="140"/>
      </w:pPr>
      <w:r>
        <w:rPr>
          <w:rFonts w:ascii="Arial" w:hAnsi="Arial"/>
          <w:b/>
          <w:color w:val="000000"/>
        </w:rPr>
        <w:t>1.5 Current specification</w:t>
      </w:r>
    </w:p>
    <w:p>
      <w:pPr>
        <w:keepNext w:val="0"/>
        <w:keepLines/>
        <w:spacing w:line="254" w:lineRule="auto" w:after="180"/>
        <w:jc w:val="center"/>
      </w:pPr>
      <m:oMath>
        <m:eqArr>
          <m:e>
            <m:sSub>
              <m:e>
                <m:r>
                  <w:rPr>
                    <w:rFonts w:ascii="Cambria Math" w:hAnsi="Cambria Math"/>
                    <w:sz w:val="23"/>
                  </w:rPr>
                  <m:t xml:space="preserve">EF</m:t>
                </m:r>
              </m:e>
              <m:sub>
                <m:r>
                  <w:rPr>
                    <w:rFonts w:ascii="Cambria Math" w:hAnsi="Cambria Math"/>
                    <w:sz w:val="23"/>
                  </w:rPr>
                  <m:t xml:space="preserve">t</m:t>
                </m:r>
              </m:sub>
            </m:sSub>
            <m:r>
              <w:rPr>
                <w:rFonts w:ascii="Cambria Math" w:hAnsi="Cambria Math"/>
                <w:sz w:val="23"/>
              </w:rPr>
              <m:t xml:space="preserve"> = α + θ</m:t>
            </m:r>
            <m:sSub>
              <m:e>
                <m:r>
                  <w:rPr>
                    <w:rFonts w:ascii="Cambria Math" w:hAnsi="Cambria Math"/>
                    <w:sz w:val="23"/>
                  </w:rPr>
                  <m:t xml:space="preserve">D</m:t>
                </m:r>
              </m:e>
              <m:sub>
                <m:r>
                  <w:rPr>
                    <w:rFonts w:ascii="Cambria Math" w:hAnsi="Cambria Math"/>
                    <w:sz w:val="23"/>
                  </w:rPr>
                  <m:t xml:space="preserve">t</m:t>
                </m:r>
              </m:sub>
            </m:sSub>
            <m:r>
              <w:rPr>
                <w:rFonts w:ascii="Cambria Math" w:hAnsi="Cambria Math"/>
                <w:sz w:val="23"/>
              </w:rPr>
              <m:t xml:space="preserve"> + βt + γ(</m:t>
            </m:r>
            <m:sSub>
              <m:e>
                <m:r>
                  <w:rPr>
                    <w:rFonts w:ascii="Cambria Math" w:hAnsi="Cambria Math"/>
                    <w:sz w:val="23"/>
                  </w:rPr>
                  <m:t xml:space="preserve">D</m:t>
                </m:r>
              </m:e>
              <m:sub>
                <m:r>
                  <w:rPr>
                    <w:rFonts w:ascii="Cambria Math" w:hAnsi="Cambria Math"/>
                    <w:sz w:val="23"/>
                  </w:rPr>
                  <m:t xml:space="preserve">t</m:t>
                </m:r>
              </m:sub>
            </m:sSub>
            <m:r>
              <w:rPr>
                <w:rFonts w:ascii="Cambria Math" w:hAnsi="Cambria Math"/>
                <w:sz w:val="23"/>
              </w:rPr>
              <m:t xml:space="preserve"> × t) + </m:t>
            </m:r>
            <m:sSub>
              <m:e>
                <m:r>
                  <w:rPr>
                    <w:rFonts w:ascii="Cambria Math" w:hAnsi="Cambria Math"/>
                    <w:sz w:val="23"/>
                  </w:rPr>
                  <m:t xml:space="preserve">ε</m:t>
                </m:r>
              </m:e>
              <m:sub>
                <m:r>
                  <w:rPr>
                    <w:rFonts w:ascii="Cambria Math" w:hAnsi="Cambria Math"/>
                    <w:sz w:val="23"/>
                  </w:rPr>
                  <m:t xml:space="preserve">t</m:t>
                </m:r>
              </m:sub>
            </m:sSub>
          </m:e>
        </m:eqArr>
      </m:oMath>
    </w:p>
    <w:p>
      <w:pPr>
        <w:keepNext/>
        <w:keepLines w:val="0"/>
        <w:spacing w:line="254" w:lineRule="auto" w:after="120"/>
      </w:pPr>
      <w:r>
        <w:rPr>
          <w:b/>
          <w:sz w:val="23"/>
        </w:rPr>
        <w:t>Table 1.1. Current model terms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1944"/>
        <w:gridCol w:w="8136"/>
      </w:tblGrid>
      <w:tr>
        <w:trPr>
          <w:cantSplit/>
          <w:tblHeader/>
        </w:trPr>
        <w:tc>
          <w:tcPr>
            <w:tcW w:type="dxa" w:w="1944"/>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Term</w:t>
            </w:r>
          </w:p>
        </w:tc>
        <w:tc>
          <w:tcPr>
            <w:tcW w:type="dxa" w:w="8136"/>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Definition and role</w:t>
            </w:r>
          </w:p>
        </w:tc>
      </w:tr>
      <w:tr>
        <w:trPr>
          <w:cantSplit/>
        </w:trPr>
        <w:tc>
          <w:tcPr>
            <w:tcW w:type="dxa" w:w="1944"/>
            <w:tcMar>
              <w:top w:w="65" w:type="dxa"/>
              <w:bottom w:w="65" w:type="dxa"/>
              <w:left w:w="80" w:type="dxa"/>
              <w:right w:w="80" w:type="dxa"/>
            </w:tcMar>
          </w:tcPr>
          <w:p>
            <w:pPr>
              <w:keepNext w:val="0"/>
              <w:keepLines/>
              <w:spacing w:after="0" w:line="240" w:lineRule="auto"/>
            </w:pPr>
            <w:r>
              <w:rPr>
                <w:rFonts w:ascii="Times New Roman" w:hAnsi="Times New Roman"/>
                <w:b w:val="0"/>
                <w:sz w:val="21"/>
              </w:rPr>
              <w:t>EFₜ</w:t>
            </w:r>
          </w:p>
        </w:tc>
        <w:tc>
          <w:tcPr>
            <w:tcW w:type="dxa" w:w="8136"/>
            <w:tcMar>
              <w:top w:w="65" w:type="dxa"/>
              <w:bottom w:w="65" w:type="dxa"/>
              <w:left w:w="80" w:type="dxa"/>
              <w:right w:w="80" w:type="dxa"/>
            </w:tcMar>
          </w:tcPr>
          <w:p>
            <w:pPr>
              <w:keepNext w:val="0"/>
              <w:keepLines/>
              <w:spacing w:after="0" w:line="240" w:lineRule="auto"/>
            </w:pPr>
            <w:r>
              <w:rPr>
                <w:rFonts w:ascii="Times New Roman" w:hAnsi="Times New Roman"/>
                <w:b w:val="0"/>
                <w:sz w:val="21"/>
              </w:rPr>
              <w:t>Prepared EF ratio for quarter t</w:t>
            </w:r>
          </w:p>
        </w:tc>
      </w:tr>
      <w:tr>
        <w:trPr>
          <w:cantSplit/>
        </w:trPr>
        <w:tc>
          <w:tcPr>
            <w:tcW w:type="dxa" w:w="1944"/>
            <w:tcMar>
              <w:top w:w="65" w:type="dxa"/>
              <w:bottom w:w="65" w:type="dxa"/>
              <w:left w:w="80" w:type="dxa"/>
              <w:right w:w="80" w:type="dxa"/>
            </w:tcMar>
          </w:tcPr>
          <w:p>
            <w:pPr>
              <w:keepNext w:val="0"/>
              <w:keepLines/>
              <w:spacing w:after="0" w:line="240" w:lineRule="auto"/>
            </w:pPr>
            <w:r>
              <w:rPr>
                <w:rFonts w:ascii="Times New Roman" w:hAnsi="Times New Roman"/>
                <w:b w:val="0"/>
                <w:sz w:val="21"/>
              </w:rPr>
              <w:t>Dₜ</w:t>
            </w:r>
          </w:p>
        </w:tc>
        <w:tc>
          <w:tcPr>
            <w:tcW w:type="dxa" w:w="8136"/>
            <w:tcMar>
              <w:top w:w="65" w:type="dxa"/>
              <w:bottom w:w="65" w:type="dxa"/>
              <w:left w:w="80" w:type="dxa"/>
              <w:right w:w="80" w:type="dxa"/>
            </w:tcMar>
          </w:tcPr>
          <w:p>
            <w:pPr>
              <w:keepNext w:val="0"/>
              <w:keepLines/>
              <w:spacing w:after="0" w:line="240" w:lineRule="auto"/>
            </w:pPr>
            <w:r>
              <w:rPr>
                <w:rFonts w:ascii="Times New Roman" w:hAnsi="Times New Roman"/>
                <w:b w:val="0"/>
                <w:sz w:val="21"/>
              </w:rPr>
              <w:t>0 through 2013Q4; 1 from 2014Q1 onward</w:t>
            </w:r>
          </w:p>
        </w:tc>
      </w:tr>
      <w:tr>
        <w:trPr>
          <w:cantSplit/>
        </w:trPr>
        <w:tc>
          <w:tcPr>
            <w:tcW w:type="dxa" w:w="1944"/>
            <w:tcMar>
              <w:top w:w="65" w:type="dxa"/>
              <w:bottom w:w="65" w:type="dxa"/>
              <w:left w:w="80" w:type="dxa"/>
              <w:right w:w="80" w:type="dxa"/>
            </w:tcMar>
          </w:tcPr>
          <w:p>
            <w:pPr>
              <w:keepNext w:val="0"/>
              <w:keepLines/>
              <w:spacing w:after="0" w:line="240" w:lineRule="auto"/>
            </w:pPr>
            <w:r>
              <w:rPr>
                <w:rFonts w:ascii="Times New Roman" w:hAnsi="Times New Roman"/>
                <w:b w:val="0"/>
                <w:sz w:val="21"/>
              </w:rPr>
              <w:t>t</w:t>
            </w:r>
          </w:p>
        </w:tc>
        <w:tc>
          <w:tcPr>
            <w:tcW w:type="dxa" w:w="8136"/>
            <w:tcMar>
              <w:top w:w="65" w:type="dxa"/>
              <w:bottom w:w="65" w:type="dxa"/>
              <w:left w:w="80" w:type="dxa"/>
              <w:right w:w="80" w:type="dxa"/>
            </w:tcMar>
          </w:tcPr>
          <w:p>
            <w:pPr>
              <w:keepNext w:val="0"/>
              <w:keepLines/>
              <w:spacing w:after="0" w:line="240" w:lineRule="auto"/>
            </w:pPr>
            <w:r>
              <w:rPr>
                <w:rFonts w:ascii="Times New Roman" w:hAnsi="Times New Roman"/>
                <w:b w:val="0"/>
                <w:sz w:val="21"/>
              </w:rPr>
              <w:t>Quarter counter: 2011Q1 = 1; 2014Q1 = 13</w:t>
            </w:r>
          </w:p>
        </w:tc>
      </w:tr>
      <w:tr>
        <w:trPr>
          <w:cantSplit/>
        </w:trPr>
        <w:tc>
          <w:tcPr>
            <w:tcW w:type="dxa" w:w="1944"/>
            <w:tcMar>
              <w:top w:w="65" w:type="dxa"/>
              <w:bottom w:w="65" w:type="dxa"/>
              <w:left w:w="80" w:type="dxa"/>
              <w:right w:w="80" w:type="dxa"/>
            </w:tcMar>
          </w:tcPr>
          <w:p>
            <w:pPr>
              <w:keepNext w:val="0"/>
              <w:keepLines/>
              <w:spacing w:after="0" w:line="240" w:lineRule="auto"/>
            </w:pPr>
            <w:r>
              <w:rPr>
                <w:rFonts w:ascii="Times New Roman" w:hAnsi="Times New Roman"/>
                <w:b w:val="0"/>
                <w:sz w:val="21"/>
              </w:rPr>
              <w:t>Dₜ × t</w:t>
            </w:r>
          </w:p>
        </w:tc>
        <w:tc>
          <w:tcPr>
            <w:tcW w:type="dxa" w:w="8136"/>
            <w:tcMar>
              <w:top w:w="65" w:type="dxa"/>
              <w:bottom w:w="65" w:type="dxa"/>
              <w:left w:w="80" w:type="dxa"/>
              <w:right w:w="80" w:type="dxa"/>
            </w:tcMar>
          </w:tcPr>
          <w:p>
            <w:pPr>
              <w:keepNext w:val="0"/>
              <w:keepLines/>
              <w:spacing w:after="0" w:line="240" w:lineRule="auto"/>
            </w:pPr>
            <w:r>
              <w:rPr>
                <w:rFonts w:ascii="Times New Roman" w:hAnsi="Times New Roman"/>
                <w:b w:val="0"/>
                <w:sz w:val="21"/>
              </w:rPr>
              <w:t>Allows the slope to change from 2014Q1</w:t>
            </w:r>
          </w:p>
        </w:tc>
      </w:tr>
    </w:tbl>
    <w:p>
      <w:pPr>
        <w:keepNext w:val="0"/>
        <w:keepLines w:val="0"/>
        <w:spacing w:line="254" w:lineRule="auto" w:after="120"/>
      </w:pPr>
      <w:r>
        <w:rPr>
          <w:sz w:val="21"/>
        </w:rPr>
        <w:t>The model fits a separate line to each period. The level change at 2014Q1 uses two terms together: θ + 13γ. Section 2.3 explains these terms. Source: [S1], model specification; [S2], dt_definition.</w:t>
      </w:r>
    </w:p>
    <w:p>
      <w:pPr>
        <w:pStyle w:val="Heading2"/>
        <w:keepNext/>
        <w:pageBreakBefore w:val="0"/>
        <w:spacing w:before="200" w:after="140"/>
      </w:pPr>
      <w:r>
        <w:rPr>
          <w:rFonts w:ascii="Arial" w:hAnsi="Arial"/>
          <w:b/>
          <w:color w:val="000000"/>
        </w:rPr>
        <w:t>1.6 Main estimation findings</w:t>
      </w:r>
    </w:p>
    <w:p>
      <w:pPr>
        <w:keepNext w:val="0"/>
        <w:keepLines w:val="0"/>
        <w:spacing w:line="254" w:lineRule="auto" w:after="120"/>
      </w:pPr>
      <w:r>
        <w:rPr>
          <w:sz w:val="23"/>
        </w:rPr>
        <w:t>The development fit score, adjusted R², is 0.8310. This score measures how closely the model follows historical EF, with an adjustment for model size. The error measure, RMSE, is 0.02756, or about 2.76 EF percentage points. Lower RMSE means a closer fit. After 2014Q1, the fitted line falls by 0.3570 percentage points per quarter. The longer-history estimate falls by 0.2527 percentage points per quarter.</w:t>
      </w:r>
    </w:p>
    <w:p>
      <w:pPr>
        <w:pStyle w:val="Heading1"/>
        <w:keepNext/>
        <w:pageBreakBefore/>
        <w:spacing w:before="0" w:after="140"/>
      </w:pPr>
      <w:r>
        <w:rPr>
          <w:rFonts w:ascii="Arial" w:hAnsi="Arial"/>
          <w:b/>
          <w:color w:val="000000"/>
        </w:rPr>
        <w:t>1. Executive Summary continued</w:t>
      </w:r>
    </w:p>
    <w:p>
      <w:pPr>
        <w:pStyle w:val="Heading2"/>
        <w:keepNext/>
        <w:pageBreakBefore w:val="0"/>
        <w:spacing w:before="200" w:after="140"/>
      </w:pPr>
      <w:r>
        <w:rPr>
          <w:rFonts w:ascii="Arial" w:hAnsi="Arial"/>
          <w:b/>
          <w:color w:val="000000"/>
        </w:rPr>
        <w:t>1.7 Forecast testing</w:t>
      </w:r>
    </w:p>
    <w:p>
      <w:pPr>
        <w:keepNext w:val="0"/>
        <w:keepLines w:val="0"/>
        <w:spacing w:line="254" w:lineRule="auto" w:after="120"/>
      </w:pPr>
      <w:r>
        <w:rPr>
          <w:sz w:val="23"/>
        </w:rPr>
        <w:t>Earlier models were tested on nine later quarters, from 2023Q4 to 2025Q4. These are called out-of-time (OOT) tests. The trend-only ARDL had RMSE of 0.02640 for one-step forecasts and 0.02576 for recursive forecasts. Section 6.6 explains the two methods. The latest trend model still needs its own forecast test. Its longer-history fit already uses those nine quarters.</w:t>
      </w:r>
    </w:p>
    <w:p>
      <w:pPr>
        <w:pStyle w:val="Heading2"/>
        <w:keepNext/>
        <w:pageBreakBefore w:val="0"/>
        <w:spacing w:before="200" w:after="140"/>
      </w:pPr>
      <w:r>
        <w:rPr>
          <w:rFonts w:ascii="Arial" w:hAnsi="Arial"/>
          <w:b/>
          <w:color w:val="000000"/>
        </w:rPr>
        <w:t>1.8 Overlay and 1.9 key assumptions</w:t>
      </w:r>
    </w:p>
    <w:p>
      <w:pPr>
        <w:keepNext w:val="0"/>
        <w:keepLines w:val="0"/>
        <w:spacing w:line="254" w:lineRule="auto" w:after="120"/>
      </w:pPr>
      <w:r>
        <w:rPr>
          <w:sz w:val="23"/>
        </w:rPr>
        <w:t>The record contains no approval for a manual forecast adjustment, also called an overlay. The two 2017 changes adjust historical data. The model assumes one straight trend in each period and a consistent EF definition. Its uncertainty measures follow the OLS method in the latest file. Section 6.3 explains why linked errors across quarters require caution.</w:t>
      </w:r>
    </w:p>
    <w:p>
      <w:pPr>
        <w:pStyle w:val="Heading2"/>
        <w:keepNext/>
        <w:pageBreakBefore w:val="0"/>
        <w:spacing w:before="200" w:after="140"/>
      </w:pPr>
      <w:r>
        <w:rPr>
          <w:rFonts w:ascii="Arial" w:hAnsi="Arial"/>
          <w:b/>
          <w:color w:val="000000"/>
        </w:rPr>
        <w:t>1.10 Strengths</w:t>
      </w:r>
    </w:p>
    <w:p>
      <w:pPr>
        <w:keepNext w:val="0"/>
        <w:keepLines w:val="0"/>
        <w:spacing w:line="254" w:lineRule="auto" w:after="120"/>
      </w:pPr>
      <w:r>
        <w:rPr>
          <w:sz w:val="23"/>
        </w:rPr>
        <w:t>The model uses a small number of terms. Each term has a clear role. Both time windows show a change in trend after 2014Q1. The saved data and calculations allow a reviewer to reproduce the results.</w:t>
      </w:r>
    </w:p>
    <w:p>
      <w:pPr>
        <w:pStyle w:val="Heading2"/>
        <w:keepNext/>
        <w:pageBreakBefore w:val="0"/>
        <w:spacing w:before="200" w:after="140"/>
      </w:pPr>
      <w:r>
        <w:rPr>
          <w:rFonts w:ascii="Arial" w:hAnsi="Arial"/>
          <w:b/>
          <w:color w:val="000000"/>
        </w:rPr>
        <w:t>1.11 Main limits and next steps</w:t>
      </w:r>
    </w:p>
    <w:p>
      <w:pPr>
        <w:keepNext/>
        <w:keepLines w:val="0"/>
        <w:spacing w:line="254" w:lineRule="auto" w:after="120"/>
      </w:pPr>
      <w:r>
        <w:rPr>
          <w:b/>
          <w:sz w:val="23"/>
        </w:rPr>
        <w:t>Table 1.2. Principal limitations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2304"/>
        <w:gridCol w:w="7776"/>
      </w:tblGrid>
      <w:tr>
        <w:trPr>
          <w:cantSplit/>
          <w:tblHeader/>
        </w:trPr>
        <w:tc>
          <w:tcPr>
            <w:tcW w:type="dxa" w:w="2304"/>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Area</w:t>
            </w:r>
          </w:p>
        </w:tc>
        <w:tc>
          <w:tcPr>
            <w:tcW w:type="dxa" w:w="7776"/>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Implication</w:t>
            </w:r>
          </w:p>
        </w:tc>
      </w:tr>
      <w:tr>
        <w:trPr>
          <w:cantSplit/>
        </w:trPr>
        <w:tc>
          <w:tcPr>
            <w:tcW w:type="dxa" w:w="2304"/>
            <w:tcMar>
              <w:top w:w="65" w:type="dxa"/>
              <w:bottom w:w="65" w:type="dxa"/>
              <w:left w:w="80" w:type="dxa"/>
              <w:right w:w="80" w:type="dxa"/>
            </w:tcMar>
          </w:tcPr>
          <w:p>
            <w:pPr>
              <w:keepNext w:val="0"/>
              <w:keepLines/>
              <w:spacing w:after="0" w:line="240" w:lineRule="auto"/>
            </w:pPr>
            <w:r>
              <w:rPr>
                <w:rFonts w:ascii="Times New Roman" w:hAnsi="Times New Roman"/>
                <w:b w:val="0"/>
                <w:sz w:val="21"/>
              </w:rPr>
              <w:t>Linked quarterly errors</w:t>
            </w:r>
          </w:p>
        </w:tc>
        <w:tc>
          <w:tcPr>
            <w:tcW w:type="dxa" w:w="7776"/>
            <w:tcMar>
              <w:top w:w="65" w:type="dxa"/>
              <w:bottom w:w="65" w:type="dxa"/>
              <w:left w:w="80" w:type="dxa"/>
              <w:right w:w="80" w:type="dxa"/>
            </w:tcMar>
          </w:tcPr>
          <w:p>
            <w:pPr>
              <w:keepNext w:val="0"/>
              <w:keepLines/>
              <w:spacing w:after="0" w:line="240" w:lineRule="auto"/>
            </w:pPr>
            <w:r>
              <w:rPr>
                <w:rFonts w:ascii="Times New Roman" w:hAnsi="Times New Roman"/>
                <w:b w:val="0"/>
                <w:sz w:val="21"/>
              </w:rPr>
              <w:t>Tests find links across errors in both samples at the 5% threshold. This affects the uncertainty measures.</w:t>
            </w:r>
          </w:p>
        </w:tc>
      </w:tr>
      <w:tr>
        <w:trPr>
          <w:cantSplit/>
        </w:trPr>
        <w:tc>
          <w:tcPr>
            <w:tcW w:type="dxa" w:w="2304"/>
            <w:tcMar>
              <w:top w:w="65" w:type="dxa"/>
              <w:bottom w:w="65" w:type="dxa"/>
              <w:left w:w="80" w:type="dxa"/>
              <w:right w:w="80" w:type="dxa"/>
            </w:tcMar>
          </w:tcPr>
          <w:p>
            <w:pPr>
              <w:keepNext w:val="0"/>
              <w:keepLines/>
              <w:spacing w:after="0" w:line="240" w:lineRule="auto"/>
            </w:pPr>
            <w:r>
              <w:rPr>
                <w:rFonts w:ascii="Times New Roman" w:hAnsi="Times New Roman"/>
                <w:b w:val="0"/>
                <w:sz w:val="21"/>
              </w:rPr>
              <w:t>Stable error pattern</w:t>
            </w:r>
          </w:p>
        </w:tc>
        <w:tc>
          <w:tcPr>
            <w:tcW w:type="dxa" w:w="7776"/>
            <w:tcMar>
              <w:top w:w="65" w:type="dxa"/>
              <w:bottom w:w="65" w:type="dxa"/>
              <w:left w:w="80" w:type="dxa"/>
              <w:right w:w="80" w:type="dxa"/>
            </w:tcMar>
          </w:tcPr>
          <w:p>
            <w:pPr>
              <w:keepNext w:val="0"/>
              <w:keepLines/>
              <w:spacing w:after="0" w:line="240" w:lineRule="auto"/>
            </w:pPr>
            <w:r>
              <w:rPr>
                <w:rFonts w:ascii="Times New Roman" w:hAnsi="Times New Roman"/>
                <w:b w:val="0"/>
                <w:sz w:val="21"/>
              </w:rPr>
              <w:t>ADF and KPSS provide initial checks. A formal test of the level and slope break needs matching reference values.</w:t>
            </w:r>
          </w:p>
        </w:tc>
      </w:tr>
      <w:tr>
        <w:trPr>
          <w:cantSplit/>
        </w:trPr>
        <w:tc>
          <w:tcPr>
            <w:tcW w:type="dxa" w:w="2304"/>
            <w:tcMar>
              <w:top w:w="65" w:type="dxa"/>
              <w:bottom w:w="65" w:type="dxa"/>
              <w:left w:w="80" w:type="dxa"/>
              <w:right w:w="80" w:type="dxa"/>
            </w:tcMar>
          </w:tcPr>
          <w:p>
            <w:pPr>
              <w:keepNext w:val="0"/>
              <w:keepLines/>
              <w:spacing w:after="0" w:line="240" w:lineRule="auto"/>
            </w:pPr>
            <w:r>
              <w:rPr>
                <w:rFonts w:ascii="Times New Roman" w:hAnsi="Times New Roman"/>
                <w:b w:val="0"/>
                <w:sz w:val="21"/>
              </w:rPr>
              <w:t>Forecast update</w:t>
            </w:r>
          </w:p>
        </w:tc>
        <w:tc>
          <w:tcPr>
            <w:tcW w:type="dxa" w:w="7776"/>
            <w:tcMar>
              <w:top w:w="65" w:type="dxa"/>
              <w:bottom w:w="65" w:type="dxa"/>
              <w:left w:w="80" w:type="dxa"/>
              <w:right w:w="80" w:type="dxa"/>
            </w:tcMar>
          </w:tcPr>
          <w:p>
            <w:pPr>
              <w:keepNext w:val="0"/>
              <w:keepLines/>
              <w:spacing w:after="0" w:line="240" w:lineRule="auto"/>
            </w:pPr>
            <w:r>
              <w:rPr>
                <w:rFonts w:ascii="Times New Roman" w:hAnsi="Times New Roman"/>
                <w:b w:val="0"/>
                <w:sz w:val="21"/>
              </w:rPr>
              <w:t>The revised forecasting equation still needs later-data tests and economic scenarios.</w:t>
            </w:r>
          </w:p>
        </w:tc>
      </w:tr>
      <w:tr>
        <w:trPr>
          <w:cantSplit/>
        </w:trPr>
        <w:tc>
          <w:tcPr>
            <w:tcW w:type="dxa" w:w="2304"/>
            <w:tcMar>
              <w:top w:w="65" w:type="dxa"/>
              <w:bottom w:w="65" w:type="dxa"/>
              <w:left w:w="80" w:type="dxa"/>
              <w:right w:w="80" w:type="dxa"/>
            </w:tcMar>
          </w:tcPr>
          <w:p>
            <w:pPr>
              <w:keepNext w:val="0"/>
              <w:keepLines/>
              <w:spacing w:after="0" w:line="240" w:lineRule="auto"/>
            </w:pPr>
            <w:r>
              <w:rPr>
                <w:rFonts w:ascii="Times New Roman" w:hAnsi="Times New Roman"/>
                <w:b w:val="0"/>
                <w:sz w:val="21"/>
              </w:rPr>
              <w:t>Accounting and governance</w:t>
            </w:r>
          </w:p>
        </w:tc>
        <w:tc>
          <w:tcPr>
            <w:tcW w:type="dxa" w:w="7776"/>
            <w:tcMar>
              <w:top w:w="65" w:type="dxa"/>
              <w:bottom w:w="65" w:type="dxa"/>
              <w:left w:w="80" w:type="dxa"/>
              <w:right w:w="80" w:type="dxa"/>
            </w:tcMar>
          </w:tcPr>
          <w:p>
            <w:pPr>
              <w:keepNext w:val="0"/>
              <w:keepLines/>
              <w:spacing w:after="0" w:line="240" w:lineRule="auto"/>
            </w:pPr>
            <w:r>
              <w:rPr>
                <w:rFonts w:ascii="Times New Roman" w:hAnsi="Times New Roman"/>
                <w:b w:val="0"/>
                <w:sz w:val="21"/>
              </w:rPr>
              <w:t>Confirm the EF definition, expense-dollar calculation, named owners and approvals.</w:t>
            </w:r>
          </w:p>
        </w:tc>
      </w:tr>
    </w:tbl>
    <w:p>
      <w:pPr>
        <w:keepNext w:val="0"/>
        <w:keepLines w:val="0"/>
        <w:spacing w:line="254" w:lineRule="auto" w:after="120"/>
      </w:pPr>
      <w:r>
        <w:rPr>
          <w:sz w:val="21"/>
        </w:rPr>
        <w:t>The team should address these points before using an updated forecast. Section 11.5 lists the open items. Source: [S1–S5].</w:t>
      </w:r>
    </w:p>
    <w:p>
      <w:pPr>
        <w:pStyle w:val="Heading2"/>
        <w:keepNext/>
        <w:pageBreakBefore w:val="0"/>
        <w:spacing w:before="200" w:after="140"/>
      </w:pPr>
      <w:r>
        <w:rPr>
          <w:rFonts w:ascii="Arial" w:hAnsi="Arial"/>
          <w:b/>
          <w:color w:val="000000"/>
        </w:rPr>
        <w:t>1.12 Ownership and review status</w:t>
      </w:r>
    </w:p>
    <w:p>
      <w:pPr>
        <w:keepNext w:val="0"/>
        <w:keepLines w:val="0"/>
        <w:spacing w:line="254" w:lineRule="auto" w:after="120"/>
      </w:pPr>
      <w:r>
        <w:rPr>
          <w:sz w:val="23"/>
        </w:rPr>
        <w:t>Section 10 proposes roles for the owner, developer, business user and independent reviewer. Named staff, the model ID and approval dates still need confirmation. The team also needs to confirm whether the model has been put into use.</w:t>
      </w:r>
    </w:p>
    <w:p>
      <w:pPr>
        <w:pStyle w:val="Heading2"/>
        <w:keepNext/>
        <w:pageBreakBefore w:val="0"/>
        <w:spacing w:before="200" w:after="140"/>
      </w:pPr>
      <w:r>
        <w:rPr>
          <w:rFonts w:ascii="Arial" w:hAnsi="Arial"/>
          <w:b/>
          <w:color w:val="000000"/>
        </w:rPr>
        <w:t>1.13 Conclusion</w:t>
      </w:r>
    </w:p>
    <w:p>
      <w:pPr>
        <w:keepNext w:val="0"/>
        <w:keepLines w:val="0"/>
        <w:spacing w:line="254" w:lineRule="auto" w:after="120"/>
      </w:pPr>
      <w:r>
        <w:rPr>
          <w:sz w:val="23"/>
        </w:rPr>
        <w:t>The latest results support allowing both the EF level and trend to change in 2014Q1. Errors still show patterns across quarters. The trend also changes when more history is added. The next step is to include the revised trend in a forecasting model and test its results.</w:t>
      </w:r>
    </w:p>
    <w:p>
      <w:pPr>
        <w:pStyle w:val="Heading1"/>
        <w:keepNext/>
        <w:pageBreakBefore/>
        <w:spacing w:before="0" w:after="140"/>
      </w:pPr>
      <w:r>
        <w:rPr>
          <w:rFonts w:ascii="Arial" w:hAnsi="Arial"/>
          <w:b/>
          <w:color w:val="000000"/>
        </w:rPr>
        <w:t>2. Model Theory and Design</w:t>
      </w:r>
    </w:p>
    <w:p>
      <w:pPr>
        <w:pStyle w:val="Heading2"/>
        <w:keepNext/>
        <w:pageBreakBefore w:val="0"/>
        <w:spacing w:before="200" w:after="140"/>
      </w:pPr>
      <w:r>
        <w:rPr>
          <w:rFonts w:ascii="Arial" w:hAnsi="Arial"/>
          <w:b/>
          <w:color w:val="000000"/>
        </w:rPr>
        <w:t>2.1 Business purpose and design</w:t>
      </w:r>
    </w:p>
    <w:p>
      <w:pPr>
        <w:keepNext w:val="0"/>
        <w:keepLines w:val="0"/>
        <w:spacing w:line="254" w:lineRule="auto" w:after="120"/>
      </w:pPr>
      <w:r>
        <w:rPr>
          <w:sz w:val="23"/>
        </w:rPr>
        <w:t>EF compares expenses with revenue. A higher ratio can reflect higher expenses, lower revenue or both. The ratio alone cannot separate these causes. The current analysis first describes the historical trend. Earlier forecasting work also used past EF values and economic conditions.</w:t>
      </w:r>
    </w:p>
    <w:p>
      <w:pPr>
        <w:pStyle w:val="Heading2"/>
        <w:keepNext/>
        <w:pageBreakBefore w:val="0"/>
        <w:spacing w:before="200" w:after="140"/>
      </w:pPr>
      <w:r>
        <w:rPr>
          <w:rFonts w:ascii="Arial" w:hAnsi="Arial"/>
          <w:b/>
          <w:color w:val="000000"/>
        </w:rPr>
        <w:t>2.2 EF values and units</w:t>
      </w:r>
    </w:p>
    <w:p>
      <w:pPr>
        <w:keepNext w:val="0"/>
        <w:keepLines w:val="0"/>
        <w:spacing w:line="254" w:lineRule="auto" w:after="120"/>
      </w:pPr>
      <w:r>
        <w:rPr>
          <w:sz w:val="23"/>
        </w:rPr>
        <w:t>EF is stored as a decimal. A value of 0.60 means 60%. A change of 0.01 means one percentage point. The model fits lines directly to these EF values. A residual is the difference between an observed value and the fitted line. The tests check whether these remaining differences have patterns.</w:t>
      </w:r>
    </w:p>
    <w:p>
      <w:pPr>
        <w:pStyle w:val="Heading2"/>
        <w:keepNext/>
        <w:pageBreakBefore w:val="0"/>
        <w:spacing w:before="200" w:after="140"/>
      </w:pPr>
      <w:r>
        <w:rPr>
          <w:rFonts w:ascii="Arial" w:hAnsi="Arial"/>
          <w:b/>
          <w:color w:val="000000"/>
        </w:rPr>
        <w:t>2.3 Changes in level and trend</w:t>
      </w:r>
    </w:p>
    <w:p>
      <w:pPr>
        <w:keepNext w:val="0"/>
        <w:keepLines/>
        <w:spacing w:line="254" w:lineRule="auto" w:after="180"/>
        <w:jc w:val="center"/>
      </w:pPr>
      <m:oMath>
        <m:eqArr>
          <m:e>
            <m:r>
              <w:rPr>
                <w:rFonts w:ascii="Cambria Math" w:hAnsi="Cambria Math"/>
                <w:sz w:val="23"/>
              </w:rPr>
              <m:t xml:space="preserve">Pre-break:  </m:t>
            </m:r>
            <m:sSub>
              <m:e>
                <m:r>
                  <w:rPr>
                    <w:rFonts w:ascii="Cambria Math" w:hAnsi="Cambria Math"/>
                    <w:sz w:val="23"/>
                  </w:rPr>
                  <m:t xml:space="preserve">EF</m:t>
                </m:r>
              </m:e>
              <m:sub>
                <m:r>
                  <w:rPr>
                    <w:rFonts w:ascii="Cambria Math" w:hAnsi="Cambria Math"/>
                    <w:sz w:val="23"/>
                  </w:rPr>
                  <m:t xml:space="preserve">t</m:t>
                </m:r>
              </m:sub>
            </m:sSub>
            <m:r>
              <w:rPr>
                <w:rFonts w:ascii="Cambria Math" w:hAnsi="Cambria Math"/>
                <w:sz w:val="23"/>
              </w:rPr>
              <m:t xml:space="preserve"> = α + βt + </m:t>
            </m:r>
            <m:sSub>
              <m:e>
                <m:r>
                  <w:rPr>
                    <w:rFonts w:ascii="Cambria Math" w:hAnsi="Cambria Math"/>
                    <w:sz w:val="23"/>
                  </w:rPr>
                  <m:t xml:space="preserve">ε</m:t>
                </m:r>
              </m:e>
              <m:sub>
                <m:r>
                  <w:rPr>
                    <w:rFonts w:ascii="Cambria Math" w:hAnsi="Cambria Math"/>
                    <w:sz w:val="23"/>
                  </w:rPr>
                  <m:t xml:space="preserve">t</m:t>
                </m:r>
              </m:sub>
            </m:sSub>
          </m:e>
          <m:e>
            <m:r>
              <w:rPr>
                <w:rFonts w:ascii="Cambria Math" w:hAnsi="Cambria Math"/>
                <w:sz w:val="23"/>
              </w:rPr>
              <m:t xml:space="preserve">Post-break:  </m:t>
            </m:r>
            <m:sSub>
              <m:e>
                <m:r>
                  <w:rPr>
                    <w:rFonts w:ascii="Cambria Math" w:hAnsi="Cambria Math"/>
                    <w:sz w:val="23"/>
                  </w:rPr>
                  <m:t xml:space="preserve">EF</m:t>
                </m:r>
              </m:e>
              <m:sub>
                <m:r>
                  <w:rPr>
                    <w:rFonts w:ascii="Cambria Math" w:hAnsi="Cambria Math"/>
                    <w:sz w:val="23"/>
                  </w:rPr>
                  <m:t xml:space="preserve">t</m:t>
                </m:r>
              </m:sub>
            </m:sSub>
            <m:r>
              <w:rPr>
                <w:rFonts w:ascii="Cambria Math" w:hAnsi="Cambria Math"/>
                <w:sz w:val="23"/>
              </w:rPr>
              <m:t xml:space="preserve"> = (α + θ) + (β + γ)t + </m:t>
            </m:r>
            <m:sSub>
              <m:e>
                <m:r>
                  <w:rPr>
                    <w:rFonts w:ascii="Cambria Math" w:hAnsi="Cambria Math"/>
                    <w:sz w:val="23"/>
                  </w:rPr>
                  <m:t xml:space="preserve">ε</m:t>
                </m:r>
              </m:e>
              <m:sub>
                <m:r>
                  <w:rPr>
                    <w:rFonts w:ascii="Cambria Math" w:hAnsi="Cambria Math"/>
                    <w:sz w:val="23"/>
                  </w:rPr>
                  <m:t xml:space="preserve">t</m:t>
                </m:r>
              </m:sub>
            </m:sSub>
          </m:e>
        </m:eqArr>
      </m:oMath>
    </w:p>
    <w:p>
      <w:pPr>
        <w:keepNext w:val="0"/>
        <w:keepLines w:val="0"/>
        <w:spacing w:line="254" w:lineRule="auto" w:after="120"/>
      </w:pPr>
      <w:r>
        <w:rPr>
          <w:sz w:val="23"/>
        </w:rPr>
        <w:t>A slope is the rate of change per quarter. Before 2014Q1, the slope is β. After 2014Q1, it is β + γ. The term γ measures the change between these slopes. The time counter keeps running through the break. As a result, θ compares the two lines at t = 0, before the observed history. At 2014Q1, t = 13. The gap between the lines at that date is θ + 13γ.</w:t>
      </w:r>
    </w:p>
    <w:p>
      <w:pPr>
        <w:pStyle w:val="Heading2"/>
        <w:keepNext/>
        <w:pageBreakBefore w:val="0"/>
        <w:spacing w:before="200" w:after="140"/>
      </w:pPr>
      <w:r>
        <w:rPr>
          <w:rFonts w:ascii="Arial" w:hAnsi="Arial"/>
          <w:b/>
          <w:color w:val="000000"/>
        </w:rPr>
        <w:t>2.4 Economic conditions</w:t>
      </w:r>
    </w:p>
    <w:p>
      <w:pPr>
        <w:keepNext w:val="0"/>
        <w:keepLines w:val="0"/>
        <w:spacing w:line="254" w:lineRule="auto" w:after="120"/>
      </w:pPr>
      <w:r>
        <w:rPr>
          <w:sz w:val="23"/>
        </w:rPr>
        <w:t>The current equation uses time and the 2014Q1 change. Earlier ARDL models also used the previous quarter’s unemployment change. A weaker economy may reduce revenue before costs can adjust. This helps explain the positive unemployment effect in those earlier models. The revised forecasting model still needs to test that relationship.</w:t>
      </w:r>
    </w:p>
    <w:p>
      <w:pPr>
        <w:pStyle w:val="Heading2"/>
        <w:keepNext/>
        <w:pageBreakBefore w:val="0"/>
        <w:spacing w:before="200" w:after="140"/>
      </w:pPr>
      <w:r>
        <w:rPr>
          <w:rFonts w:ascii="Arial" w:hAnsi="Arial"/>
          <w:b/>
          <w:color w:val="000000"/>
        </w:rPr>
        <w:t>2.5 Assumptions and limits</w:t>
      </w:r>
    </w:p>
    <w:p>
      <w:pPr>
        <w:keepNext w:val="0"/>
        <w:keepLines w:val="0"/>
        <w:spacing w:line="254" w:lineRule="auto" w:after="120"/>
      </w:pPr>
      <w:r>
        <w:rPr>
          <w:sz w:val="23"/>
        </w:rPr>
        <w:t>The development design sets the break date at 2014Q1. The analysis uses that date throughout. It leaves the cause of the change open. Earlier documents used the label “TARP” and a step value of one before the break. The latest file uses a step value of one from 2014Q1 onward.</w:t>
      </w:r>
    </w:p>
    <w:p>
      <w:pPr>
        <w:keepNext w:val="0"/>
        <w:keepLines w:val="0"/>
        <w:spacing w:line="254" w:lineRule="auto" w:after="120"/>
      </w:pPr>
      <w:r>
        <w:rPr>
          <w:sz w:val="23"/>
        </w:rPr>
        <w:t>A straight downward trend can produce unrealistic values if extended too far. The current equation also gives the same path when economic assumptions change. A forecasting model needs a defined horizon and a way to respond to economic conditions. Users should check whether its projected EF values make business sense.</w:t>
      </w:r>
    </w:p>
    <w:p>
      <w:pPr>
        <w:pStyle w:val="Heading1"/>
        <w:keepNext/>
        <w:pageBreakBefore/>
        <w:spacing w:before="0" w:after="140"/>
      </w:pPr>
      <w:r>
        <w:rPr>
          <w:rFonts w:ascii="Arial" w:hAnsi="Arial"/>
          <w:b/>
          <w:color w:val="000000"/>
        </w:rPr>
        <w:t>3. Model Estimation</w:t>
      </w:r>
    </w:p>
    <w:p>
      <w:pPr>
        <w:pStyle w:val="Heading2"/>
        <w:keepNext/>
        <w:pageBreakBefore w:val="0"/>
        <w:spacing w:before="200" w:after="140"/>
      </w:pPr>
      <w:r>
        <w:rPr>
          <w:rFonts w:ascii="Arial" w:hAnsi="Arial"/>
          <w:b/>
          <w:color w:val="000000"/>
        </w:rPr>
        <w:t>3.1 Development steps</w:t>
      </w:r>
    </w:p>
    <w:p>
      <w:pPr>
        <w:keepNext/>
        <w:keepLines w:val="0"/>
        <w:spacing w:line="254" w:lineRule="auto" w:after="120"/>
      </w:pPr>
      <w:r>
        <w:rPr>
          <w:b/>
          <w:sz w:val="23"/>
        </w:rPr>
        <w:t>Table 3.1. Development steps and use of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2160"/>
        <w:gridCol w:w="4032"/>
        <w:gridCol w:w="3888"/>
      </w:tblGrid>
      <w:tr>
        <w:trPr>
          <w:cantSplit/>
          <w:tblHeader/>
        </w:trPr>
        <w:tc>
          <w:tcPr>
            <w:tcW w:type="dxa" w:w="2160"/>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Stage</w:t>
            </w:r>
          </w:p>
        </w:tc>
        <w:tc>
          <w:tcPr>
            <w:tcW w:type="dxa" w:w="4032"/>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Method</w:t>
            </w:r>
          </w:p>
        </w:tc>
        <w:tc>
          <w:tcPr>
            <w:tcW w:type="dxa" w:w="3888"/>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Use in this MDD</w:t>
            </w:r>
          </w:p>
        </w:tc>
      </w:tr>
      <w:tr>
        <w:trPr>
          <w:cantSplit/>
        </w:trPr>
        <w:tc>
          <w:tcPr>
            <w:tcW w:type="dxa" w:w="2160"/>
            <w:tcMar>
              <w:top w:w="65" w:type="dxa"/>
              <w:bottom w:w="65" w:type="dxa"/>
              <w:left w:w="80" w:type="dxa"/>
              <w:right w:w="80" w:type="dxa"/>
            </w:tcMar>
          </w:tcPr>
          <w:p>
            <w:pPr>
              <w:keepNext w:val="0"/>
              <w:keepLines/>
              <w:spacing w:after="0" w:line="240" w:lineRule="auto"/>
            </w:pPr>
            <w:r>
              <w:rPr>
                <w:rFonts w:ascii="Times New Roman" w:hAnsi="Times New Roman"/>
                <w:b w:val="0"/>
                <w:sz w:val="21"/>
              </w:rPr>
              <w:t>Earlier trend analysis</w:t>
            </w:r>
          </w:p>
        </w:tc>
        <w:tc>
          <w:tcPr>
            <w:tcW w:type="dxa" w:w="4032"/>
            <w:tcMar>
              <w:top w:w="65" w:type="dxa"/>
              <w:bottom w:w="65" w:type="dxa"/>
              <w:left w:w="80" w:type="dxa"/>
              <w:right w:w="80" w:type="dxa"/>
            </w:tcMar>
          </w:tcPr>
          <w:p>
            <w:pPr>
              <w:keepNext w:val="0"/>
              <w:keepLines/>
              <w:spacing w:after="0" w:line="240" w:lineRule="auto"/>
            </w:pPr>
            <w:r>
              <w:rPr>
                <w:rFonts w:ascii="Times New Roman" w:hAnsi="Times New Roman"/>
                <w:b w:val="0"/>
                <w:sz w:val="21"/>
              </w:rPr>
              <w:t>One common slope and a level change. Perron and error checks.</w:t>
            </w:r>
          </w:p>
        </w:tc>
        <w:tc>
          <w:tcPr>
            <w:tcW w:type="dxa" w:w="3888"/>
            <w:tcMar>
              <w:top w:w="65" w:type="dxa"/>
              <w:bottom w:w="65" w:type="dxa"/>
              <w:left w:w="80" w:type="dxa"/>
              <w:right w:w="80" w:type="dxa"/>
            </w:tcMar>
          </w:tcPr>
          <w:p>
            <w:pPr>
              <w:keepNext w:val="0"/>
              <w:keepLines/>
              <w:spacing w:after="0" w:line="240" w:lineRule="auto"/>
            </w:pPr>
            <w:r>
              <w:rPr>
                <w:rFonts w:ascii="Times New Roman" w:hAnsi="Times New Roman"/>
                <w:b w:val="0"/>
                <w:sz w:val="21"/>
              </w:rPr>
              <w:t>Earlier model design and tests</w:t>
            </w:r>
          </w:p>
        </w:tc>
      </w:tr>
      <w:tr>
        <w:trPr>
          <w:cantSplit/>
        </w:trPr>
        <w:tc>
          <w:tcPr>
            <w:tcW w:type="dxa" w:w="2160"/>
            <w:tcMar>
              <w:top w:w="65" w:type="dxa"/>
              <w:bottom w:w="65" w:type="dxa"/>
              <w:left w:w="80" w:type="dxa"/>
              <w:right w:w="80" w:type="dxa"/>
            </w:tcMar>
          </w:tcPr>
          <w:p>
            <w:pPr>
              <w:keepNext w:val="0"/>
              <w:keepLines/>
              <w:spacing w:after="0" w:line="240" w:lineRule="auto"/>
            </w:pPr>
            <w:r>
              <w:rPr>
                <w:rFonts w:ascii="Times New Roman" w:hAnsi="Times New Roman"/>
                <w:b w:val="0"/>
                <w:sz w:val="21"/>
              </w:rPr>
              <w:t>Earlier forecast models</w:t>
            </w:r>
          </w:p>
        </w:tc>
        <w:tc>
          <w:tcPr>
            <w:tcW w:type="dxa" w:w="4032"/>
            <w:tcMar>
              <w:top w:w="65" w:type="dxa"/>
              <w:bottom w:w="65" w:type="dxa"/>
              <w:left w:w="80" w:type="dxa"/>
              <w:right w:w="80" w:type="dxa"/>
            </w:tcMar>
          </w:tcPr>
          <w:p>
            <w:pPr>
              <w:keepNext w:val="0"/>
              <w:keepLines/>
              <w:spacing w:after="0" w:line="240" w:lineRule="auto"/>
            </w:pPr>
            <w:r>
              <w:rPr>
                <w:rFonts w:ascii="Times New Roman" w:hAnsi="Times New Roman"/>
                <w:b w:val="0"/>
                <w:sz w:val="21"/>
              </w:rPr>
              <w:t>Three ARDL models. Selection from 22 economic inputs.</w:t>
            </w:r>
          </w:p>
        </w:tc>
        <w:tc>
          <w:tcPr>
            <w:tcW w:type="dxa" w:w="3888"/>
            <w:tcMar>
              <w:top w:w="65" w:type="dxa"/>
              <w:bottom w:w="65" w:type="dxa"/>
              <w:left w:w="80" w:type="dxa"/>
              <w:right w:w="80" w:type="dxa"/>
            </w:tcMar>
          </w:tcPr>
          <w:p>
            <w:pPr>
              <w:keepNext w:val="0"/>
              <w:keepLines/>
              <w:spacing w:after="0" w:line="240" w:lineRule="auto"/>
            </w:pPr>
            <w:r>
              <w:rPr>
                <w:rFonts w:ascii="Times New Roman" w:hAnsi="Times New Roman"/>
                <w:b w:val="0"/>
                <w:sz w:val="21"/>
              </w:rPr>
              <w:t>Earlier input selection, forecast tests and scenarios</w:t>
            </w:r>
          </w:p>
        </w:tc>
      </w:tr>
      <w:tr>
        <w:trPr>
          <w:cantSplit/>
        </w:trPr>
        <w:tc>
          <w:tcPr>
            <w:tcW w:type="dxa" w:w="2160"/>
            <w:tcMar>
              <w:top w:w="65" w:type="dxa"/>
              <w:bottom w:w="65" w:type="dxa"/>
              <w:left w:w="80" w:type="dxa"/>
              <w:right w:w="80" w:type="dxa"/>
            </w:tcMar>
          </w:tcPr>
          <w:p>
            <w:pPr>
              <w:keepNext w:val="0"/>
              <w:keepLines/>
              <w:spacing w:after="0" w:line="240" w:lineRule="auto"/>
            </w:pPr>
            <w:r>
              <w:rPr>
                <w:rFonts w:ascii="Times New Roman" w:hAnsi="Times New Roman"/>
                <w:b w:val="0"/>
                <w:sz w:val="21"/>
              </w:rPr>
              <w:t>Latest trend analysis</w:t>
            </w:r>
          </w:p>
        </w:tc>
        <w:tc>
          <w:tcPr>
            <w:tcW w:type="dxa" w:w="4032"/>
            <w:tcMar>
              <w:top w:w="65" w:type="dxa"/>
              <w:bottom w:w="65" w:type="dxa"/>
              <w:left w:w="80" w:type="dxa"/>
              <w:right w:w="80" w:type="dxa"/>
            </w:tcMar>
          </w:tcPr>
          <w:p>
            <w:pPr>
              <w:keepNext w:val="0"/>
              <w:keepLines/>
              <w:spacing w:after="0" w:line="240" w:lineRule="auto"/>
            </w:pPr>
            <w:r>
              <w:rPr>
                <w:rFonts w:ascii="Times New Roman" w:hAnsi="Times New Roman"/>
                <w:b w:val="0"/>
                <w:sz w:val="21"/>
              </w:rPr>
              <w:t>Constant, D, t and D × t. Fits use 51 and 60 quarters.</w:t>
            </w:r>
          </w:p>
        </w:tc>
        <w:tc>
          <w:tcPr>
            <w:tcW w:type="dxa" w:w="3888"/>
            <w:tcMar>
              <w:top w:w="65" w:type="dxa"/>
              <w:bottom w:w="65" w:type="dxa"/>
              <w:left w:w="80" w:type="dxa"/>
              <w:right w:w="80" w:type="dxa"/>
            </w:tcMar>
          </w:tcPr>
          <w:p>
            <w:pPr>
              <w:keepNext w:val="0"/>
              <w:keepLines/>
              <w:spacing w:after="0" w:line="240" w:lineRule="auto"/>
            </w:pPr>
            <w:r>
              <w:rPr>
                <w:rFonts w:ascii="Times New Roman" w:hAnsi="Times New Roman"/>
                <w:b w:val="0"/>
                <w:sz w:val="21"/>
              </w:rPr>
              <w:t>Current equation and estimates</w:t>
            </w:r>
          </w:p>
        </w:tc>
      </w:tr>
      <w:tr>
        <w:trPr>
          <w:cantSplit/>
        </w:trPr>
        <w:tc>
          <w:tcPr>
            <w:tcW w:type="dxa" w:w="2160"/>
            <w:tcMar>
              <w:top w:w="65" w:type="dxa"/>
              <w:bottom w:w="65" w:type="dxa"/>
              <w:left w:w="80" w:type="dxa"/>
              <w:right w:w="80" w:type="dxa"/>
            </w:tcMar>
          </w:tcPr>
          <w:p>
            <w:pPr>
              <w:keepNext w:val="0"/>
              <w:keepLines/>
              <w:spacing w:after="0" w:line="240" w:lineRule="auto"/>
            </w:pPr>
            <w:r>
              <w:rPr>
                <w:rFonts w:ascii="Times New Roman" w:hAnsi="Times New Roman"/>
                <w:b w:val="0"/>
                <w:sz w:val="21"/>
              </w:rPr>
              <w:t>Forecast update</w:t>
            </w:r>
          </w:p>
        </w:tc>
        <w:tc>
          <w:tcPr>
            <w:tcW w:type="dxa" w:w="4032"/>
            <w:tcMar>
              <w:top w:w="65" w:type="dxa"/>
              <w:bottom w:w="65" w:type="dxa"/>
              <w:left w:w="80" w:type="dxa"/>
              <w:right w:w="80" w:type="dxa"/>
            </w:tcMar>
          </w:tcPr>
          <w:p>
            <w:pPr>
              <w:keepNext w:val="0"/>
              <w:keepLines/>
              <w:spacing w:after="0" w:line="240" w:lineRule="auto"/>
            </w:pPr>
            <w:r>
              <w:rPr>
                <w:rFonts w:ascii="Times New Roman" w:hAnsi="Times New Roman"/>
                <w:b w:val="0"/>
                <w:sz w:val="21"/>
              </w:rPr>
              <w:t>Estimate and test an equation using the revised trend.</w:t>
            </w:r>
          </w:p>
        </w:tc>
        <w:tc>
          <w:tcPr>
            <w:tcW w:type="dxa" w:w="3888"/>
            <w:tcMar>
              <w:top w:w="65" w:type="dxa"/>
              <w:bottom w:w="65" w:type="dxa"/>
              <w:left w:w="80" w:type="dxa"/>
              <w:right w:w="80" w:type="dxa"/>
            </w:tcMar>
          </w:tcPr>
          <w:p>
            <w:pPr>
              <w:keepNext w:val="0"/>
              <w:keepLines/>
              <w:spacing w:after="0" w:line="240" w:lineRule="auto"/>
            </w:pPr>
            <w:r>
              <w:rPr>
                <w:rFonts w:ascii="Times New Roman" w:hAnsi="Times New Roman"/>
                <w:b w:val="0"/>
                <w:sz w:val="21"/>
              </w:rPr>
              <w:t>Further work required</w:t>
            </w:r>
          </w:p>
        </w:tc>
      </w:tr>
    </w:tbl>
    <w:p>
      <w:pPr>
        <w:keepNext w:val="0"/>
        <w:keepLines w:val="0"/>
        <w:spacing w:line="254" w:lineRule="auto" w:after="120"/>
      </w:pPr>
      <w:r>
        <w:rPr>
          <w:sz w:val="21"/>
        </w:rPr>
        <w:t>The latest update changes the historical trend. The earlier forecasting equations and their results remain as recorded. Source: [S1–S5].</w:t>
      </w:r>
    </w:p>
    <w:p>
      <w:pPr>
        <w:pStyle w:val="Heading2"/>
        <w:keepNext/>
        <w:pageBreakBefore w:val="0"/>
        <w:spacing w:before="200" w:after="140"/>
      </w:pPr>
      <w:r>
        <w:rPr>
          <w:rFonts w:ascii="Arial" w:hAnsi="Arial"/>
          <w:b/>
          <w:color w:val="000000"/>
        </w:rPr>
        <w:t>3.2 Estimation procedure</w:t>
      </w:r>
    </w:p>
    <w:p>
      <w:pPr>
        <w:keepNext w:val="0"/>
        <w:keepLines w:val="0"/>
        <w:spacing w:line="254" w:lineRule="auto" w:after="120"/>
      </w:pPr>
      <w:r>
        <w:rPr>
          <w:sz w:val="23"/>
        </w:rPr>
        <w:t>The data follow a continuous quarterly calendar. The time counter starts at one in 2011Q1. D equals zero before 2014Q1 and one from that quarter onward. D × t multiplies this indicator by the time counter. The four coefficients are the numbers that set each line’s level and slope. OLS chooses them to minimize the total squared gaps between EF and the fitted lines. Both time windows use the same data preparation.</w:t>
      </w:r>
    </w:p>
    <w:p>
      <w:pPr>
        <w:keepNext w:val="0"/>
        <w:keepLines w:val="0"/>
        <w:spacing w:line="254" w:lineRule="auto" w:after="120"/>
      </w:pPr>
      <w:r>
        <w:rPr>
          <w:sz w:val="23"/>
        </w:rPr>
        <w:t>The tables keep the original OLS method for measuring uncertainty. This method needs caution because errors are linked across quarters. All calculations use unrounded values. Tables show fewer digits for easier reading. The longer-history estimate checks how the results change when nine more quarters are added.</w:t>
      </w:r>
    </w:p>
    <w:p>
      <w:pPr>
        <w:pStyle w:val="Heading2"/>
        <w:keepNext/>
        <w:pageBreakBefore w:val="0"/>
        <w:spacing w:before="200" w:after="140"/>
      </w:pPr>
      <w:r>
        <w:rPr>
          <w:rFonts w:ascii="Arial" w:hAnsi="Arial"/>
          <w:b/>
          <w:color w:val="000000"/>
        </w:rPr>
        <w:t>3.3 Earlier selection of economic inputs</w:t>
      </w:r>
    </w:p>
    <w:p>
      <w:pPr>
        <w:keepNext w:val="0"/>
        <w:keepLines w:val="0"/>
        <w:spacing w:line="254" w:lineRule="auto" w:after="120"/>
      </w:pPr>
      <w:r>
        <w:rPr>
          <w:sz w:val="23"/>
        </w:rPr>
        <w:t>Earlier work tested 22 economic inputs. Each input used the previous quarter’s change. Six series used log differences, which measure proportional change. These were earnings, unit labor cost, employment cost, GDP, assets and loans. The other series used simple differences. Each model kept its trend controls and previous-quarter EF. An economic input could enter when its p-value was below 0.05. Unemployment entered first in all three models.</w:t>
      </w:r>
    </w:p>
    <w:p>
      <w:pPr>
        <w:keepNext w:val="0"/>
        <w:keepLines w:val="0"/>
        <w:spacing w:line="254" w:lineRule="auto" w:after="120"/>
      </w:pPr>
      <w:r>
        <w:rPr>
          <w:sz w:val="23"/>
        </w:rPr>
        <w:t>The first-entry p-values were 0.0300, 0.0310 and 0.0280 for the full, trend-only and reduced models. The best second-entry values were 0.3044, 0.2303 and 0.1167. All exceeded the 0.05 entry limit, so selection stopped after unemployment. The updated forecasting model should repeat this process [S4, forward-selection comparison].</w:t>
      </w:r>
    </w:p>
    <w:p>
      <w:pPr>
        <w:pStyle w:val="Heading2"/>
        <w:keepNext/>
        <w:pageBreakBefore/>
        <w:spacing w:before="200" w:after="140"/>
      </w:pPr>
      <w:r>
        <w:rPr>
          <w:rFonts w:ascii="Arial" w:hAnsi="Arial"/>
          <w:b/>
          <w:color w:val="000000"/>
        </w:rPr>
        <w:t>3.4 Current model estimates</w:t>
      </w:r>
    </w:p>
    <w:p>
      <w:pPr>
        <w:keepNext/>
        <w:keepLines w:val="0"/>
        <w:spacing w:line="254" w:lineRule="auto" w:after="120"/>
      </w:pPr>
      <w:r>
        <w:rPr>
          <w:b/>
          <w:sz w:val="23"/>
        </w:rPr>
        <w:t>Table 3.2. Development sample: 2011Q1–2023Q3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2880"/>
        <w:gridCol w:w="1656"/>
        <w:gridCol w:w="1656"/>
        <w:gridCol w:w="1728"/>
        <w:gridCol w:w="2160"/>
      </w:tblGrid>
      <w:tr>
        <w:trPr>
          <w:cantSplit/>
          <w:tblHeader/>
        </w:trPr>
        <w:tc>
          <w:tcPr>
            <w:tcW w:type="dxa" w:w="2880"/>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Term</w:t>
            </w:r>
          </w:p>
        </w:tc>
        <w:tc>
          <w:tcPr>
            <w:tcW w:type="dxa" w:w="1656"/>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Estimate</w:t>
            </w:r>
          </w:p>
        </w:tc>
        <w:tc>
          <w:tcPr>
            <w:tcW w:type="dxa" w:w="1656"/>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Std. error</w:t>
            </w:r>
          </w:p>
        </w:tc>
        <w:tc>
          <w:tcPr>
            <w:tcW w:type="dxa" w:w="1728"/>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t-statistic</w:t>
            </w:r>
          </w:p>
        </w:tc>
        <w:tc>
          <w:tcPr>
            <w:tcW w:type="dxa" w:w="2160"/>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p-value</w:t>
            </w:r>
          </w:p>
        </w:tc>
      </w:tr>
      <w:tr>
        <w:trPr>
          <w:cantSplit/>
        </w:trPr>
        <w:tc>
          <w:tcPr>
            <w:tcW w:type="dxa" w:w="2880"/>
            <w:tcMar>
              <w:top w:w="65" w:type="dxa"/>
              <w:bottom w:w="65" w:type="dxa"/>
              <w:left w:w="80" w:type="dxa"/>
              <w:right w:w="80" w:type="dxa"/>
            </w:tcMar>
          </w:tcPr>
          <w:p>
            <w:pPr>
              <w:keepNext w:val="0"/>
              <w:keepLines/>
              <w:spacing w:after="0" w:line="240" w:lineRule="auto"/>
            </w:pPr>
            <w:r>
              <w:rPr>
                <w:rFonts w:ascii="Times New Roman" w:hAnsi="Times New Roman"/>
                <w:b w:val="0"/>
                <w:sz w:val="21"/>
              </w:rPr>
              <w:t>α — intercept</w:t>
            </w:r>
          </w:p>
        </w:tc>
        <w:tc>
          <w:tcPr>
            <w:tcW w:type="dxa" w:w="1656"/>
            <w:tcMar>
              <w:top w:w="65" w:type="dxa"/>
              <w:bottom w:w="65" w:type="dxa"/>
              <w:left w:w="80" w:type="dxa"/>
              <w:right w:w="80" w:type="dxa"/>
            </w:tcMar>
          </w:tcPr>
          <w:p>
            <w:pPr>
              <w:keepNext w:val="0"/>
              <w:keepLines/>
              <w:spacing w:after="0" w:line="240" w:lineRule="auto"/>
            </w:pPr>
            <w:r>
              <w:rPr>
                <w:rFonts w:ascii="Times New Roman" w:hAnsi="Times New Roman"/>
                <w:b w:val="0"/>
                <w:sz w:val="21"/>
              </w:rPr>
              <w:t>0.603727</w:t>
            </w:r>
          </w:p>
        </w:tc>
        <w:tc>
          <w:tcPr>
            <w:tcW w:type="dxa" w:w="1656"/>
            <w:tcMar>
              <w:top w:w="65" w:type="dxa"/>
              <w:bottom w:w="65" w:type="dxa"/>
              <w:left w:w="80" w:type="dxa"/>
              <w:right w:w="80" w:type="dxa"/>
            </w:tcMar>
          </w:tcPr>
          <w:p>
            <w:pPr>
              <w:keepNext w:val="0"/>
              <w:keepLines/>
              <w:spacing w:after="0" w:line="240" w:lineRule="auto"/>
            </w:pPr>
            <w:r>
              <w:rPr>
                <w:rFonts w:ascii="Times New Roman" w:hAnsi="Times New Roman"/>
                <w:b w:val="0"/>
                <w:sz w:val="21"/>
              </w:rPr>
              <w:t>0.017666</w:t>
            </w:r>
          </w:p>
        </w:tc>
        <w:tc>
          <w:tcPr>
            <w:tcW w:type="dxa" w:w="1728"/>
            <w:tcMar>
              <w:top w:w="65" w:type="dxa"/>
              <w:bottom w:w="65" w:type="dxa"/>
              <w:left w:w="80" w:type="dxa"/>
              <w:right w:w="80" w:type="dxa"/>
            </w:tcMar>
          </w:tcPr>
          <w:p>
            <w:pPr>
              <w:keepNext w:val="0"/>
              <w:keepLines/>
              <w:spacing w:after="0" w:line="240" w:lineRule="auto"/>
            </w:pPr>
            <w:r>
              <w:rPr>
                <w:rFonts w:ascii="Times New Roman" w:hAnsi="Times New Roman"/>
                <w:b w:val="0"/>
                <w:sz w:val="21"/>
              </w:rPr>
              <w:t>34.174</w:t>
            </w:r>
          </w:p>
        </w:tc>
        <w:tc>
          <w:tcPr>
            <w:tcW w:type="dxa" w:w="2160"/>
            <w:tcMar>
              <w:top w:w="65" w:type="dxa"/>
              <w:bottom w:w="65" w:type="dxa"/>
              <w:left w:w="80" w:type="dxa"/>
              <w:right w:w="80" w:type="dxa"/>
            </w:tcMar>
          </w:tcPr>
          <w:p>
            <w:pPr>
              <w:keepNext w:val="0"/>
              <w:keepLines/>
              <w:spacing w:after="0" w:line="240" w:lineRule="auto"/>
            </w:pPr>
            <w:r>
              <w:rPr>
                <w:rFonts w:ascii="Times New Roman" w:hAnsi="Times New Roman"/>
                <w:b w:val="0"/>
                <w:sz w:val="21"/>
              </w:rPr>
              <w:t>7.580e-35</w:t>
            </w:r>
          </w:p>
        </w:tc>
      </w:tr>
      <w:tr>
        <w:trPr>
          <w:cantSplit/>
        </w:trPr>
        <w:tc>
          <w:tcPr>
            <w:tcW w:type="dxa" w:w="2880"/>
            <w:tcMar>
              <w:top w:w="65" w:type="dxa"/>
              <w:bottom w:w="65" w:type="dxa"/>
              <w:left w:w="80" w:type="dxa"/>
              <w:right w:w="80" w:type="dxa"/>
            </w:tcMar>
          </w:tcPr>
          <w:p>
            <w:pPr>
              <w:keepNext w:val="0"/>
              <w:keepLines/>
              <w:spacing w:after="0" w:line="240" w:lineRule="auto"/>
            </w:pPr>
            <w:r>
              <w:rPr>
                <w:rFonts w:ascii="Times New Roman" w:hAnsi="Times New Roman"/>
                <w:b w:val="0"/>
                <w:sz w:val="21"/>
              </w:rPr>
              <w:t>θ — post-break step</w:t>
            </w:r>
          </w:p>
        </w:tc>
        <w:tc>
          <w:tcPr>
            <w:tcW w:type="dxa" w:w="1656"/>
            <w:tcMar>
              <w:top w:w="65" w:type="dxa"/>
              <w:bottom w:w="65" w:type="dxa"/>
              <w:left w:w="80" w:type="dxa"/>
              <w:right w:w="80" w:type="dxa"/>
            </w:tcMar>
          </w:tcPr>
          <w:p>
            <w:pPr>
              <w:keepNext w:val="0"/>
              <w:keepLines/>
              <w:spacing w:after="0" w:line="240" w:lineRule="auto"/>
            </w:pPr>
            <w:r>
              <w:rPr>
                <w:rFonts w:ascii="Times New Roman" w:hAnsi="Times New Roman"/>
                <w:b w:val="0"/>
                <w:sz w:val="21"/>
              </w:rPr>
              <w:t>0.094401</w:t>
            </w:r>
          </w:p>
        </w:tc>
        <w:tc>
          <w:tcPr>
            <w:tcW w:type="dxa" w:w="1656"/>
            <w:tcMar>
              <w:top w:w="65" w:type="dxa"/>
              <w:bottom w:w="65" w:type="dxa"/>
              <w:left w:w="80" w:type="dxa"/>
              <w:right w:w="80" w:type="dxa"/>
            </w:tcMar>
          </w:tcPr>
          <w:p>
            <w:pPr>
              <w:keepNext w:val="0"/>
              <w:keepLines/>
              <w:spacing w:after="0" w:line="240" w:lineRule="auto"/>
            </w:pPr>
            <w:r>
              <w:rPr>
                <w:rFonts w:ascii="Times New Roman" w:hAnsi="Times New Roman"/>
                <w:b w:val="0"/>
                <w:sz w:val="21"/>
              </w:rPr>
              <w:t>0.022450</w:t>
            </w:r>
          </w:p>
        </w:tc>
        <w:tc>
          <w:tcPr>
            <w:tcW w:type="dxa" w:w="1728"/>
            <w:tcMar>
              <w:top w:w="65" w:type="dxa"/>
              <w:bottom w:w="65" w:type="dxa"/>
              <w:left w:w="80" w:type="dxa"/>
              <w:right w:w="80" w:type="dxa"/>
            </w:tcMar>
          </w:tcPr>
          <w:p>
            <w:pPr>
              <w:keepNext w:val="0"/>
              <w:keepLines/>
              <w:spacing w:after="0" w:line="240" w:lineRule="auto"/>
            </w:pPr>
            <w:r>
              <w:rPr>
                <w:rFonts w:ascii="Times New Roman" w:hAnsi="Times New Roman"/>
                <w:b w:val="0"/>
                <w:sz w:val="21"/>
              </w:rPr>
              <w:t>4.205</w:t>
            </w:r>
          </w:p>
        </w:tc>
        <w:tc>
          <w:tcPr>
            <w:tcW w:type="dxa" w:w="2160"/>
            <w:tcMar>
              <w:top w:w="65" w:type="dxa"/>
              <w:bottom w:w="65" w:type="dxa"/>
              <w:left w:w="80" w:type="dxa"/>
              <w:right w:w="80" w:type="dxa"/>
            </w:tcMar>
          </w:tcPr>
          <w:p>
            <w:pPr>
              <w:keepNext w:val="0"/>
              <w:keepLines/>
              <w:spacing w:after="0" w:line="240" w:lineRule="auto"/>
            </w:pPr>
            <w:r>
              <w:rPr>
                <w:rFonts w:ascii="Times New Roman" w:hAnsi="Times New Roman"/>
                <w:b w:val="0"/>
                <w:sz w:val="21"/>
              </w:rPr>
              <w:t>1.162e-04</w:t>
            </w:r>
          </w:p>
        </w:tc>
      </w:tr>
      <w:tr>
        <w:trPr>
          <w:cantSplit/>
        </w:trPr>
        <w:tc>
          <w:tcPr>
            <w:tcW w:type="dxa" w:w="2880"/>
            <w:tcMar>
              <w:top w:w="65" w:type="dxa"/>
              <w:bottom w:w="65" w:type="dxa"/>
              <w:left w:w="80" w:type="dxa"/>
              <w:right w:w="80" w:type="dxa"/>
            </w:tcMar>
          </w:tcPr>
          <w:p>
            <w:pPr>
              <w:keepNext w:val="0"/>
              <w:keepLines/>
              <w:spacing w:after="0" w:line="240" w:lineRule="auto"/>
            </w:pPr>
            <w:r>
              <w:rPr>
                <w:rFonts w:ascii="Times New Roman" w:hAnsi="Times New Roman"/>
                <w:b w:val="0"/>
                <w:sz w:val="21"/>
              </w:rPr>
              <w:t>β — time</w:t>
            </w:r>
          </w:p>
        </w:tc>
        <w:tc>
          <w:tcPr>
            <w:tcW w:type="dxa" w:w="1656"/>
            <w:tcMar>
              <w:top w:w="65" w:type="dxa"/>
              <w:bottom w:w="65" w:type="dxa"/>
              <w:left w:w="80" w:type="dxa"/>
              <w:right w:w="80" w:type="dxa"/>
            </w:tcMar>
          </w:tcPr>
          <w:p>
            <w:pPr>
              <w:keepNext w:val="0"/>
              <w:keepLines/>
              <w:spacing w:after="0" w:line="240" w:lineRule="auto"/>
            </w:pPr>
            <w:r>
              <w:rPr>
                <w:rFonts w:ascii="Times New Roman" w:hAnsi="Times New Roman"/>
                <w:b w:val="0"/>
                <w:sz w:val="21"/>
              </w:rPr>
              <w:t>0.014080</w:t>
            </w:r>
          </w:p>
        </w:tc>
        <w:tc>
          <w:tcPr>
            <w:tcW w:type="dxa" w:w="1656"/>
            <w:tcMar>
              <w:top w:w="65" w:type="dxa"/>
              <w:bottom w:w="65" w:type="dxa"/>
              <w:left w:w="80" w:type="dxa"/>
              <w:right w:w="80" w:type="dxa"/>
            </w:tcMar>
          </w:tcPr>
          <w:p>
            <w:pPr>
              <w:keepNext w:val="0"/>
              <w:keepLines/>
              <w:spacing w:after="0" w:line="240" w:lineRule="auto"/>
            </w:pPr>
            <w:r>
              <w:rPr>
                <w:rFonts w:ascii="Times New Roman" w:hAnsi="Times New Roman"/>
                <w:b w:val="0"/>
                <w:sz w:val="21"/>
              </w:rPr>
              <w:t>0.002400</w:t>
            </w:r>
          </w:p>
        </w:tc>
        <w:tc>
          <w:tcPr>
            <w:tcW w:type="dxa" w:w="1728"/>
            <w:tcMar>
              <w:top w:w="65" w:type="dxa"/>
              <w:bottom w:w="65" w:type="dxa"/>
              <w:left w:w="80" w:type="dxa"/>
              <w:right w:w="80" w:type="dxa"/>
            </w:tcMar>
          </w:tcPr>
          <w:p>
            <w:pPr>
              <w:keepNext w:val="0"/>
              <w:keepLines/>
              <w:spacing w:after="0" w:line="240" w:lineRule="auto"/>
            </w:pPr>
            <w:r>
              <w:rPr>
                <w:rFonts w:ascii="Times New Roman" w:hAnsi="Times New Roman"/>
                <w:b w:val="0"/>
                <w:sz w:val="21"/>
              </w:rPr>
              <w:t>5.866</w:t>
            </w:r>
          </w:p>
        </w:tc>
        <w:tc>
          <w:tcPr>
            <w:tcW w:type="dxa" w:w="2160"/>
            <w:tcMar>
              <w:top w:w="65" w:type="dxa"/>
              <w:bottom w:w="65" w:type="dxa"/>
              <w:left w:w="80" w:type="dxa"/>
              <w:right w:w="80" w:type="dxa"/>
            </w:tcMar>
          </w:tcPr>
          <w:p>
            <w:pPr>
              <w:keepNext w:val="0"/>
              <w:keepLines/>
              <w:spacing w:after="0" w:line="240" w:lineRule="auto"/>
            </w:pPr>
            <w:r>
              <w:rPr>
                <w:rFonts w:ascii="Times New Roman" w:hAnsi="Times New Roman"/>
                <w:b w:val="0"/>
                <w:sz w:val="21"/>
              </w:rPr>
              <w:t>4.292e-07</w:t>
            </w:r>
          </w:p>
        </w:tc>
      </w:tr>
      <w:tr>
        <w:trPr>
          <w:cantSplit/>
        </w:trPr>
        <w:tc>
          <w:tcPr>
            <w:tcW w:type="dxa" w:w="2880"/>
            <w:tcMar>
              <w:top w:w="65" w:type="dxa"/>
              <w:bottom w:w="65" w:type="dxa"/>
              <w:left w:w="80" w:type="dxa"/>
              <w:right w:w="80" w:type="dxa"/>
            </w:tcMar>
          </w:tcPr>
          <w:p>
            <w:pPr>
              <w:keepNext w:val="0"/>
              <w:keepLines/>
              <w:spacing w:after="0" w:line="240" w:lineRule="auto"/>
            </w:pPr>
            <w:r>
              <w:rPr>
                <w:rFonts w:ascii="Times New Roman" w:hAnsi="Times New Roman"/>
                <w:b w:val="0"/>
                <w:sz w:val="21"/>
              </w:rPr>
              <w:t>γ — step × time</w:t>
            </w:r>
          </w:p>
        </w:tc>
        <w:tc>
          <w:tcPr>
            <w:tcW w:type="dxa" w:w="1656"/>
            <w:tcMar>
              <w:top w:w="65" w:type="dxa"/>
              <w:bottom w:w="65" w:type="dxa"/>
              <w:left w:w="80" w:type="dxa"/>
              <w:right w:w="80" w:type="dxa"/>
            </w:tcMar>
          </w:tcPr>
          <w:p>
            <w:pPr>
              <w:keepNext w:val="0"/>
              <w:keepLines/>
              <w:spacing w:after="0" w:line="240" w:lineRule="auto"/>
            </w:pPr>
            <w:r>
              <w:rPr>
                <w:rFonts w:ascii="Times New Roman" w:hAnsi="Times New Roman"/>
                <w:b w:val="0"/>
                <w:sz w:val="21"/>
              </w:rPr>
              <w:t>−0.017650</w:t>
            </w:r>
          </w:p>
        </w:tc>
        <w:tc>
          <w:tcPr>
            <w:tcW w:type="dxa" w:w="1656"/>
            <w:tcMar>
              <w:top w:w="65" w:type="dxa"/>
              <w:bottom w:w="65" w:type="dxa"/>
              <w:left w:w="80" w:type="dxa"/>
              <w:right w:w="80" w:type="dxa"/>
            </w:tcMar>
          </w:tcPr>
          <w:p>
            <w:pPr>
              <w:keepNext w:val="0"/>
              <w:keepLines/>
              <w:spacing w:after="0" w:line="240" w:lineRule="auto"/>
            </w:pPr>
            <w:r>
              <w:rPr>
                <w:rFonts w:ascii="Times New Roman" w:hAnsi="Times New Roman"/>
                <w:b w:val="0"/>
                <w:sz w:val="21"/>
              </w:rPr>
              <w:t>0.002435</w:t>
            </w:r>
          </w:p>
        </w:tc>
        <w:tc>
          <w:tcPr>
            <w:tcW w:type="dxa" w:w="1728"/>
            <w:tcMar>
              <w:top w:w="65" w:type="dxa"/>
              <w:bottom w:w="65" w:type="dxa"/>
              <w:left w:w="80" w:type="dxa"/>
              <w:right w:w="80" w:type="dxa"/>
            </w:tcMar>
          </w:tcPr>
          <w:p>
            <w:pPr>
              <w:keepNext w:val="0"/>
              <w:keepLines/>
              <w:spacing w:after="0" w:line="240" w:lineRule="auto"/>
            </w:pPr>
            <w:r>
              <w:rPr>
                <w:rFonts w:ascii="Times New Roman" w:hAnsi="Times New Roman"/>
                <w:b w:val="0"/>
                <w:sz w:val="21"/>
              </w:rPr>
              <w:t>−7.249</w:t>
            </w:r>
          </w:p>
        </w:tc>
        <w:tc>
          <w:tcPr>
            <w:tcW w:type="dxa" w:w="2160"/>
            <w:tcMar>
              <w:top w:w="65" w:type="dxa"/>
              <w:bottom w:w="65" w:type="dxa"/>
              <w:left w:w="80" w:type="dxa"/>
              <w:right w:w="80" w:type="dxa"/>
            </w:tcMar>
          </w:tcPr>
          <w:p>
            <w:pPr>
              <w:keepNext w:val="0"/>
              <w:keepLines/>
              <w:spacing w:after="0" w:line="240" w:lineRule="auto"/>
            </w:pPr>
            <w:r>
              <w:rPr>
                <w:rFonts w:ascii="Times New Roman" w:hAnsi="Times New Roman"/>
                <w:b w:val="0"/>
                <w:sz w:val="21"/>
              </w:rPr>
              <w:t>3.429e-09</w:t>
            </w:r>
          </w:p>
        </w:tc>
      </w:tr>
    </w:tbl>
    <w:p>
      <w:pPr>
        <w:keepNext w:val="0"/>
        <w:keepLines w:val="0"/>
        <w:spacing w:line="254" w:lineRule="auto" w:after="120"/>
      </w:pPr>
      <w:r>
        <w:rPr>
          <w:sz w:val="21"/>
        </w:rPr>
        <w:t>The table reports the model fitted to 51 quarters. The negative γ means the trend became lower after 2014Q1. The uncertainty figures use the original OLS method. Source: [S1], coefficient table for this sample; [S2], samples.development.coefficients.</w:t>
      </w:r>
    </w:p>
    <w:p>
      <w:pPr>
        <w:keepNext/>
        <w:keepLines w:val="0"/>
        <w:spacing w:line="254" w:lineRule="auto" w:after="120"/>
      </w:pPr>
      <w:r>
        <w:rPr>
          <w:b/>
          <w:sz w:val="23"/>
        </w:rPr>
        <w:t>Table 3.3. Full history: 2011Q1–2025Q4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2880"/>
        <w:gridCol w:w="1656"/>
        <w:gridCol w:w="1656"/>
        <w:gridCol w:w="1728"/>
        <w:gridCol w:w="2160"/>
      </w:tblGrid>
      <w:tr>
        <w:trPr>
          <w:cantSplit/>
          <w:tblHeader/>
        </w:trPr>
        <w:tc>
          <w:tcPr>
            <w:tcW w:type="dxa" w:w="2880"/>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Term</w:t>
            </w:r>
          </w:p>
        </w:tc>
        <w:tc>
          <w:tcPr>
            <w:tcW w:type="dxa" w:w="1656"/>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Estimate</w:t>
            </w:r>
          </w:p>
        </w:tc>
        <w:tc>
          <w:tcPr>
            <w:tcW w:type="dxa" w:w="1656"/>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Std. error</w:t>
            </w:r>
          </w:p>
        </w:tc>
        <w:tc>
          <w:tcPr>
            <w:tcW w:type="dxa" w:w="1728"/>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t-statistic</w:t>
            </w:r>
          </w:p>
        </w:tc>
        <w:tc>
          <w:tcPr>
            <w:tcW w:type="dxa" w:w="2160"/>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p-value</w:t>
            </w:r>
          </w:p>
        </w:tc>
      </w:tr>
      <w:tr>
        <w:trPr>
          <w:cantSplit/>
        </w:trPr>
        <w:tc>
          <w:tcPr>
            <w:tcW w:type="dxa" w:w="2880"/>
            <w:tcMar>
              <w:top w:w="65" w:type="dxa"/>
              <w:bottom w:w="65" w:type="dxa"/>
              <w:left w:w="80" w:type="dxa"/>
              <w:right w:w="80" w:type="dxa"/>
            </w:tcMar>
          </w:tcPr>
          <w:p>
            <w:pPr>
              <w:keepNext w:val="0"/>
              <w:keepLines/>
              <w:spacing w:after="0" w:line="240" w:lineRule="auto"/>
            </w:pPr>
            <w:r>
              <w:rPr>
                <w:rFonts w:ascii="Times New Roman" w:hAnsi="Times New Roman"/>
                <w:b w:val="0"/>
                <w:sz w:val="21"/>
              </w:rPr>
              <w:t>α — intercept</w:t>
            </w:r>
          </w:p>
        </w:tc>
        <w:tc>
          <w:tcPr>
            <w:tcW w:type="dxa" w:w="1656"/>
            <w:tcMar>
              <w:top w:w="65" w:type="dxa"/>
              <w:bottom w:w="65" w:type="dxa"/>
              <w:left w:w="80" w:type="dxa"/>
              <w:right w:w="80" w:type="dxa"/>
            </w:tcMar>
          </w:tcPr>
          <w:p>
            <w:pPr>
              <w:keepNext w:val="0"/>
              <w:keepLines/>
              <w:spacing w:after="0" w:line="240" w:lineRule="auto"/>
            </w:pPr>
            <w:r>
              <w:rPr>
                <w:rFonts w:ascii="Times New Roman" w:hAnsi="Times New Roman"/>
                <w:b w:val="0"/>
                <w:sz w:val="21"/>
              </w:rPr>
              <w:t>0.603727</w:t>
            </w:r>
          </w:p>
        </w:tc>
        <w:tc>
          <w:tcPr>
            <w:tcW w:type="dxa" w:w="1656"/>
            <w:tcMar>
              <w:top w:w="65" w:type="dxa"/>
              <w:bottom w:w="65" w:type="dxa"/>
              <w:left w:w="80" w:type="dxa"/>
              <w:right w:w="80" w:type="dxa"/>
            </w:tcMar>
          </w:tcPr>
          <w:p>
            <w:pPr>
              <w:keepNext w:val="0"/>
              <w:keepLines/>
              <w:spacing w:after="0" w:line="240" w:lineRule="auto"/>
            </w:pPr>
            <w:r>
              <w:rPr>
                <w:rFonts w:ascii="Times New Roman" w:hAnsi="Times New Roman"/>
                <w:b w:val="0"/>
                <w:sz w:val="21"/>
              </w:rPr>
              <w:t>0.019710</w:t>
            </w:r>
          </w:p>
        </w:tc>
        <w:tc>
          <w:tcPr>
            <w:tcW w:type="dxa" w:w="1728"/>
            <w:tcMar>
              <w:top w:w="65" w:type="dxa"/>
              <w:bottom w:w="65" w:type="dxa"/>
              <w:left w:w="80" w:type="dxa"/>
              <w:right w:w="80" w:type="dxa"/>
            </w:tcMar>
          </w:tcPr>
          <w:p>
            <w:pPr>
              <w:keepNext w:val="0"/>
              <w:keepLines/>
              <w:spacing w:after="0" w:line="240" w:lineRule="auto"/>
            </w:pPr>
            <w:r>
              <w:rPr>
                <w:rFonts w:ascii="Times New Roman" w:hAnsi="Times New Roman"/>
                <w:b w:val="0"/>
                <w:sz w:val="21"/>
              </w:rPr>
              <w:t>30.630</w:t>
            </w:r>
          </w:p>
        </w:tc>
        <w:tc>
          <w:tcPr>
            <w:tcW w:type="dxa" w:w="2160"/>
            <w:tcMar>
              <w:top w:w="65" w:type="dxa"/>
              <w:bottom w:w="65" w:type="dxa"/>
              <w:left w:w="80" w:type="dxa"/>
              <w:right w:w="80" w:type="dxa"/>
            </w:tcMar>
          </w:tcPr>
          <w:p>
            <w:pPr>
              <w:keepNext w:val="0"/>
              <w:keepLines/>
              <w:spacing w:after="0" w:line="240" w:lineRule="auto"/>
            </w:pPr>
            <w:r>
              <w:rPr>
                <w:rFonts w:ascii="Times New Roman" w:hAnsi="Times New Roman"/>
                <w:b w:val="0"/>
                <w:sz w:val="21"/>
              </w:rPr>
              <w:t>1.143e-36</w:t>
            </w:r>
          </w:p>
        </w:tc>
      </w:tr>
      <w:tr>
        <w:trPr>
          <w:cantSplit/>
        </w:trPr>
        <w:tc>
          <w:tcPr>
            <w:tcW w:type="dxa" w:w="2880"/>
            <w:tcMar>
              <w:top w:w="65" w:type="dxa"/>
              <w:bottom w:w="65" w:type="dxa"/>
              <w:left w:w="80" w:type="dxa"/>
              <w:right w:w="80" w:type="dxa"/>
            </w:tcMar>
          </w:tcPr>
          <w:p>
            <w:pPr>
              <w:keepNext w:val="0"/>
              <w:keepLines/>
              <w:spacing w:after="0" w:line="240" w:lineRule="auto"/>
            </w:pPr>
            <w:r>
              <w:rPr>
                <w:rFonts w:ascii="Times New Roman" w:hAnsi="Times New Roman"/>
                <w:b w:val="0"/>
                <w:sz w:val="21"/>
              </w:rPr>
              <w:t>θ — post-break step</w:t>
            </w:r>
          </w:p>
        </w:tc>
        <w:tc>
          <w:tcPr>
            <w:tcW w:type="dxa" w:w="1656"/>
            <w:tcMar>
              <w:top w:w="65" w:type="dxa"/>
              <w:bottom w:w="65" w:type="dxa"/>
              <w:left w:w="80" w:type="dxa"/>
              <w:right w:w="80" w:type="dxa"/>
            </w:tcMar>
          </w:tcPr>
          <w:p>
            <w:pPr>
              <w:keepNext w:val="0"/>
              <w:keepLines/>
              <w:spacing w:after="0" w:line="240" w:lineRule="auto"/>
            </w:pPr>
            <w:r>
              <w:rPr>
                <w:rFonts w:ascii="Times New Roman" w:hAnsi="Times New Roman"/>
                <w:b w:val="0"/>
                <w:sz w:val="21"/>
              </w:rPr>
              <w:t>0.066791</w:t>
            </w:r>
          </w:p>
        </w:tc>
        <w:tc>
          <w:tcPr>
            <w:tcW w:type="dxa" w:w="1656"/>
            <w:tcMar>
              <w:top w:w="65" w:type="dxa"/>
              <w:bottom w:w="65" w:type="dxa"/>
              <w:left w:w="80" w:type="dxa"/>
              <w:right w:w="80" w:type="dxa"/>
            </w:tcMar>
          </w:tcPr>
          <w:p>
            <w:pPr>
              <w:keepNext w:val="0"/>
              <w:keepLines/>
              <w:spacing w:after="0" w:line="240" w:lineRule="auto"/>
            </w:pPr>
            <w:r>
              <w:rPr>
                <w:rFonts w:ascii="Times New Roman" w:hAnsi="Times New Roman"/>
                <w:b w:val="0"/>
                <w:sz w:val="21"/>
              </w:rPr>
              <w:t>0.023626</w:t>
            </w:r>
          </w:p>
        </w:tc>
        <w:tc>
          <w:tcPr>
            <w:tcW w:type="dxa" w:w="1728"/>
            <w:tcMar>
              <w:top w:w="65" w:type="dxa"/>
              <w:bottom w:w="65" w:type="dxa"/>
              <w:left w:w="80" w:type="dxa"/>
              <w:right w:w="80" w:type="dxa"/>
            </w:tcMar>
          </w:tcPr>
          <w:p>
            <w:pPr>
              <w:keepNext w:val="0"/>
              <w:keepLines/>
              <w:spacing w:after="0" w:line="240" w:lineRule="auto"/>
            </w:pPr>
            <w:r>
              <w:rPr>
                <w:rFonts w:ascii="Times New Roman" w:hAnsi="Times New Roman"/>
                <w:b w:val="0"/>
                <w:sz w:val="21"/>
              </w:rPr>
              <w:t>2.827</w:t>
            </w:r>
          </w:p>
        </w:tc>
        <w:tc>
          <w:tcPr>
            <w:tcW w:type="dxa" w:w="2160"/>
            <w:tcMar>
              <w:top w:w="65" w:type="dxa"/>
              <w:bottom w:w="65" w:type="dxa"/>
              <w:left w:w="80" w:type="dxa"/>
              <w:right w:w="80" w:type="dxa"/>
            </w:tcMar>
          </w:tcPr>
          <w:p>
            <w:pPr>
              <w:keepNext w:val="0"/>
              <w:keepLines/>
              <w:spacing w:after="0" w:line="240" w:lineRule="auto"/>
            </w:pPr>
            <w:r>
              <w:rPr>
                <w:rFonts w:ascii="Times New Roman" w:hAnsi="Times New Roman"/>
                <w:b w:val="0"/>
                <w:sz w:val="21"/>
              </w:rPr>
              <w:t>0.0065</w:t>
            </w:r>
          </w:p>
        </w:tc>
      </w:tr>
      <w:tr>
        <w:trPr>
          <w:cantSplit/>
        </w:trPr>
        <w:tc>
          <w:tcPr>
            <w:tcW w:type="dxa" w:w="2880"/>
            <w:tcMar>
              <w:top w:w="65" w:type="dxa"/>
              <w:bottom w:w="65" w:type="dxa"/>
              <w:left w:w="80" w:type="dxa"/>
              <w:right w:w="80" w:type="dxa"/>
            </w:tcMar>
          </w:tcPr>
          <w:p>
            <w:pPr>
              <w:keepNext w:val="0"/>
              <w:keepLines/>
              <w:spacing w:after="0" w:line="240" w:lineRule="auto"/>
            </w:pPr>
            <w:r>
              <w:rPr>
                <w:rFonts w:ascii="Times New Roman" w:hAnsi="Times New Roman"/>
                <w:b w:val="0"/>
                <w:sz w:val="21"/>
              </w:rPr>
              <w:t>β — time</w:t>
            </w:r>
          </w:p>
        </w:tc>
        <w:tc>
          <w:tcPr>
            <w:tcW w:type="dxa" w:w="1656"/>
            <w:tcMar>
              <w:top w:w="65" w:type="dxa"/>
              <w:bottom w:w="65" w:type="dxa"/>
              <w:left w:w="80" w:type="dxa"/>
              <w:right w:w="80" w:type="dxa"/>
            </w:tcMar>
          </w:tcPr>
          <w:p>
            <w:pPr>
              <w:keepNext w:val="0"/>
              <w:keepLines/>
              <w:spacing w:after="0" w:line="240" w:lineRule="auto"/>
            </w:pPr>
            <w:r>
              <w:rPr>
                <w:rFonts w:ascii="Times New Roman" w:hAnsi="Times New Roman"/>
                <w:b w:val="0"/>
                <w:sz w:val="21"/>
              </w:rPr>
              <w:t>0.014080</w:t>
            </w:r>
          </w:p>
        </w:tc>
        <w:tc>
          <w:tcPr>
            <w:tcW w:type="dxa" w:w="1656"/>
            <w:tcMar>
              <w:top w:w="65" w:type="dxa"/>
              <w:bottom w:w="65" w:type="dxa"/>
              <w:left w:w="80" w:type="dxa"/>
              <w:right w:w="80" w:type="dxa"/>
            </w:tcMar>
          </w:tcPr>
          <w:p>
            <w:pPr>
              <w:keepNext w:val="0"/>
              <w:keepLines/>
              <w:spacing w:after="0" w:line="240" w:lineRule="auto"/>
            </w:pPr>
            <w:r>
              <w:rPr>
                <w:rFonts w:ascii="Times New Roman" w:hAnsi="Times New Roman"/>
                <w:b w:val="0"/>
                <w:sz w:val="21"/>
              </w:rPr>
              <w:t>0.002678</w:t>
            </w:r>
          </w:p>
        </w:tc>
        <w:tc>
          <w:tcPr>
            <w:tcW w:type="dxa" w:w="1728"/>
            <w:tcMar>
              <w:top w:w="65" w:type="dxa"/>
              <w:bottom w:w="65" w:type="dxa"/>
              <w:left w:w="80" w:type="dxa"/>
              <w:right w:w="80" w:type="dxa"/>
            </w:tcMar>
          </w:tcPr>
          <w:p>
            <w:pPr>
              <w:keepNext w:val="0"/>
              <w:keepLines/>
              <w:spacing w:after="0" w:line="240" w:lineRule="auto"/>
            </w:pPr>
            <w:r>
              <w:rPr>
                <w:rFonts w:ascii="Times New Roman" w:hAnsi="Times New Roman"/>
                <w:b w:val="0"/>
                <w:sz w:val="21"/>
              </w:rPr>
              <w:t>5.258</w:t>
            </w:r>
          </w:p>
        </w:tc>
        <w:tc>
          <w:tcPr>
            <w:tcW w:type="dxa" w:w="2160"/>
            <w:tcMar>
              <w:top w:w="65" w:type="dxa"/>
              <w:bottom w:w="65" w:type="dxa"/>
              <w:left w:w="80" w:type="dxa"/>
              <w:right w:w="80" w:type="dxa"/>
            </w:tcMar>
          </w:tcPr>
          <w:p>
            <w:pPr>
              <w:keepNext w:val="0"/>
              <w:keepLines/>
              <w:spacing w:after="0" w:line="240" w:lineRule="auto"/>
            </w:pPr>
            <w:r>
              <w:rPr>
                <w:rFonts w:ascii="Times New Roman" w:hAnsi="Times New Roman"/>
                <w:b w:val="0"/>
                <w:sz w:val="21"/>
              </w:rPr>
              <w:t>2.364e-06</w:t>
            </w:r>
          </w:p>
        </w:tc>
      </w:tr>
      <w:tr>
        <w:trPr>
          <w:cantSplit/>
        </w:trPr>
        <w:tc>
          <w:tcPr>
            <w:tcW w:type="dxa" w:w="2880"/>
            <w:tcMar>
              <w:top w:w="65" w:type="dxa"/>
              <w:bottom w:w="65" w:type="dxa"/>
              <w:left w:w="80" w:type="dxa"/>
              <w:right w:w="80" w:type="dxa"/>
            </w:tcMar>
          </w:tcPr>
          <w:p>
            <w:pPr>
              <w:keepNext w:val="0"/>
              <w:keepLines/>
              <w:spacing w:after="0" w:line="240" w:lineRule="auto"/>
            </w:pPr>
            <w:r>
              <w:rPr>
                <w:rFonts w:ascii="Times New Roman" w:hAnsi="Times New Roman"/>
                <w:b w:val="0"/>
                <w:sz w:val="21"/>
              </w:rPr>
              <w:t>γ — step × time</w:t>
            </w:r>
          </w:p>
        </w:tc>
        <w:tc>
          <w:tcPr>
            <w:tcW w:type="dxa" w:w="1656"/>
            <w:tcMar>
              <w:top w:w="65" w:type="dxa"/>
              <w:bottom w:w="65" w:type="dxa"/>
              <w:left w:w="80" w:type="dxa"/>
              <w:right w:w="80" w:type="dxa"/>
            </w:tcMar>
          </w:tcPr>
          <w:p>
            <w:pPr>
              <w:keepNext w:val="0"/>
              <w:keepLines/>
              <w:spacing w:after="0" w:line="240" w:lineRule="auto"/>
            </w:pPr>
            <w:r>
              <w:rPr>
                <w:rFonts w:ascii="Times New Roman" w:hAnsi="Times New Roman"/>
                <w:b w:val="0"/>
                <w:sz w:val="21"/>
              </w:rPr>
              <w:t>−0.016607</w:t>
            </w:r>
          </w:p>
        </w:tc>
        <w:tc>
          <w:tcPr>
            <w:tcW w:type="dxa" w:w="1656"/>
            <w:tcMar>
              <w:top w:w="65" w:type="dxa"/>
              <w:bottom w:w="65" w:type="dxa"/>
              <w:left w:w="80" w:type="dxa"/>
              <w:right w:w="80" w:type="dxa"/>
            </w:tcMar>
          </w:tcPr>
          <w:p>
            <w:pPr>
              <w:keepNext w:val="0"/>
              <w:keepLines/>
              <w:spacing w:after="0" w:line="240" w:lineRule="auto"/>
            </w:pPr>
            <w:r>
              <w:rPr>
                <w:rFonts w:ascii="Times New Roman" w:hAnsi="Times New Roman"/>
                <w:b w:val="0"/>
                <w:sz w:val="21"/>
              </w:rPr>
              <w:t>0.002699</w:t>
            </w:r>
          </w:p>
        </w:tc>
        <w:tc>
          <w:tcPr>
            <w:tcW w:type="dxa" w:w="1728"/>
            <w:tcMar>
              <w:top w:w="65" w:type="dxa"/>
              <w:bottom w:w="65" w:type="dxa"/>
              <w:left w:w="80" w:type="dxa"/>
              <w:right w:w="80" w:type="dxa"/>
            </w:tcMar>
          </w:tcPr>
          <w:p>
            <w:pPr>
              <w:keepNext w:val="0"/>
              <w:keepLines/>
              <w:spacing w:after="0" w:line="240" w:lineRule="auto"/>
            </w:pPr>
            <w:r>
              <w:rPr>
                <w:rFonts w:ascii="Times New Roman" w:hAnsi="Times New Roman"/>
                <w:b w:val="0"/>
                <w:sz w:val="21"/>
              </w:rPr>
              <w:t>−6.154</w:t>
            </w:r>
          </w:p>
        </w:tc>
        <w:tc>
          <w:tcPr>
            <w:tcW w:type="dxa" w:w="2160"/>
            <w:tcMar>
              <w:top w:w="65" w:type="dxa"/>
              <w:bottom w:w="65" w:type="dxa"/>
              <w:left w:w="80" w:type="dxa"/>
              <w:right w:w="80" w:type="dxa"/>
            </w:tcMar>
          </w:tcPr>
          <w:p>
            <w:pPr>
              <w:keepNext w:val="0"/>
              <w:keepLines/>
              <w:spacing w:after="0" w:line="240" w:lineRule="auto"/>
            </w:pPr>
            <w:r>
              <w:rPr>
                <w:rFonts w:ascii="Times New Roman" w:hAnsi="Times New Roman"/>
                <w:b w:val="0"/>
                <w:sz w:val="21"/>
              </w:rPr>
              <w:t>8.542e-08</w:t>
            </w:r>
          </w:p>
        </w:tc>
      </w:tr>
    </w:tbl>
    <w:p>
      <w:pPr>
        <w:keepNext w:val="0"/>
        <w:keepLines w:val="0"/>
        <w:spacing w:line="254" w:lineRule="auto" w:after="120"/>
      </w:pPr>
      <w:r>
        <w:rPr>
          <w:sz w:val="21"/>
        </w:rPr>
        <w:t>The table uses all 60 quarters. “Estimate” gives the size of each model term. “Std. error” measures uncertainty. The t-statistic compares the estimate with its standard error. The p-value asks how unusual the result would be if the true coefficient were zero. This measure relies on the test assumptions. Source: [S1], coefficient table for this sample; [S2], samples.full_history.coefficients.</w:t>
      </w:r>
    </w:p>
    <w:p>
      <w:pPr>
        <w:pStyle w:val="Heading2"/>
        <w:keepNext/>
        <w:pageBreakBefore w:val="0"/>
        <w:spacing w:before="200" w:after="140"/>
      </w:pPr>
      <w:r>
        <w:rPr>
          <w:rFonts w:ascii="Arial" w:hAnsi="Arial"/>
          <w:b/>
          <w:color w:val="000000"/>
        </w:rPr>
        <w:t>3.5 What the estimates mean</w:t>
      </w:r>
    </w:p>
    <w:p>
      <w:pPr>
        <w:keepNext w:val="0"/>
        <w:keepLines w:val="0"/>
        <w:spacing w:line="254" w:lineRule="auto" w:after="120"/>
      </w:pPr>
      <w:r>
        <w:rPr>
          <w:sz w:val="23"/>
        </w:rPr>
        <w:t>In the development sample, the pre-break slope is 0.014080, or 1.4080 percentage points per quarter. Adding γ of −0.017650 gives a post-break slope of −0.003570. The post-break line therefore falls over time. Its intercept, the line’s value at t = 0, is about 0.698128.</w:t>
      </w:r>
    </w:p>
    <w:p>
      <w:pPr>
        <w:keepNext w:val="0"/>
        <w:keepLines w:val="0"/>
        <w:spacing w:line="254" w:lineRule="auto" w:after="120"/>
      </w:pPr>
      <w:r>
        <w:rPr>
          <w:sz w:val="23"/>
        </w:rPr>
        <w:t>The longer history keeps the same pre-break line because those observations stay unchanged. The extra quarters affect the post-break line. They also change the overall size of the errors. This changes the standard errors shown in the table, including those for the pre-break terms.</w:t>
      </w:r>
    </w:p>
    <w:p>
      <w:pPr>
        <w:pStyle w:val="Heading2"/>
        <w:keepNext/>
        <w:pageBreakBefore w:val="0"/>
        <w:spacing w:before="200" w:after="140"/>
      </w:pPr>
      <w:r>
        <w:rPr>
          <w:rFonts w:ascii="Arial" w:hAnsi="Arial"/>
          <w:b/>
          <w:color w:val="000000"/>
        </w:rPr>
        <w:t>3.6 Meaning and limits of the results</w:t>
      </w:r>
    </w:p>
    <w:p>
      <w:pPr>
        <w:keepNext w:val="0"/>
        <w:keepLines w:val="0"/>
        <w:spacing w:line="254" w:lineRule="auto" w:after="120"/>
      </w:pPr>
      <w:r>
        <w:rPr>
          <w:sz w:val="23"/>
        </w:rPr>
        <w:t>Both time windows show evidence of a slope change under the reported OLS test. Errors are also linked across quarters. This weakens confidence in the reported uncertainty measures. Section 6.3 explains this issue. The analysis leaves the economic cause of the 2014Q1 change open.</w:t>
      </w:r>
    </w:p>
    <w:p>
      <w:pPr>
        <w:pStyle w:val="Heading2"/>
        <w:keepNext/>
        <w:pageBreakBefore/>
        <w:spacing w:before="200" w:after="140"/>
      </w:pPr>
      <w:r>
        <w:rPr>
          <w:rFonts w:ascii="Arial" w:hAnsi="Arial"/>
          <w:b/>
          <w:color w:val="000000"/>
        </w:rPr>
        <w:t>3.7 Trend changes and model comparison</w:t>
      </w:r>
    </w:p>
    <w:p>
      <w:pPr>
        <w:keepNext/>
        <w:keepLines w:val="0"/>
        <w:spacing w:line="254" w:lineRule="auto" w:after="120"/>
      </w:pPr>
      <w:r>
        <w:rPr>
          <w:b/>
          <w:sz w:val="23"/>
        </w:rPr>
        <w:t>Table 3.4. Rates of change and the gap at 2014Q1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5472"/>
        <w:gridCol w:w="2304"/>
        <w:gridCol w:w="2304"/>
      </w:tblGrid>
      <w:tr>
        <w:trPr>
          <w:cantSplit/>
          <w:tblHeader/>
        </w:trPr>
        <w:tc>
          <w:tcPr>
            <w:tcW w:type="dxa" w:w="5472"/>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Measure</w:t>
            </w:r>
          </w:p>
        </w:tc>
        <w:tc>
          <w:tcPr>
            <w:tcW w:type="dxa" w:w="2304"/>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Development</w:t>
            </w:r>
          </w:p>
        </w:tc>
        <w:tc>
          <w:tcPr>
            <w:tcW w:type="dxa" w:w="2304"/>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Full history</w:t>
            </w:r>
          </w:p>
        </w:tc>
      </w:tr>
      <w:tr>
        <w:trPr>
          <w:cantSplit/>
        </w:trPr>
        <w:tc>
          <w:tcPr>
            <w:tcW w:type="dxa" w:w="5472"/>
            <w:tcMar>
              <w:top w:w="65" w:type="dxa"/>
              <w:bottom w:w="65" w:type="dxa"/>
              <w:left w:w="80" w:type="dxa"/>
              <w:right w:w="80" w:type="dxa"/>
            </w:tcMar>
          </w:tcPr>
          <w:p>
            <w:pPr>
              <w:keepNext w:val="0"/>
              <w:keepLines/>
              <w:spacing w:after="0" w:line="240" w:lineRule="auto"/>
            </w:pPr>
            <w:r>
              <w:rPr>
                <w:rFonts w:ascii="Times New Roman" w:hAnsi="Times New Roman"/>
                <w:b w:val="0"/>
                <w:sz w:val="21"/>
              </w:rPr>
              <w:t>Post-break rate of change, ratio units per quarter</w:t>
            </w:r>
          </w:p>
        </w:tc>
        <w:tc>
          <w:tcPr>
            <w:tcW w:type="dxa" w:w="2304"/>
            <w:tcMar>
              <w:top w:w="65" w:type="dxa"/>
              <w:bottom w:w="65" w:type="dxa"/>
              <w:left w:w="80" w:type="dxa"/>
              <w:right w:w="80" w:type="dxa"/>
            </w:tcMar>
          </w:tcPr>
          <w:p>
            <w:pPr>
              <w:keepNext w:val="0"/>
              <w:keepLines/>
              <w:spacing w:after="0" w:line="240" w:lineRule="auto"/>
            </w:pPr>
            <w:r>
              <w:rPr>
                <w:rFonts w:ascii="Times New Roman" w:hAnsi="Times New Roman"/>
                <w:b w:val="0"/>
                <w:sz w:val="21"/>
              </w:rPr>
              <w:t>−0.003570</w:t>
            </w:r>
          </w:p>
        </w:tc>
        <w:tc>
          <w:tcPr>
            <w:tcW w:type="dxa" w:w="2304"/>
            <w:tcMar>
              <w:top w:w="65" w:type="dxa"/>
              <w:bottom w:w="65" w:type="dxa"/>
              <w:left w:w="80" w:type="dxa"/>
              <w:right w:w="80" w:type="dxa"/>
            </w:tcMar>
          </w:tcPr>
          <w:p>
            <w:pPr>
              <w:keepNext w:val="0"/>
              <w:keepLines/>
              <w:spacing w:after="0" w:line="240" w:lineRule="auto"/>
            </w:pPr>
            <w:r>
              <w:rPr>
                <w:rFonts w:ascii="Times New Roman" w:hAnsi="Times New Roman"/>
                <w:b w:val="0"/>
                <w:sz w:val="21"/>
              </w:rPr>
              <w:t>−0.002527</w:t>
            </w:r>
          </w:p>
        </w:tc>
      </w:tr>
      <w:tr>
        <w:trPr>
          <w:cantSplit/>
        </w:trPr>
        <w:tc>
          <w:tcPr>
            <w:tcW w:type="dxa" w:w="5472"/>
            <w:tcMar>
              <w:top w:w="65" w:type="dxa"/>
              <w:bottom w:w="65" w:type="dxa"/>
              <w:left w:w="80" w:type="dxa"/>
              <w:right w:w="80" w:type="dxa"/>
            </w:tcMar>
          </w:tcPr>
          <w:p>
            <w:pPr>
              <w:keepNext w:val="0"/>
              <w:keepLines/>
              <w:spacing w:after="0" w:line="240" w:lineRule="auto"/>
            </w:pPr>
            <w:r>
              <w:rPr>
                <w:rFonts w:ascii="Times New Roman" w:hAnsi="Times New Roman"/>
                <w:b w:val="0"/>
                <w:sz w:val="21"/>
              </w:rPr>
              <w:t>Gap between lines at 2014Q1, ratio units</w:t>
            </w:r>
          </w:p>
        </w:tc>
        <w:tc>
          <w:tcPr>
            <w:tcW w:type="dxa" w:w="2304"/>
            <w:tcMar>
              <w:top w:w="65" w:type="dxa"/>
              <w:bottom w:w="65" w:type="dxa"/>
              <w:left w:w="80" w:type="dxa"/>
              <w:right w:w="80" w:type="dxa"/>
            </w:tcMar>
          </w:tcPr>
          <w:p>
            <w:pPr>
              <w:keepNext w:val="0"/>
              <w:keepLines/>
              <w:spacing w:after="0" w:line="240" w:lineRule="auto"/>
            </w:pPr>
            <w:r>
              <w:rPr>
                <w:rFonts w:ascii="Times New Roman" w:hAnsi="Times New Roman"/>
                <w:b w:val="0"/>
                <w:sz w:val="21"/>
              </w:rPr>
              <w:t>−0.135054</w:t>
            </w:r>
          </w:p>
        </w:tc>
        <w:tc>
          <w:tcPr>
            <w:tcW w:type="dxa" w:w="2304"/>
            <w:tcMar>
              <w:top w:w="65" w:type="dxa"/>
              <w:bottom w:w="65" w:type="dxa"/>
              <w:left w:w="80" w:type="dxa"/>
              <w:right w:w="80" w:type="dxa"/>
            </w:tcMar>
          </w:tcPr>
          <w:p>
            <w:pPr>
              <w:keepNext w:val="0"/>
              <w:keepLines/>
              <w:spacing w:after="0" w:line="240" w:lineRule="auto"/>
            </w:pPr>
            <w:r>
              <w:rPr>
                <w:rFonts w:ascii="Times New Roman" w:hAnsi="Times New Roman"/>
                <w:b w:val="0"/>
                <w:sz w:val="21"/>
              </w:rPr>
              <w:t>−0.149105</w:t>
            </w:r>
          </w:p>
        </w:tc>
      </w:tr>
      <w:tr>
        <w:trPr>
          <w:cantSplit/>
        </w:trPr>
        <w:tc>
          <w:tcPr>
            <w:tcW w:type="dxa" w:w="5472"/>
            <w:tcMar>
              <w:top w:w="65" w:type="dxa"/>
              <w:bottom w:w="65" w:type="dxa"/>
              <w:left w:w="80" w:type="dxa"/>
              <w:right w:w="80" w:type="dxa"/>
            </w:tcMar>
          </w:tcPr>
          <w:p>
            <w:pPr>
              <w:keepNext w:val="0"/>
              <w:keepLines/>
              <w:spacing w:after="0" w:line="240" w:lineRule="auto"/>
            </w:pPr>
            <w:r>
              <w:rPr>
                <w:rFonts w:ascii="Times New Roman" w:hAnsi="Times New Roman"/>
                <w:b w:val="0"/>
                <w:sz w:val="21"/>
              </w:rPr>
              <w:t>Post-break rate of change, percentage points per quarter</w:t>
            </w:r>
          </w:p>
        </w:tc>
        <w:tc>
          <w:tcPr>
            <w:tcW w:type="dxa" w:w="2304"/>
            <w:tcMar>
              <w:top w:w="65" w:type="dxa"/>
              <w:bottom w:w="65" w:type="dxa"/>
              <w:left w:w="80" w:type="dxa"/>
              <w:right w:w="80" w:type="dxa"/>
            </w:tcMar>
          </w:tcPr>
          <w:p>
            <w:pPr>
              <w:keepNext w:val="0"/>
              <w:keepLines/>
              <w:spacing w:after="0" w:line="240" w:lineRule="auto"/>
            </w:pPr>
            <w:r>
              <w:rPr>
                <w:rFonts w:ascii="Times New Roman" w:hAnsi="Times New Roman"/>
                <w:b w:val="0"/>
                <w:sz w:val="21"/>
              </w:rPr>
              <w:t>−0.3570</w:t>
            </w:r>
          </w:p>
        </w:tc>
        <w:tc>
          <w:tcPr>
            <w:tcW w:type="dxa" w:w="2304"/>
            <w:tcMar>
              <w:top w:w="65" w:type="dxa"/>
              <w:bottom w:w="65" w:type="dxa"/>
              <w:left w:w="80" w:type="dxa"/>
              <w:right w:w="80" w:type="dxa"/>
            </w:tcMar>
          </w:tcPr>
          <w:p>
            <w:pPr>
              <w:keepNext w:val="0"/>
              <w:keepLines/>
              <w:spacing w:after="0" w:line="240" w:lineRule="auto"/>
            </w:pPr>
            <w:r>
              <w:rPr>
                <w:rFonts w:ascii="Times New Roman" w:hAnsi="Times New Roman"/>
                <w:b w:val="0"/>
                <w:sz w:val="21"/>
              </w:rPr>
              <w:t>−0.2527</w:t>
            </w:r>
          </w:p>
        </w:tc>
      </w:tr>
      <w:tr>
        <w:trPr>
          <w:cantSplit/>
        </w:trPr>
        <w:tc>
          <w:tcPr>
            <w:tcW w:type="dxa" w:w="5472"/>
            <w:tcMar>
              <w:top w:w="65" w:type="dxa"/>
              <w:bottom w:w="65" w:type="dxa"/>
              <w:left w:w="80" w:type="dxa"/>
              <w:right w:w="80" w:type="dxa"/>
            </w:tcMar>
          </w:tcPr>
          <w:p>
            <w:pPr>
              <w:keepNext w:val="0"/>
              <w:keepLines/>
              <w:spacing w:after="0" w:line="240" w:lineRule="auto"/>
            </w:pPr>
            <w:r>
              <w:rPr>
                <w:rFonts w:ascii="Times New Roman" w:hAnsi="Times New Roman"/>
                <w:b w:val="0"/>
                <w:sz w:val="21"/>
              </w:rPr>
              <w:t>Gap between lines at 2014Q1, percentage points</w:t>
            </w:r>
          </w:p>
        </w:tc>
        <w:tc>
          <w:tcPr>
            <w:tcW w:type="dxa" w:w="2304"/>
            <w:tcMar>
              <w:top w:w="65" w:type="dxa"/>
              <w:bottom w:w="65" w:type="dxa"/>
              <w:left w:w="80" w:type="dxa"/>
              <w:right w:w="80" w:type="dxa"/>
            </w:tcMar>
          </w:tcPr>
          <w:p>
            <w:pPr>
              <w:keepNext w:val="0"/>
              <w:keepLines/>
              <w:spacing w:after="0" w:line="240" w:lineRule="auto"/>
            </w:pPr>
            <w:r>
              <w:rPr>
                <w:rFonts w:ascii="Times New Roman" w:hAnsi="Times New Roman"/>
                <w:b w:val="0"/>
                <w:sz w:val="21"/>
              </w:rPr>
              <w:t>−13.5054</w:t>
            </w:r>
          </w:p>
        </w:tc>
        <w:tc>
          <w:tcPr>
            <w:tcW w:type="dxa" w:w="2304"/>
            <w:tcMar>
              <w:top w:w="65" w:type="dxa"/>
              <w:bottom w:w="65" w:type="dxa"/>
              <w:left w:w="80" w:type="dxa"/>
              <w:right w:w="80" w:type="dxa"/>
            </w:tcMar>
          </w:tcPr>
          <w:p>
            <w:pPr>
              <w:keepNext w:val="0"/>
              <w:keepLines/>
              <w:spacing w:after="0" w:line="240" w:lineRule="auto"/>
            </w:pPr>
            <w:r>
              <w:rPr>
                <w:rFonts w:ascii="Times New Roman" w:hAnsi="Times New Roman"/>
                <w:b w:val="0"/>
                <w:sz w:val="21"/>
              </w:rPr>
              <w:t>−14.9105</w:t>
            </w:r>
          </w:p>
        </w:tc>
      </w:tr>
    </w:tbl>
    <w:p>
      <w:pPr>
        <w:keepNext w:val="0"/>
        <w:keepLines w:val="0"/>
        <w:spacing w:line="254" w:lineRule="auto" w:after="120"/>
      </w:pPr>
      <w:r>
        <w:rPr>
          <w:sz w:val="21"/>
        </w:rPr>
        <w:t>The post-break slope is β + γ. The gap at 2014Q1 is θ + 13γ. This gap compares the two fitted lines at the same date. It is calculated from unrounded coefficients. Source: [S1], interpretation; [S2], post_slope and break_jump.</w:t>
      </w:r>
    </w:p>
    <w:p>
      <w:pPr>
        <w:keepNext w:val="0"/>
        <w:keepLines w:val="0"/>
        <w:spacing w:line="254" w:lineRule="auto" w:after="120"/>
      </w:pPr>
      <w:r>
        <w:rPr>
          <w:sz w:val="23"/>
        </w:rPr>
        <w:t>For the development sample, the gap is −13.5054 percentage points. Although θ is positive, 13γ is negative and larger in size. Adding them gives the negative gap. Both terms are needed to measure the level change.</w:t>
      </w:r>
    </w:p>
    <w:p>
      <w:pPr>
        <w:keepNext/>
        <w:keepLines w:val="0"/>
        <w:spacing w:line="254" w:lineRule="auto" w:after="120"/>
      </w:pPr>
      <w:r>
        <w:rPr>
          <w:b/>
          <w:sz w:val="23"/>
        </w:rPr>
        <w:t>Table 3.5. Within-sample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1584"/>
        <w:gridCol w:w="2736"/>
        <w:gridCol w:w="1440"/>
        <w:gridCol w:w="1440"/>
        <w:gridCol w:w="1440"/>
        <w:gridCol w:w="1440"/>
      </w:tblGrid>
      <w:tr>
        <w:trPr>
          <w:cantSplit/>
          <w:tblHeader/>
        </w:trPr>
        <w:tc>
          <w:tcPr>
            <w:tcW w:type="dxa" w:w="1584"/>
            <w:tcMar>
              <w:top w:w="65" w:type="dxa"/>
              <w:bottom w:w="65" w:type="dxa"/>
              <w:left w:w="80" w:type="dxa"/>
              <w:right w:w="80" w:type="dxa"/>
            </w:tcMar>
            <w:shd w:fill="E7E6E6"/>
          </w:tcPr>
          <w:p>
            <w:pPr>
              <w:keepNext w:val="0"/>
              <w:keepLines/>
              <w:spacing w:after="0" w:line="240" w:lineRule="auto"/>
            </w:pPr>
            <w:r>
              <w:rPr>
                <w:rFonts w:ascii="Times New Roman" w:hAnsi="Times New Roman"/>
                <w:b/>
                <w:sz w:val="20"/>
              </w:rPr>
              <w:t>Sample</w:t>
            </w:r>
          </w:p>
        </w:tc>
        <w:tc>
          <w:tcPr>
            <w:tcW w:type="dxa" w:w="2736"/>
            <w:tcMar>
              <w:top w:w="65" w:type="dxa"/>
              <w:bottom w:w="65" w:type="dxa"/>
              <w:left w:w="80" w:type="dxa"/>
              <w:right w:w="80" w:type="dxa"/>
            </w:tcMar>
            <w:shd w:fill="E7E6E6"/>
          </w:tcPr>
          <w:p>
            <w:pPr>
              <w:keepNext w:val="0"/>
              <w:keepLines/>
              <w:spacing w:after="0" w:line="240" w:lineRule="auto"/>
            </w:pPr>
            <w:r>
              <w:rPr>
                <w:rFonts w:ascii="Times New Roman" w:hAnsi="Times New Roman"/>
                <w:b/>
                <w:sz w:val="20"/>
              </w:rPr>
              <w:t>Model</w:t>
            </w:r>
          </w:p>
        </w:tc>
        <w:tc>
          <w:tcPr>
            <w:tcW w:type="dxa" w:w="1440"/>
            <w:tcMar>
              <w:top w:w="65" w:type="dxa"/>
              <w:bottom w:w="65" w:type="dxa"/>
              <w:left w:w="80" w:type="dxa"/>
              <w:right w:w="80" w:type="dxa"/>
            </w:tcMar>
            <w:shd w:fill="E7E6E6"/>
          </w:tcPr>
          <w:p>
            <w:pPr>
              <w:keepNext w:val="0"/>
              <w:keepLines/>
              <w:spacing w:after="0" w:line="240" w:lineRule="auto"/>
            </w:pPr>
            <w:r>
              <w:rPr>
                <w:rFonts w:ascii="Times New Roman" w:hAnsi="Times New Roman"/>
                <w:b/>
                <w:sz w:val="20"/>
              </w:rPr>
              <w:t>Adj. R²</w:t>
            </w:r>
          </w:p>
        </w:tc>
        <w:tc>
          <w:tcPr>
            <w:tcW w:type="dxa" w:w="1440"/>
            <w:tcMar>
              <w:top w:w="65" w:type="dxa"/>
              <w:bottom w:w="65" w:type="dxa"/>
              <w:left w:w="80" w:type="dxa"/>
              <w:right w:w="80" w:type="dxa"/>
            </w:tcMar>
            <w:shd w:fill="E7E6E6"/>
          </w:tcPr>
          <w:p>
            <w:pPr>
              <w:keepNext w:val="0"/>
              <w:keepLines/>
              <w:spacing w:after="0" w:line="240" w:lineRule="auto"/>
            </w:pPr>
            <w:r>
              <w:rPr>
                <w:rFonts w:ascii="Times New Roman" w:hAnsi="Times New Roman"/>
                <w:b/>
                <w:sz w:val="20"/>
              </w:rPr>
              <w:t>RMSE</w:t>
            </w:r>
          </w:p>
        </w:tc>
        <w:tc>
          <w:tcPr>
            <w:tcW w:type="dxa" w:w="1440"/>
            <w:tcMar>
              <w:top w:w="65" w:type="dxa"/>
              <w:bottom w:w="65" w:type="dxa"/>
              <w:left w:w="80" w:type="dxa"/>
              <w:right w:w="80" w:type="dxa"/>
            </w:tcMar>
            <w:shd w:fill="E7E6E6"/>
          </w:tcPr>
          <w:p>
            <w:pPr>
              <w:keepNext w:val="0"/>
              <w:keepLines/>
              <w:spacing w:after="0" w:line="240" w:lineRule="auto"/>
            </w:pPr>
            <w:r>
              <w:rPr>
                <w:rFonts w:ascii="Times New Roman" w:hAnsi="Times New Roman"/>
                <w:b/>
                <w:sz w:val="20"/>
              </w:rPr>
              <w:t>AIC</w:t>
            </w:r>
          </w:p>
        </w:tc>
        <w:tc>
          <w:tcPr>
            <w:tcW w:type="dxa" w:w="1440"/>
            <w:tcMar>
              <w:top w:w="65" w:type="dxa"/>
              <w:bottom w:w="65" w:type="dxa"/>
              <w:left w:w="80" w:type="dxa"/>
              <w:right w:w="80" w:type="dxa"/>
            </w:tcMar>
            <w:shd w:fill="E7E6E6"/>
          </w:tcPr>
          <w:p>
            <w:pPr>
              <w:keepNext w:val="0"/>
              <w:keepLines/>
              <w:spacing w:after="0" w:line="240" w:lineRule="auto"/>
            </w:pPr>
            <w:r>
              <w:rPr>
                <w:rFonts w:ascii="Times New Roman" w:hAnsi="Times New Roman"/>
                <w:b/>
                <w:sz w:val="20"/>
              </w:rPr>
              <w:t>BIC</w:t>
            </w:r>
          </w:p>
        </w:tc>
      </w:tr>
      <w:tr>
        <w:trPr>
          <w:cantSplit/>
        </w:trPr>
        <w:tc>
          <w:tcPr>
            <w:tcW w:type="dxa" w:w="1584"/>
            <w:tcMar>
              <w:top w:w="65" w:type="dxa"/>
              <w:bottom w:w="65" w:type="dxa"/>
              <w:left w:w="80" w:type="dxa"/>
              <w:right w:w="80" w:type="dxa"/>
            </w:tcMar>
          </w:tcPr>
          <w:p>
            <w:pPr>
              <w:keepNext w:val="0"/>
              <w:keepLines/>
              <w:spacing w:after="0" w:line="240" w:lineRule="auto"/>
            </w:pPr>
            <w:r>
              <w:rPr>
                <w:rFonts w:ascii="Times New Roman" w:hAnsi="Times New Roman"/>
                <w:b w:val="0"/>
                <w:sz w:val="20"/>
              </w:rPr>
              <w:t>Development</w:t>
            </w:r>
          </w:p>
        </w:tc>
        <w:tc>
          <w:tcPr>
            <w:tcW w:type="dxa" w:w="2736"/>
            <w:tcMar>
              <w:top w:w="65" w:type="dxa"/>
              <w:bottom w:w="65" w:type="dxa"/>
              <w:left w:w="80" w:type="dxa"/>
              <w:right w:w="80" w:type="dxa"/>
            </w:tcMar>
          </w:tcPr>
          <w:p>
            <w:pPr>
              <w:keepNext w:val="0"/>
              <w:keepLines/>
              <w:spacing w:after="0" w:line="240" w:lineRule="auto"/>
            </w:pPr>
            <w:r>
              <w:rPr>
                <w:rFonts w:ascii="Times New Roman" w:hAnsi="Times New Roman"/>
                <w:b w:val="0"/>
                <w:sz w:val="20"/>
              </w:rPr>
              <w:t>Common slope</w:t>
            </w:r>
          </w:p>
        </w:tc>
        <w:tc>
          <w:tcPr>
            <w:tcW w:type="dxa" w:w="1440"/>
            <w:tcMar>
              <w:top w:w="65" w:type="dxa"/>
              <w:bottom w:w="65" w:type="dxa"/>
              <w:left w:w="80" w:type="dxa"/>
              <w:right w:w="80" w:type="dxa"/>
            </w:tcMar>
          </w:tcPr>
          <w:p>
            <w:pPr>
              <w:keepNext w:val="0"/>
              <w:keepLines/>
              <w:spacing w:after="0" w:line="240" w:lineRule="auto"/>
            </w:pPr>
            <w:r>
              <w:rPr>
                <w:rFonts w:ascii="Times New Roman" w:hAnsi="Times New Roman"/>
                <w:b w:val="0"/>
                <w:sz w:val="20"/>
              </w:rPr>
              <w:t>0.6496</w:t>
            </w:r>
          </w:p>
        </w:tc>
        <w:tc>
          <w:tcPr>
            <w:tcW w:type="dxa" w:w="1440"/>
            <w:tcMar>
              <w:top w:w="65" w:type="dxa"/>
              <w:bottom w:w="65" w:type="dxa"/>
              <w:left w:w="80" w:type="dxa"/>
              <w:right w:w="80" w:type="dxa"/>
            </w:tcMar>
          </w:tcPr>
          <w:p>
            <w:pPr>
              <w:keepNext w:val="0"/>
              <w:keepLines/>
              <w:spacing w:after="0" w:line="240" w:lineRule="auto"/>
            </w:pPr>
            <w:r>
              <w:rPr>
                <w:rFonts w:ascii="Times New Roman" w:hAnsi="Times New Roman"/>
                <w:b w:val="0"/>
                <w:sz w:val="20"/>
              </w:rPr>
              <w:t>0.04010</w:t>
            </w:r>
          </w:p>
        </w:tc>
        <w:tc>
          <w:tcPr>
            <w:tcW w:type="dxa" w:w="1440"/>
            <w:tcMar>
              <w:top w:w="65" w:type="dxa"/>
              <w:bottom w:w="65" w:type="dxa"/>
              <w:left w:w="80" w:type="dxa"/>
              <w:right w:w="80" w:type="dxa"/>
            </w:tcMar>
          </w:tcPr>
          <w:p>
            <w:pPr>
              <w:keepNext w:val="0"/>
              <w:keepLines/>
              <w:spacing w:after="0" w:line="240" w:lineRule="auto"/>
            </w:pPr>
            <w:r>
              <w:rPr>
                <w:rFonts w:ascii="Times New Roman" w:hAnsi="Times New Roman"/>
                <w:b w:val="0"/>
                <w:sz w:val="20"/>
              </w:rPr>
              <w:t>−177.331</w:t>
            </w:r>
          </w:p>
        </w:tc>
        <w:tc>
          <w:tcPr>
            <w:tcW w:type="dxa" w:w="1440"/>
            <w:tcMar>
              <w:top w:w="65" w:type="dxa"/>
              <w:bottom w:w="65" w:type="dxa"/>
              <w:left w:w="80" w:type="dxa"/>
              <w:right w:w="80" w:type="dxa"/>
            </w:tcMar>
          </w:tcPr>
          <w:p>
            <w:pPr>
              <w:keepNext w:val="0"/>
              <w:keepLines/>
              <w:spacing w:after="0" w:line="240" w:lineRule="auto"/>
            </w:pPr>
            <w:r>
              <w:rPr>
                <w:rFonts w:ascii="Times New Roman" w:hAnsi="Times New Roman"/>
                <w:b w:val="0"/>
                <w:sz w:val="20"/>
              </w:rPr>
              <w:t>−171.536</w:t>
            </w:r>
          </w:p>
        </w:tc>
      </w:tr>
      <w:tr>
        <w:trPr>
          <w:cantSplit/>
        </w:trPr>
        <w:tc>
          <w:tcPr>
            <w:tcW w:type="dxa" w:w="1584"/>
            <w:tcMar>
              <w:top w:w="65" w:type="dxa"/>
              <w:bottom w:w="65" w:type="dxa"/>
              <w:left w:w="80" w:type="dxa"/>
              <w:right w:w="80" w:type="dxa"/>
            </w:tcMar>
          </w:tcPr>
          <w:p>
            <w:pPr>
              <w:keepNext w:val="0"/>
              <w:keepLines/>
              <w:spacing w:after="0" w:line="240" w:lineRule="auto"/>
            </w:pPr>
            <w:r>
              <w:rPr>
                <w:rFonts w:ascii="Times New Roman" w:hAnsi="Times New Roman"/>
                <w:b w:val="0"/>
                <w:sz w:val="20"/>
              </w:rPr>
              <w:t>Development</w:t>
            </w:r>
          </w:p>
        </w:tc>
        <w:tc>
          <w:tcPr>
            <w:tcW w:type="dxa" w:w="2736"/>
            <w:tcMar>
              <w:top w:w="65" w:type="dxa"/>
              <w:bottom w:w="65" w:type="dxa"/>
              <w:left w:w="80" w:type="dxa"/>
              <w:right w:w="80" w:type="dxa"/>
            </w:tcMar>
          </w:tcPr>
          <w:p>
            <w:pPr>
              <w:keepNext w:val="0"/>
              <w:keepLines/>
              <w:spacing w:after="0" w:line="240" w:lineRule="auto"/>
            </w:pPr>
            <w:r>
              <w:rPr>
                <w:rFonts w:ascii="Times New Roman" w:hAnsi="Times New Roman"/>
                <w:b w:val="0"/>
                <w:sz w:val="20"/>
              </w:rPr>
              <w:t>Level + slope break</w:t>
            </w:r>
          </w:p>
        </w:tc>
        <w:tc>
          <w:tcPr>
            <w:tcW w:type="dxa" w:w="1440"/>
            <w:tcMar>
              <w:top w:w="65" w:type="dxa"/>
              <w:bottom w:w="65" w:type="dxa"/>
              <w:left w:w="80" w:type="dxa"/>
              <w:right w:w="80" w:type="dxa"/>
            </w:tcMar>
          </w:tcPr>
          <w:p>
            <w:pPr>
              <w:keepNext w:val="0"/>
              <w:keepLines/>
              <w:spacing w:after="0" w:line="240" w:lineRule="auto"/>
            </w:pPr>
            <w:r>
              <w:rPr>
                <w:rFonts w:ascii="Times New Roman" w:hAnsi="Times New Roman"/>
                <w:b w:val="0"/>
                <w:sz w:val="20"/>
              </w:rPr>
              <w:t>0.8310</w:t>
            </w:r>
          </w:p>
        </w:tc>
        <w:tc>
          <w:tcPr>
            <w:tcW w:type="dxa" w:w="1440"/>
            <w:tcMar>
              <w:top w:w="65" w:type="dxa"/>
              <w:bottom w:w="65" w:type="dxa"/>
              <w:left w:w="80" w:type="dxa"/>
              <w:right w:w="80" w:type="dxa"/>
            </w:tcMar>
          </w:tcPr>
          <w:p>
            <w:pPr>
              <w:keepNext w:val="0"/>
              <w:keepLines/>
              <w:spacing w:after="0" w:line="240" w:lineRule="auto"/>
            </w:pPr>
            <w:r>
              <w:rPr>
                <w:rFonts w:ascii="Times New Roman" w:hAnsi="Times New Roman"/>
                <w:b w:val="0"/>
                <w:sz w:val="20"/>
              </w:rPr>
              <w:t>0.02756</w:t>
            </w:r>
          </w:p>
        </w:tc>
        <w:tc>
          <w:tcPr>
            <w:tcW w:type="dxa" w:w="1440"/>
            <w:tcMar>
              <w:top w:w="65" w:type="dxa"/>
              <w:bottom w:w="65" w:type="dxa"/>
              <w:left w:w="80" w:type="dxa"/>
              <w:right w:w="80" w:type="dxa"/>
            </w:tcMar>
          </w:tcPr>
          <w:p>
            <w:pPr>
              <w:keepNext w:val="0"/>
              <w:keepLines/>
              <w:spacing w:after="0" w:line="240" w:lineRule="auto"/>
            </w:pPr>
            <w:r>
              <w:rPr>
                <w:rFonts w:ascii="Times New Roman" w:hAnsi="Times New Roman"/>
                <w:b w:val="0"/>
                <w:sz w:val="20"/>
              </w:rPr>
              <w:t>−213.606</w:t>
            </w:r>
          </w:p>
        </w:tc>
        <w:tc>
          <w:tcPr>
            <w:tcW w:type="dxa" w:w="1440"/>
            <w:tcMar>
              <w:top w:w="65" w:type="dxa"/>
              <w:bottom w:w="65" w:type="dxa"/>
              <w:left w:w="80" w:type="dxa"/>
              <w:right w:w="80" w:type="dxa"/>
            </w:tcMar>
          </w:tcPr>
          <w:p>
            <w:pPr>
              <w:keepNext w:val="0"/>
              <w:keepLines/>
              <w:spacing w:after="0" w:line="240" w:lineRule="auto"/>
            </w:pPr>
            <w:r>
              <w:rPr>
                <w:rFonts w:ascii="Times New Roman" w:hAnsi="Times New Roman"/>
                <w:b w:val="0"/>
                <w:sz w:val="20"/>
              </w:rPr>
              <w:t>−205.879</w:t>
            </w:r>
          </w:p>
        </w:tc>
      </w:tr>
      <w:tr>
        <w:trPr>
          <w:cantSplit/>
        </w:trPr>
        <w:tc>
          <w:tcPr>
            <w:tcW w:type="dxa" w:w="1584"/>
            <w:tcMar>
              <w:top w:w="65" w:type="dxa"/>
              <w:bottom w:w="65" w:type="dxa"/>
              <w:left w:w="80" w:type="dxa"/>
              <w:right w:w="80" w:type="dxa"/>
            </w:tcMar>
          </w:tcPr>
          <w:p>
            <w:pPr>
              <w:keepNext w:val="0"/>
              <w:keepLines/>
              <w:spacing w:after="0" w:line="240" w:lineRule="auto"/>
            </w:pPr>
            <w:r>
              <w:rPr>
                <w:rFonts w:ascii="Times New Roman" w:hAnsi="Times New Roman"/>
                <w:b w:val="0"/>
                <w:sz w:val="20"/>
              </w:rPr>
              <w:t>Full history</w:t>
            </w:r>
          </w:p>
        </w:tc>
        <w:tc>
          <w:tcPr>
            <w:tcW w:type="dxa" w:w="2736"/>
            <w:tcMar>
              <w:top w:w="65" w:type="dxa"/>
              <w:bottom w:w="65" w:type="dxa"/>
              <w:left w:w="80" w:type="dxa"/>
              <w:right w:w="80" w:type="dxa"/>
            </w:tcMar>
          </w:tcPr>
          <w:p>
            <w:pPr>
              <w:keepNext w:val="0"/>
              <w:keepLines/>
              <w:spacing w:after="0" w:line="240" w:lineRule="auto"/>
            </w:pPr>
            <w:r>
              <w:rPr>
                <w:rFonts w:ascii="Times New Roman" w:hAnsi="Times New Roman"/>
                <w:b w:val="0"/>
                <w:sz w:val="20"/>
              </w:rPr>
              <w:t>Common slope</w:t>
            </w:r>
          </w:p>
        </w:tc>
        <w:tc>
          <w:tcPr>
            <w:tcW w:type="dxa" w:w="1440"/>
            <w:tcMar>
              <w:top w:w="65" w:type="dxa"/>
              <w:bottom w:w="65" w:type="dxa"/>
              <w:left w:w="80" w:type="dxa"/>
              <w:right w:w="80" w:type="dxa"/>
            </w:tcMar>
          </w:tcPr>
          <w:p>
            <w:pPr>
              <w:keepNext w:val="0"/>
              <w:keepLines/>
              <w:spacing w:after="0" w:line="240" w:lineRule="auto"/>
            </w:pPr>
            <w:r>
              <w:rPr>
                <w:rFonts w:ascii="Times New Roman" w:hAnsi="Times New Roman"/>
                <w:b w:val="0"/>
                <w:sz w:val="20"/>
              </w:rPr>
              <w:t>0.6389</w:t>
            </w:r>
          </w:p>
        </w:tc>
        <w:tc>
          <w:tcPr>
            <w:tcW w:type="dxa" w:w="1440"/>
            <w:tcMar>
              <w:top w:w="65" w:type="dxa"/>
              <w:bottom w:w="65" w:type="dxa"/>
              <w:left w:w="80" w:type="dxa"/>
              <w:right w:w="80" w:type="dxa"/>
            </w:tcMar>
          </w:tcPr>
          <w:p>
            <w:pPr>
              <w:keepNext w:val="0"/>
              <w:keepLines/>
              <w:spacing w:after="0" w:line="240" w:lineRule="auto"/>
            </w:pPr>
            <w:r>
              <w:rPr>
                <w:rFonts w:ascii="Times New Roman" w:hAnsi="Times New Roman"/>
                <w:b w:val="0"/>
                <w:sz w:val="20"/>
              </w:rPr>
              <w:t>0.04006</w:t>
            </w:r>
          </w:p>
        </w:tc>
        <w:tc>
          <w:tcPr>
            <w:tcW w:type="dxa" w:w="1440"/>
            <w:tcMar>
              <w:top w:w="65" w:type="dxa"/>
              <w:bottom w:w="65" w:type="dxa"/>
              <w:left w:w="80" w:type="dxa"/>
              <w:right w:w="80" w:type="dxa"/>
            </w:tcMar>
          </w:tcPr>
          <w:p>
            <w:pPr>
              <w:keepNext w:val="0"/>
              <w:keepLines/>
              <w:spacing w:after="0" w:line="240" w:lineRule="auto"/>
            </w:pPr>
            <w:r>
              <w:rPr>
                <w:rFonts w:ascii="Times New Roman" w:hAnsi="Times New Roman"/>
                <w:b w:val="0"/>
                <w:sz w:val="20"/>
              </w:rPr>
              <w:t>−209.822</w:t>
            </w:r>
          </w:p>
        </w:tc>
        <w:tc>
          <w:tcPr>
            <w:tcW w:type="dxa" w:w="1440"/>
            <w:tcMar>
              <w:top w:w="65" w:type="dxa"/>
              <w:bottom w:w="65" w:type="dxa"/>
              <w:left w:w="80" w:type="dxa"/>
              <w:right w:w="80" w:type="dxa"/>
            </w:tcMar>
          </w:tcPr>
          <w:p>
            <w:pPr>
              <w:keepNext w:val="0"/>
              <w:keepLines/>
              <w:spacing w:after="0" w:line="240" w:lineRule="auto"/>
            </w:pPr>
            <w:r>
              <w:rPr>
                <w:rFonts w:ascii="Times New Roman" w:hAnsi="Times New Roman"/>
                <w:b w:val="0"/>
                <w:sz w:val="20"/>
              </w:rPr>
              <w:t>−203.539</w:t>
            </w:r>
          </w:p>
        </w:tc>
      </w:tr>
      <w:tr>
        <w:trPr>
          <w:cantSplit/>
        </w:trPr>
        <w:tc>
          <w:tcPr>
            <w:tcW w:type="dxa" w:w="1584"/>
            <w:tcMar>
              <w:top w:w="65" w:type="dxa"/>
              <w:bottom w:w="65" w:type="dxa"/>
              <w:left w:w="80" w:type="dxa"/>
              <w:right w:w="80" w:type="dxa"/>
            </w:tcMar>
          </w:tcPr>
          <w:p>
            <w:pPr>
              <w:keepNext w:val="0"/>
              <w:keepLines/>
              <w:spacing w:after="0" w:line="240" w:lineRule="auto"/>
            </w:pPr>
            <w:r>
              <w:rPr>
                <w:rFonts w:ascii="Times New Roman" w:hAnsi="Times New Roman"/>
                <w:b w:val="0"/>
                <w:sz w:val="20"/>
              </w:rPr>
              <w:t>Full history</w:t>
            </w:r>
          </w:p>
        </w:tc>
        <w:tc>
          <w:tcPr>
            <w:tcW w:type="dxa" w:w="2736"/>
            <w:tcMar>
              <w:top w:w="65" w:type="dxa"/>
              <w:bottom w:w="65" w:type="dxa"/>
              <w:left w:w="80" w:type="dxa"/>
              <w:right w:w="80" w:type="dxa"/>
            </w:tcMar>
          </w:tcPr>
          <w:p>
            <w:pPr>
              <w:keepNext w:val="0"/>
              <w:keepLines/>
              <w:spacing w:after="0" w:line="240" w:lineRule="auto"/>
            </w:pPr>
            <w:r>
              <w:rPr>
                <w:rFonts w:ascii="Times New Roman" w:hAnsi="Times New Roman"/>
                <w:b w:val="0"/>
                <w:sz w:val="20"/>
              </w:rPr>
              <w:t>Level + slope break</w:t>
            </w:r>
          </w:p>
        </w:tc>
        <w:tc>
          <w:tcPr>
            <w:tcW w:type="dxa" w:w="1440"/>
            <w:tcMar>
              <w:top w:w="65" w:type="dxa"/>
              <w:bottom w:w="65" w:type="dxa"/>
              <w:left w:w="80" w:type="dxa"/>
              <w:right w:w="80" w:type="dxa"/>
            </w:tcMar>
          </w:tcPr>
          <w:p>
            <w:pPr>
              <w:keepNext w:val="0"/>
              <w:keepLines/>
              <w:spacing w:after="0" w:line="240" w:lineRule="auto"/>
            </w:pPr>
            <w:r>
              <w:rPr>
                <w:rFonts w:ascii="Times New Roman" w:hAnsi="Times New Roman"/>
                <w:b w:val="0"/>
                <w:sz w:val="20"/>
              </w:rPr>
              <w:t>0.7807</w:t>
            </w:r>
          </w:p>
        </w:tc>
        <w:tc>
          <w:tcPr>
            <w:tcW w:type="dxa" w:w="1440"/>
            <w:tcMar>
              <w:top w:w="65" w:type="dxa"/>
              <w:bottom w:w="65" w:type="dxa"/>
              <w:left w:w="80" w:type="dxa"/>
              <w:right w:w="80" w:type="dxa"/>
            </w:tcMar>
          </w:tcPr>
          <w:p>
            <w:pPr>
              <w:keepNext w:val="0"/>
              <w:keepLines/>
              <w:spacing w:after="0" w:line="240" w:lineRule="auto"/>
            </w:pPr>
            <w:r>
              <w:rPr>
                <w:rFonts w:ascii="Times New Roman" w:hAnsi="Times New Roman"/>
                <w:b w:val="0"/>
                <w:sz w:val="20"/>
              </w:rPr>
              <w:t>0.03094</w:t>
            </w:r>
          </w:p>
        </w:tc>
        <w:tc>
          <w:tcPr>
            <w:tcW w:type="dxa" w:w="1440"/>
            <w:tcMar>
              <w:top w:w="65" w:type="dxa"/>
              <w:bottom w:w="65" w:type="dxa"/>
              <w:left w:w="80" w:type="dxa"/>
              <w:right w:w="80" w:type="dxa"/>
            </w:tcMar>
          </w:tcPr>
          <w:p>
            <w:pPr>
              <w:keepNext w:val="0"/>
              <w:keepLines/>
              <w:spacing w:after="0" w:line="240" w:lineRule="auto"/>
            </w:pPr>
            <w:r>
              <w:rPr>
                <w:rFonts w:ascii="Times New Roman" w:hAnsi="Times New Roman"/>
                <w:b w:val="0"/>
                <w:sz w:val="20"/>
              </w:rPr>
              <w:t>−238.813</w:t>
            </w:r>
          </w:p>
        </w:tc>
        <w:tc>
          <w:tcPr>
            <w:tcW w:type="dxa" w:w="1440"/>
            <w:tcMar>
              <w:top w:w="65" w:type="dxa"/>
              <w:bottom w:w="65" w:type="dxa"/>
              <w:left w:w="80" w:type="dxa"/>
              <w:right w:w="80" w:type="dxa"/>
            </w:tcMar>
          </w:tcPr>
          <w:p>
            <w:pPr>
              <w:keepNext w:val="0"/>
              <w:keepLines/>
              <w:spacing w:after="0" w:line="240" w:lineRule="auto"/>
            </w:pPr>
            <w:r>
              <w:rPr>
                <w:rFonts w:ascii="Times New Roman" w:hAnsi="Times New Roman"/>
                <w:b w:val="0"/>
                <w:sz w:val="20"/>
              </w:rPr>
              <w:t>−230.436</w:t>
            </w:r>
          </w:p>
        </w:tc>
      </w:tr>
    </w:tbl>
    <w:p>
      <w:pPr>
        <w:keepNext w:val="0"/>
        <w:keepLines w:val="0"/>
        <w:spacing w:line="254" w:lineRule="auto" w:after="120"/>
      </w:pPr>
      <w:r>
        <w:rPr>
          <w:sz w:val="21"/>
        </w:rPr>
        <w:t>Allowing a different slope improves the fit in both time windows. Adjusted R² is a fit score that accounts for the number of model terms. Higher values are better. RMSE measures the size of the errors. AIC and BIC also penalize extra terms. Lower values are better for these three measures. Compare models within the same time window. Source: [S2], level_only and level_and_slope.</w:t>
      </w:r>
    </w:p>
    <w:p>
      <w:pPr>
        <w:pStyle w:val="Heading2"/>
        <w:keepNext/>
        <w:pageBreakBefore w:val="0"/>
        <w:spacing w:before="200" w:after="140"/>
      </w:pPr>
      <w:r>
        <w:rPr>
          <w:rFonts w:ascii="Arial" w:hAnsi="Arial"/>
          <w:b/>
          <w:color w:val="000000"/>
        </w:rPr>
        <w:t>3.8 Estimation conclusion</w:t>
      </w:r>
    </w:p>
    <w:p>
      <w:pPr>
        <w:keepNext w:val="0"/>
        <w:keepLines w:val="0"/>
        <w:spacing w:line="254" w:lineRule="auto" w:after="120"/>
      </w:pPr>
      <w:r>
        <w:rPr>
          <w:sz w:val="23"/>
        </w:rPr>
        <w:t>The latest model follows historical EF more closely when each period has its own slope. The next step is to test this trend in a forecasting equation. That work should also review past-quarter effects, economic inputs and the forecast horizon.</w:t>
      </w:r>
    </w:p>
    <w:p>
      <w:pPr>
        <w:pStyle w:val="Heading1"/>
        <w:keepNext/>
        <w:pageBreakBefore/>
        <w:spacing w:before="0" w:after="140"/>
      </w:pPr>
      <w:r>
        <w:rPr>
          <w:rFonts w:ascii="Arial" w:hAnsi="Arial"/>
          <w:b/>
          <w:color w:val="000000"/>
        </w:rPr>
        <w:t>4. Model Development Data</w:t>
      </w:r>
    </w:p>
    <w:p>
      <w:pPr>
        <w:pStyle w:val="Heading2"/>
        <w:keepNext/>
        <w:pageBreakBefore w:val="0"/>
        <w:spacing w:before="200" w:after="140"/>
      </w:pPr>
      <w:r>
        <w:rPr>
          <w:rFonts w:ascii="Arial" w:hAnsi="Arial"/>
          <w:b/>
          <w:color w:val="000000"/>
        </w:rPr>
        <w:t>4.1 Data periods and sample sizes</w:t>
      </w:r>
    </w:p>
    <w:p>
      <w:pPr>
        <w:keepNext/>
        <w:keepLines w:val="0"/>
        <w:spacing w:line="254" w:lineRule="auto" w:after="120"/>
      </w:pPr>
      <w:r>
        <w:rPr>
          <w:b/>
          <w:sz w:val="23"/>
        </w:rPr>
        <w:t>Table 4.1. Sample definitions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2376"/>
        <w:gridCol w:w="2376"/>
        <w:gridCol w:w="576"/>
        <w:gridCol w:w="4752"/>
      </w:tblGrid>
      <w:tr>
        <w:trPr>
          <w:cantSplit/>
          <w:tblHeader/>
        </w:trPr>
        <w:tc>
          <w:tcPr>
            <w:tcW w:type="dxa" w:w="2376"/>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Analysis</w:t>
            </w:r>
          </w:p>
        </w:tc>
        <w:tc>
          <w:tcPr>
            <w:tcW w:type="dxa" w:w="2376"/>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Period</w:t>
            </w:r>
          </w:p>
        </w:tc>
        <w:tc>
          <w:tcPr>
            <w:tcW w:type="dxa" w:w="576"/>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N</w:t>
            </w:r>
          </w:p>
        </w:tc>
        <w:tc>
          <w:tcPr>
            <w:tcW w:type="dxa" w:w="4752"/>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Data used</w:t>
            </w:r>
          </w:p>
        </w:tc>
      </w:tr>
      <w:tr>
        <w:trPr>
          <w:cantSplit/>
        </w:trPr>
        <w:tc>
          <w:tcPr>
            <w:tcW w:type="dxa" w:w="2376"/>
            <w:tcMar>
              <w:top w:w="65" w:type="dxa"/>
              <w:bottom w:w="65" w:type="dxa"/>
              <w:left w:w="80" w:type="dxa"/>
              <w:right w:w="80" w:type="dxa"/>
            </w:tcMar>
          </w:tcPr>
          <w:p>
            <w:pPr>
              <w:keepNext w:val="0"/>
              <w:keepLines/>
              <w:spacing w:after="0" w:line="240" w:lineRule="auto"/>
            </w:pPr>
            <w:r>
              <w:rPr>
                <w:rFonts w:ascii="Times New Roman" w:hAnsi="Times New Roman"/>
                <w:b w:val="0"/>
                <w:sz w:val="21"/>
              </w:rPr>
              <w:t>Current development fit</w:t>
            </w:r>
          </w:p>
        </w:tc>
        <w:tc>
          <w:tcPr>
            <w:tcW w:type="dxa" w:w="2376"/>
            <w:tcMar>
              <w:top w:w="65" w:type="dxa"/>
              <w:bottom w:w="65" w:type="dxa"/>
              <w:left w:w="80" w:type="dxa"/>
              <w:right w:w="80" w:type="dxa"/>
            </w:tcMar>
          </w:tcPr>
          <w:p>
            <w:pPr>
              <w:keepNext w:val="0"/>
              <w:keepLines/>
              <w:spacing w:after="0" w:line="240" w:lineRule="auto"/>
            </w:pPr>
            <w:r>
              <w:rPr>
                <w:rFonts w:ascii="Times New Roman" w:hAnsi="Times New Roman"/>
                <w:b w:val="0"/>
                <w:sz w:val="21"/>
              </w:rPr>
              <w:t>2011Q1–2023Q3</w:t>
            </w:r>
          </w:p>
        </w:tc>
        <w:tc>
          <w:tcPr>
            <w:tcW w:type="dxa" w:w="576"/>
            <w:tcMar>
              <w:top w:w="65" w:type="dxa"/>
              <w:bottom w:w="65" w:type="dxa"/>
              <w:left w:w="80" w:type="dxa"/>
              <w:right w:w="80" w:type="dxa"/>
            </w:tcMar>
          </w:tcPr>
          <w:p>
            <w:pPr>
              <w:keepNext w:val="0"/>
              <w:keepLines/>
              <w:spacing w:after="0" w:line="240" w:lineRule="auto"/>
            </w:pPr>
            <w:r>
              <w:rPr>
                <w:rFonts w:ascii="Times New Roman" w:hAnsi="Times New Roman"/>
                <w:b w:val="0"/>
                <w:sz w:val="21"/>
              </w:rPr>
              <w:t>51</w:t>
            </w:r>
          </w:p>
        </w:tc>
        <w:tc>
          <w:tcPr>
            <w:tcW w:type="dxa" w:w="4752"/>
            <w:tcMar>
              <w:top w:w="65" w:type="dxa"/>
              <w:bottom w:w="65" w:type="dxa"/>
              <w:left w:w="80" w:type="dxa"/>
              <w:right w:w="80" w:type="dxa"/>
            </w:tcMar>
          </w:tcPr>
          <w:p>
            <w:pPr>
              <w:keepNext w:val="0"/>
              <w:keepLines/>
              <w:spacing w:after="0" w:line="240" w:lineRule="auto"/>
            </w:pPr>
            <w:r>
              <w:rPr>
                <w:rFonts w:ascii="Times New Roman" w:hAnsi="Times New Roman"/>
                <w:b w:val="0"/>
                <w:sz w:val="21"/>
              </w:rPr>
              <w:t>All prepared quarterly EF values</w:t>
            </w:r>
          </w:p>
        </w:tc>
      </w:tr>
      <w:tr>
        <w:trPr>
          <w:cantSplit/>
        </w:trPr>
        <w:tc>
          <w:tcPr>
            <w:tcW w:type="dxa" w:w="2376"/>
            <w:tcMar>
              <w:top w:w="65" w:type="dxa"/>
              <w:bottom w:w="65" w:type="dxa"/>
              <w:left w:w="80" w:type="dxa"/>
              <w:right w:w="80" w:type="dxa"/>
            </w:tcMar>
          </w:tcPr>
          <w:p>
            <w:pPr>
              <w:keepNext w:val="0"/>
              <w:keepLines/>
              <w:spacing w:after="0" w:line="240" w:lineRule="auto"/>
            </w:pPr>
            <w:r>
              <w:rPr>
                <w:rFonts w:ascii="Times New Roman" w:hAnsi="Times New Roman"/>
                <w:b w:val="0"/>
                <w:sz w:val="21"/>
              </w:rPr>
              <w:t>Current longer-history fit</w:t>
            </w:r>
          </w:p>
        </w:tc>
        <w:tc>
          <w:tcPr>
            <w:tcW w:type="dxa" w:w="2376"/>
            <w:tcMar>
              <w:top w:w="65" w:type="dxa"/>
              <w:bottom w:w="65" w:type="dxa"/>
              <w:left w:w="80" w:type="dxa"/>
              <w:right w:w="80" w:type="dxa"/>
            </w:tcMar>
          </w:tcPr>
          <w:p>
            <w:pPr>
              <w:keepNext w:val="0"/>
              <w:keepLines/>
              <w:spacing w:after="0" w:line="240" w:lineRule="auto"/>
            </w:pPr>
            <w:r>
              <w:rPr>
                <w:rFonts w:ascii="Times New Roman" w:hAnsi="Times New Roman"/>
                <w:b w:val="0"/>
                <w:sz w:val="21"/>
              </w:rPr>
              <w:t>2011Q1–2025Q4</w:t>
            </w:r>
          </w:p>
        </w:tc>
        <w:tc>
          <w:tcPr>
            <w:tcW w:type="dxa" w:w="576"/>
            <w:tcMar>
              <w:top w:w="65" w:type="dxa"/>
              <w:bottom w:w="65" w:type="dxa"/>
              <w:left w:w="80" w:type="dxa"/>
              <w:right w:w="80" w:type="dxa"/>
            </w:tcMar>
          </w:tcPr>
          <w:p>
            <w:pPr>
              <w:keepNext w:val="0"/>
              <w:keepLines/>
              <w:spacing w:after="0" w:line="240" w:lineRule="auto"/>
            </w:pPr>
            <w:r>
              <w:rPr>
                <w:rFonts w:ascii="Times New Roman" w:hAnsi="Times New Roman"/>
                <w:b w:val="0"/>
                <w:sz w:val="21"/>
              </w:rPr>
              <w:t>60</w:t>
            </w:r>
          </w:p>
        </w:tc>
        <w:tc>
          <w:tcPr>
            <w:tcW w:type="dxa" w:w="4752"/>
            <w:tcMar>
              <w:top w:w="65" w:type="dxa"/>
              <w:bottom w:w="65" w:type="dxa"/>
              <w:left w:w="80" w:type="dxa"/>
              <w:right w:w="80" w:type="dxa"/>
            </w:tcMar>
          </w:tcPr>
          <w:p>
            <w:pPr>
              <w:keepNext w:val="0"/>
              <w:keepLines/>
              <w:spacing w:after="0" w:line="240" w:lineRule="auto"/>
            </w:pPr>
            <w:r>
              <w:rPr>
                <w:rFonts w:ascii="Times New Roman" w:hAnsi="Times New Roman"/>
                <w:b w:val="0"/>
                <w:sz w:val="21"/>
              </w:rPr>
              <w:t>Same preparation with nine more quarters</w:t>
            </w:r>
          </w:p>
        </w:tc>
      </w:tr>
      <w:tr>
        <w:trPr>
          <w:cantSplit/>
        </w:trPr>
        <w:tc>
          <w:tcPr>
            <w:tcW w:type="dxa" w:w="2376"/>
            <w:tcMar>
              <w:top w:w="65" w:type="dxa"/>
              <w:bottom w:w="65" w:type="dxa"/>
              <w:left w:w="80" w:type="dxa"/>
              <w:right w:w="80" w:type="dxa"/>
            </w:tcMar>
          </w:tcPr>
          <w:p>
            <w:pPr>
              <w:keepNext w:val="0"/>
              <w:keepLines/>
              <w:spacing w:after="0" w:line="240" w:lineRule="auto"/>
            </w:pPr>
            <w:r>
              <w:rPr>
                <w:rFonts w:ascii="Times New Roman" w:hAnsi="Times New Roman"/>
                <w:b w:val="0"/>
                <w:sz w:val="21"/>
              </w:rPr>
              <w:t>Earlier ARDL fit</w:t>
            </w:r>
          </w:p>
        </w:tc>
        <w:tc>
          <w:tcPr>
            <w:tcW w:type="dxa" w:w="2376"/>
            <w:tcMar>
              <w:top w:w="65" w:type="dxa"/>
              <w:bottom w:w="65" w:type="dxa"/>
              <w:left w:w="80" w:type="dxa"/>
              <w:right w:w="80" w:type="dxa"/>
            </w:tcMar>
          </w:tcPr>
          <w:p>
            <w:pPr>
              <w:keepNext w:val="0"/>
              <w:keepLines/>
              <w:spacing w:after="0" w:line="240" w:lineRule="auto"/>
            </w:pPr>
            <w:r>
              <w:rPr>
                <w:rFonts w:ascii="Times New Roman" w:hAnsi="Times New Roman"/>
                <w:b w:val="0"/>
                <w:sz w:val="21"/>
              </w:rPr>
              <w:t>2011Q2–2023Q3</w:t>
            </w:r>
          </w:p>
        </w:tc>
        <w:tc>
          <w:tcPr>
            <w:tcW w:type="dxa" w:w="576"/>
            <w:tcMar>
              <w:top w:w="65" w:type="dxa"/>
              <w:bottom w:w="65" w:type="dxa"/>
              <w:left w:w="80" w:type="dxa"/>
              <w:right w:w="80" w:type="dxa"/>
            </w:tcMar>
          </w:tcPr>
          <w:p>
            <w:pPr>
              <w:keepNext w:val="0"/>
              <w:keepLines/>
              <w:spacing w:after="0" w:line="240" w:lineRule="auto"/>
            </w:pPr>
            <w:r>
              <w:rPr>
                <w:rFonts w:ascii="Times New Roman" w:hAnsi="Times New Roman"/>
                <w:b w:val="0"/>
                <w:sz w:val="21"/>
              </w:rPr>
              <w:t>49</w:t>
            </w:r>
          </w:p>
        </w:tc>
        <w:tc>
          <w:tcPr>
            <w:tcW w:type="dxa" w:w="4752"/>
            <w:tcMar>
              <w:top w:w="65" w:type="dxa"/>
              <w:bottom w:w="65" w:type="dxa"/>
              <w:left w:w="80" w:type="dxa"/>
              <w:right w:w="80" w:type="dxa"/>
            </w:tcMar>
          </w:tcPr>
          <w:p>
            <w:pPr>
              <w:keepNext w:val="0"/>
              <w:keepLines/>
              <w:spacing w:after="0" w:line="240" w:lineRule="auto"/>
            </w:pPr>
            <w:r>
              <w:rPr>
                <w:rFonts w:ascii="Times New Roman" w:hAnsi="Times New Roman"/>
                <w:b w:val="0"/>
                <w:sz w:val="21"/>
              </w:rPr>
              <w:t>Uses past-quarter inputs. Excludes the 2017Q4 response row.</w:t>
            </w:r>
          </w:p>
        </w:tc>
      </w:tr>
      <w:tr>
        <w:trPr>
          <w:cantSplit/>
        </w:trPr>
        <w:tc>
          <w:tcPr>
            <w:tcW w:type="dxa" w:w="2376"/>
            <w:tcMar>
              <w:top w:w="65" w:type="dxa"/>
              <w:bottom w:w="65" w:type="dxa"/>
              <w:left w:w="80" w:type="dxa"/>
              <w:right w:w="80" w:type="dxa"/>
            </w:tcMar>
          </w:tcPr>
          <w:p>
            <w:pPr>
              <w:keepNext w:val="0"/>
              <w:keepLines/>
              <w:spacing w:after="0" w:line="240" w:lineRule="auto"/>
            </w:pPr>
            <w:r>
              <w:rPr>
                <w:rFonts w:ascii="Times New Roman" w:hAnsi="Times New Roman"/>
                <w:b w:val="0"/>
                <w:sz w:val="21"/>
              </w:rPr>
              <w:t>Earlier ARDL OOT test</w:t>
            </w:r>
          </w:p>
        </w:tc>
        <w:tc>
          <w:tcPr>
            <w:tcW w:type="dxa" w:w="2376"/>
            <w:tcMar>
              <w:top w:w="65" w:type="dxa"/>
              <w:bottom w:w="65" w:type="dxa"/>
              <w:left w:w="80" w:type="dxa"/>
              <w:right w:w="80" w:type="dxa"/>
            </w:tcMar>
          </w:tcPr>
          <w:p>
            <w:pPr>
              <w:keepNext w:val="0"/>
              <w:keepLines/>
              <w:spacing w:after="0" w:line="240" w:lineRule="auto"/>
            </w:pPr>
            <w:r>
              <w:rPr>
                <w:rFonts w:ascii="Times New Roman" w:hAnsi="Times New Roman"/>
                <w:b w:val="0"/>
                <w:sz w:val="21"/>
              </w:rPr>
              <w:t>2023Q4–2025Q4</w:t>
            </w:r>
          </w:p>
        </w:tc>
        <w:tc>
          <w:tcPr>
            <w:tcW w:type="dxa" w:w="576"/>
            <w:tcMar>
              <w:top w:w="65" w:type="dxa"/>
              <w:bottom w:w="65" w:type="dxa"/>
              <w:left w:w="80" w:type="dxa"/>
              <w:right w:w="80" w:type="dxa"/>
            </w:tcMar>
          </w:tcPr>
          <w:p>
            <w:pPr>
              <w:keepNext w:val="0"/>
              <w:keepLines/>
              <w:spacing w:after="0" w:line="240" w:lineRule="auto"/>
            </w:pPr>
            <w:r>
              <w:rPr>
                <w:rFonts w:ascii="Times New Roman" w:hAnsi="Times New Roman"/>
                <w:b w:val="0"/>
                <w:sz w:val="21"/>
              </w:rPr>
              <w:t>9</w:t>
            </w:r>
          </w:p>
        </w:tc>
        <w:tc>
          <w:tcPr>
            <w:tcW w:type="dxa" w:w="4752"/>
            <w:tcMar>
              <w:top w:w="65" w:type="dxa"/>
              <w:bottom w:w="65" w:type="dxa"/>
              <w:left w:w="80" w:type="dxa"/>
              <w:right w:w="80" w:type="dxa"/>
            </w:tcMar>
          </w:tcPr>
          <w:p>
            <w:pPr>
              <w:keepNext w:val="0"/>
              <w:keepLines/>
              <w:spacing w:after="0" w:line="240" w:lineRule="auto"/>
            </w:pPr>
            <w:r>
              <w:rPr>
                <w:rFonts w:ascii="Times New Roman" w:hAnsi="Times New Roman"/>
                <w:b w:val="0"/>
                <w:sz w:val="21"/>
              </w:rPr>
              <w:t>One-step and recursive forecast tests</w:t>
            </w:r>
          </w:p>
        </w:tc>
      </w:tr>
      <w:tr>
        <w:trPr>
          <w:cantSplit/>
        </w:trPr>
        <w:tc>
          <w:tcPr>
            <w:tcW w:type="dxa" w:w="2376"/>
            <w:tcMar>
              <w:top w:w="65" w:type="dxa"/>
              <w:bottom w:w="65" w:type="dxa"/>
              <w:left w:w="80" w:type="dxa"/>
              <w:right w:w="80" w:type="dxa"/>
            </w:tcMar>
          </w:tcPr>
          <w:p>
            <w:pPr>
              <w:keepNext w:val="0"/>
              <w:keepLines/>
              <w:spacing w:after="0" w:line="240" w:lineRule="auto"/>
            </w:pPr>
            <w:r>
              <w:rPr>
                <w:rFonts w:ascii="Times New Roman" w:hAnsi="Times New Roman"/>
                <w:b w:val="0"/>
                <w:sz w:val="21"/>
              </w:rPr>
              <w:t>Earlier scenarios</w:t>
            </w:r>
          </w:p>
        </w:tc>
        <w:tc>
          <w:tcPr>
            <w:tcW w:type="dxa" w:w="2376"/>
            <w:tcMar>
              <w:top w:w="65" w:type="dxa"/>
              <w:bottom w:w="65" w:type="dxa"/>
              <w:left w:w="80" w:type="dxa"/>
              <w:right w:w="80" w:type="dxa"/>
            </w:tcMar>
          </w:tcPr>
          <w:p>
            <w:pPr>
              <w:keepNext w:val="0"/>
              <w:keepLines/>
              <w:spacing w:after="0" w:line="240" w:lineRule="auto"/>
            </w:pPr>
            <w:r>
              <w:rPr>
                <w:rFonts w:ascii="Times New Roman" w:hAnsi="Times New Roman"/>
                <w:b w:val="0"/>
                <w:sz w:val="21"/>
              </w:rPr>
              <w:t>2026Q1–2028Q1</w:t>
            </w:r>
          </w:p>
        </w:tc>
        <w:tc>
          <w:tcPr>
            <w:tcW w:type="dxa" w:w="576"/>
            <w:tcMar>
              <w:top w:w="65" w:type="dxa"/>
              <w:bottom w:w="65" w:type="dxa"/>
              <w:left w:w="80" w:type="dxa"/>
              <w:right w:w="80" w:type="dxa"/>
            </w:tcMar>
          </w:tcPr>
          <w:p>
            <w:pPr>
              <w:keepNext w:val="0"/>
              <w:keepLines/>
              <w:spacing w:after="0" w:line="240" w:lineRule="auto"/>
            </w:pPr>
            <w:r>
              <w:rPr>
                <w:rFonts w:ascii="Times New Roman" w:hAnsi="Times New Roman"/>
                <w:b w:val="0"/>
                <w:sz w:val="21"/>
              </w:rPr>
              <w:t>9</w:t>
            </w:r>
          </w:p>
        </w:tc>
        <w:tc>
          <w:tcPr>
            <w:tcW w:type="dxa" w:w="4752"/>
            <w:tcMar>
              <w:top w:w="65" w:type="dxa"/>
              <w:bottom w:w="65" w:type="dxa"/>
              <w:left w:w="80" w:type="dxa"/>
              <w:right w:w="80" w:type="dxa"/>
            </w:tcMar>
          </w:tcPr>
          <w:p>
            <w:pPr>
              <w:keepNext w:val="0"/>
              <w:keepLines/>
              <w:spacing w:after="0" w:line="240" w:lineRule="auto"/>
            </w:pPr>
            <w:r>
              <w:rPr>
                <w:rFonts w:ascii="Times New Roman" w:hAnsi="Times New Roman"/>
                <w:b w:val="0"/>
                <w:sz w:val="21"/>
              </w:rPr>
              <w:t>Projected values under Baseline and S4</w:t>
            </w:r>
          </w:p>
        </w:tc>
      </w:tr>
    </w:tbl>
    <w:p>
      <w:pPr>
        <w:keepNext w:val="0"/>
        <w:keepLines w:val="0"/>
        <w:spacing w:line="254" w:lineRule="auto" w:after="120"/>
      </w:pPr>
      <w:r>
        <w:rPr>
          <w:sz w:val="21"/>
        </w:rPr>
        <w:t>The latest OLS analysis includes all prepared EF observations in each time window. The earlier ARDL used fewer observations because it needed past-quarter values and excluded one response row. Source: [S1–S4].</w:t>
      </w:r>
    </w:p>
    <w:p>
      <w:pPr>
        <w:pStyle w:val="Heading2"/>
        <w:keepNext/>
        <w:pageBreakBefore w:val="0"/>
        <w:spacing w:before="200" w:after="140"/>
      </w:pPr>
      <w:r>
        <w:rPr>
          <w:rFonts w:ascii="Arial" w:hAnsi="Arial"/>
          <w:b/>
          <w:color w:val="000000"/>
        </w:rPr>
        <w:t>4.2 Historical EF preparation</w:t>
      </w:r>
    </w:p>
    <w:p>
      <w:pPr>
        <w:keepNext/>
        <w:keepLines w:val="0"/>
        <w:spacing w:line="254" w:lineRule="auto" w:after="120"/>
      </w:pPr>
      <w:r>
        <w:rPr>
          <w:b/>
          <w:sz w:val="23"/>
        </w:rPr>
        <w:t>Table 4.2. Local smoothing of two 2017 observations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1440"/>
        <w:gridCol w:w="1440"/>
        <w:gridCol w:w="4824"/>
        <w:gridCol w:w="2376"/>
      </w:tblGrid>
      <w:tr>
        <w:trPr>
          <w:cantSplit/>
          <w:tblHeader/>
        </w:trPr>
        <w:tc>
          <w:tcPr>
            <w:tcW w:type="dxa" w:w="1440"/>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Quarter</w:t>
            </w:r>
          </w:p>
        </w:tc>
        <w:tc>
          <w:tcPr>
            <w:tcW w:type="dxa" w:w="1440"/>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Original EF</w:t>
            </w:r>
          </w:p>
        </w:tc>
        <w:tc>
          <w:tcPr>
            <w:tcW w:type="dxa" w:w="4824"/>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Three-quarter calculation</w:t>
            </w:r>
          </w:p>
        </w:tc>
        <w:tc>
          <w:tcPr>
            <w:tcW w:type="dxa" w:w="2376"/>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Prepared EF</w:t>
            </w:r>
          </w:p>
        </w:tc>
      </w:tr>
      <w:tr>
        <w:trPr>
          <w:cantSplit/>
        </w:trPr>
        <w:tc>
          <w:tcPr>
            <w:tcW w:type="dxa" w:w="1440"/>
            <w:tcMar>
              <w:top w:w="65" w:type="dxa"/>
              <w:bottom w:w="65" w:type="dxa"/>
              <w:left w:w="80" w:type="dxa"/>
              <w:right w:w="80" w:type="dxa"/>
            </w:tcMar>
          </w:tcPr>
          <w:p>
            <w:pPr>
              <w:keepNext w:val="0"/>
              <w:keepLines/>
              <w:spacing w:after="0" w:line="240" w:lineRule="auto"/>
            </w:pPr>
            <w:r>
              <w:rPr>
                <w:rFonts w:ascii="Times New Roman" w:hAnsi="Times New Roman"/>
                <w:b w:val="0"/>
                <w:sz w:val="21"/>
              </w:rPr>
              <w:t>2017Q3</w:t>
            </w:r>
          </w:p>
        </w:tc>
        <w:tc>
          <w:tcPr>
            <w:tcW w:type="dxa" w:w="1440"/>
            <w:tcMar>
              <w:top w:w="65" w:type="dxa"/>
              <w:bottom w:w="65" w:type="dxa"/>
              <w:left w:w="80" w:type="dxa"/>
              <w:right w:w="80" w:type="dxa"/>
            </w:tcMar>
          </w:tcPr>
          <w:p>
            <w:pPr>
              <w:keepNext w:val="0"/>
              <w:keepLines/>
              <w:spacing w:after="0" w:line="240" w:lineRule="auto"/>
            </w:pPr>
            <w:r>
              <w:rPr>
                <w:rFonts w:ascii="Times New Roman" w:hAnsi="Times New Roman"/>
                <w:b w:val="0"/>
                <w:sz w:val="21"/>
              </w:rPr>
              <w:t>0.508</w:t>
            </w:r>
          </w:p>
        </w:tc>
        <w:tc>
          <w:tcPr>
            <w:tcW w:type="dxa" w:w="4824"/>
            <w:tcMar>
              <w:top w:w="65" w:type="dxa"/>
              <w:bottom w:w="65" w:type="dxa"/>
              <w:left w:w="80" w:type="dxa"/>
              <w:right w:w="80" w:type="dxa"/>
            </w:tcMar>
          </w:tcPr>
          <w:p>
            <w:pPr>
              <w:keepNext w:val="0"/>
              <w:keepLines/>
              <w:spacing w:after="0" w:line="240" w:lineRule="auto"/>
            </w:pPr>
            <w:r>
              <w:rPr>
                <w:rFonts w:ascii="Times New Roman" w:hAnsi="Times New Roman"/>
                <w:b w:val="0"/>
                <w:sz w:val="21"/>
              </w:rPr>
              <w:t>(0.588 + 0.508 + 0.662) / 3</w:t>
            </w:r>
          </w:p>
        </w:tc>
        <w:tc>
          <w:tcPr>
            <w:tcW w:type="dxa" w:w="2376"/>
            <w:tcMar>
              <w:top w:w="65" w:type="dxa"/>
              <w:bottom w:w="65" w:type="dxa"/>
              <w:left w:w="80" w:type="dxa"/>
              <w:right w:w="80" w:type="dxa"/>
            </w:tcMar>
          </w:tcPr>
          <w:p>
            <w:pPr>
              <w:keepNext w:val="0"/>
              <w:keepLines/>
              <w:spacing w:after="0" w:line="240" w:lineRule="auto"/>
            </w:pPr>
            <w:r>
              <w:rPr>
                <w:rFonts w:ascii="Times New Roman" w:hAnsi="Times New Roman"/>
                <w:b w:val="0"/>
                <w:sz w:val="21"/>
              </w:rPr>
              <w:t>0.5860000000</w:t>
            </w:r>
          </w:p>
        </w:tc>
      </w:tr>
      <w:tr>
        <w:trPr>
          <w:cantSplit/>
        </w:trPr>
        <w:tc>
          <w:tcPr>
            <w:tcW w:type="dxa" w:w="1440"/>
            <w:tcMar>
              <w:top w:w="65" w:type="dxa"/>
              <w:bottom w:w="65" w:type="dxa"/>
              <w:left w:w="80" w:type="dxa"/>
              <w:right w:w="80" w:type="dxa"/>
            </w:tcMar>
          </w:tcPr>
          <w:p>
            <w:pPr>
              <w:keepNext w:val="0"/>
              <w:keepLines/>
              <w:spacing w:after="0" w:line="240" w:lineRule="auto"/>
            </w:pPr>
            <w:r>
              <w:rPr>
                <w:rFonts w:ascii="Times New Roman" w:hAnsi="Times New Roman"/>
                <w:b w:val="0"/>
                <w:sz w:val="21"/>
              </w:rPr>
              <w:t>2017Q4</w:t>
            </w:r>
          </w:p>
        </w:tc>
        <w:tc>
          <w:tcPr>
            <w:tcW w:type="dxa" w:w="1440"/>
            <w:tcMar>
              <w:top w:w="65" w:type="dxa"/>
              <w:bottom w:w="65" w:type="dxa"/>
              <w:left w:w="80" w:type="dxa"/>
              <w:right w:w="80" w:type="dxa"/>
            </w:tcMar>
          </w:tcPr>
          <w:p>
            <w:pPr>
              <w:keepNext w:val="0"/>
              <w:keepLines/>
              <w:spacing w:after="0" w:line="240" w:lineRule="auto"/>
            </w:pPr>
            <w:r>
              <w:rPr>
                <w:rFonts w:ascii="Times New Roman" w:hAnsi="Times New Roman"/>
                <w:b w:val="0"/>
                <w:sz w:val="21"/>
              </w:rPr>
              <w:t>0.662</w:t>
            </w:r>
          </w:p>
        </w:tc>
        <w:tc>
          <w:tcPr>
            <w:tcW w:type="dxa" w:w="4824"/>
            <w:tcMar>
              <w:top w:w="65" w:type="dxa"/>
              <w:bottom w:w="65" w:type="dxa"/>
              <w:left w:w="80" w:type="dxa"/>
              <w:right w:w="80" w:type="dxa"/>
            </w:tcMar>
          </w:tcPr>
          <w:p>
            <w:pPr>
              <w:keepNext w:val="0"/>
              <w:keepLines/>
              <w:spacing w:after="0" w:line="240" w:lineRule="auto"/>
            </w:pPr>
            <w:r>
              <w:rPr>
                <w:rFonts w:ascii="Times New Roman" w:hAnsi="Times New Roman"/>
                <w:b w:val="0"/>
                <w:sz w:val="21"/>
              </w:rPr>
              <w:t>(0.508 + 0.662 + 0.569) / 3</w:t>
            </w:r>
          </w:p>
        </w:tc>
        <w:tc>
          <w:tcPr>
            <w:tcW w:type="dxa" w:w="2376"/>
            <w:tcMar>
              <w:top w:w="65" w:type="dxa"/>
              <w:bottom w:w="65" w:type="dxa"/>
              <w:left w:w="80" w:type="dxa"/>
              <w:right w:w="80" w:type="dxa"/>
            </w:tcMar>
          </w:tcPr>
          <w:p>
            <w:pPr>
              <w:keepNext w:val="0"/>
              <w:keepLines/>
              <w:spacing w:after="0" w:line="240" w:lineRule="auto"/>
            </w:pPr>
            <w:r>
              <w:rPr>
                <w:rFonts w:ascii="Times New Roman" w:hAnsi="Times New Roman"/>
                <w:b w:val="0"/>
                <w:sz w:val="21"/>
              </w:rPr>
              <w:t>0.5796666667</w:t>
            </w:r>
          </w:p>
        </w:tc>
      </w:tr>
    </w:tbl>
    <w:p>
      <w:pPr>
        <w:keepNext w:val="0"/>
        <w:keepLines w:val="0"/>
        <w:spacing w:line="254" w:lineRule="auto" w:after="120"/>
      </w:pPr>
      <w:r>
        <w:rPr>
          <w:sz w:val="21"/>
        </w:rPr>
        <w:t>Each replacement is the average of three original quarterly values. Both replacements are included in the current OLS analysis. All other EF values stay unchanged. Source: [S1], data preparation; [S2], history.</w:t>
      </w:r>
    </w:p>
    <w:p>
      <w:pPr>
        <w:keepNext w:val="0"/>
        <w:keepLines w:val="0"/>
        <w:spacing w:line="254" w:lineRule="auto" w:after="120"/>
      </w:pPr>
      <w:r>
        <w:rPr>
          <w:sz w:val="23"/>
        </w:rPr>
        <w:t>Averaging reduces the sharp changes in these two quarters. Each average uses a value from the following quarter. The adjustment therefore relies on information available later. Future forecast tests should use only information available at the forecast date.</w:t>
      </w:r>
    </w:p>
    <w:p>
      <w:pPr>
        <w:pStyle w:val="Heading2"/>
        <w:keepNext/>
        <w:pageBreakBefore w:val="0"/>
        <w:spacing w:before="200" w:after="140"/>
      </w:pPr>
      <w:r>
        <w:rPr>
          <w:rFonts w:ascii="Arial" w:hAnsi="Arial"/>
          <w:b/>
          <w:color w:val="000000"/>
        </w:rPr>
        <w:t>4.3 Dates and units</w:t>
      </w:r>
    </w:p>
    <w:p>
      <w:pPr>
        <w:keepNext w:val="0"/>
        <w:keepLines w:val="0"/>
        <w:spacing w:line="254" w:lineRule="auto" w:after="120"/>
      </w:pPr>
      <w:r>
        <w:rPr>
          <w:sz w:val="23"/>
        </w:rPr>
        <w:t>Each quarter must appear once and in order. Keep the time counter running through the break and any row exclusion. In 2014Q1, D × t equals 13. Store EF as a decimal ratio. In the earlier ARDL models, unemployment is in percent. Its quarterly change is in percentage points.</w:t>
      </w:r>
    </w:p>
    <w:p>
      <w:pPr>
        <w:pStyle w:val="Heading2"/>
        <w:keepNext/>
        <w:pageBreakBefore/>
        <w:spacing w:before="200" w:after="140"/>
      </w:pPr>
      <w:r>
        <w:rPr>
          <w:rFonts w:ascii="Arial" w:hAnsi="Arial"/>
          <w:b/>
          <w:color w:val="000000"/>
        </w:rPr>
        <w:t>4.4 Data sources and checks</w:t>
      </w:r>
    </w:p>
    <w:p>
      <w:pPr>
        <w:keepNext/>
        <w:keepLines w:val="0"/>
        <w:spacing w:line="254" w:lineRule="auto" w:after="120"/>
      </w:pPr>
      <w:r>
        <w:rPr>
          <w:b/>
          <w:sz w:val="23"/>
        </w:rPr>
        <w:t>Table 4.3. Development input inventory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2520"/>
        <w:gridCol w:w="3600"/>
        <w:gridCol w:w="3960"/>
      </w:tblGrid>
      <w:tr>
        <w:trPr>
          <w:cantSplit/>
          <w:tblHeader/>
        </w:trPr>
        <w:tc>
          <w:tcPr>
            <w:tcW w:type="dxa" w:w="2520"/>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Input</w:t>
            </w:r>
          </w:p>
        </w:tc>
        <w:tc>
          <w:tcPr>
            <w:tcW w:type="dxa" w:w="3600"/>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Role</w:t>
            </w:r>
          </w:p>
        </w:tc>
        <w:tc>
          <w:tcPr>
            <w:tcW w:type="dxa" w:w="3960"/>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Point to confirm</w:t>
            </w:r>
          </w:p>
        </w:tc>
      </w:tr>
      <w:tr>
        <w:trPr>
          <w:cantSplit/>
        </w:trPr>
        <w:tc>
          <w:tcPr>
            <w:tcW w:type="dxa" w:w="2520"/>
            <w:tcMar>
              <w:top w:w="65" w:type="dxa"/>
              <w:bottom w:w="65" w:type="dxa"/>
              <w:left w:w="80" w:type="dxa"/>
              <w:right w:w="80" w:type="dxa"/>
            </w:tcMar>
          </w:tcPr>
          <w:p>
            <w:pPr>
              <w:keepNext w:val="0"/>
              <w:keepLines/>
              <w:spacing w:after="0" w:line="240" w:lineRule="auto"/>
            </w:pPr>
            <w:r>
              <w:rPr>
                <w:rFonts w:ascii="Times New Roman" w:hAnsi="Times New Roman"/>
                <w:b w:val="0"/>
                <w:sz w:val="21"/>
              </w:rPr>
              <w:t>EF_Trend_Break.docx and supporting results</w:t>
            </w:r>
          </w:p>
        </w:tc>
        <w:tc>
          <w:tcPr>
            <w:tcW w:type="dxa" w:w="3600"/>
            <w:tcMar>
              <w:top w:w="65" w:type="dxa"/>
              <w:bottom w:w="65" w:type="dxa"/>
              <w:left w:w="80" w:type="dxa"/>
              <w:right w:w="80" w:type="dxa"/>
            </w:tcMar>
          </w:tcPr>
          <w:p>
            <w:pPr>
              <w:keepNext w:val="0"/>
              <w:keepLines/>
              <w:spacing w:after="0" w:line="240" w:lineRule="auto"/>
            </w:pPr>
            <w:r>
              <w:rPr>
                <w:rFonts w:ascii="Times New Roman" w:hAnsi="Times New Roman"/>
                <w:b w:val="0"/>
                <w:sz w:val="21"/>
              </w:rPr>
              <w:t>Latest data preparation, estimates and tests</w:t>
            </w:r>
          </w:p>
        </w:tc>
        <w:tc>
          <w:tcPr>
            <w:tcW w:type="dxa" w:w="3960"/>
            <w:tcMar>
              <w:top w:w="65" w:type="dxa"/>
              <w:bottom w:w="65" w:type="dxa"/>
              <w:left w:w="80" w:type="dxa"/>
              <w:right w:w="80" w:type="dxa"/>
            </w:tcMar>
          </w:tcPr>
          <w:p>
            <w:pPr>
              <w:keepNext w:val="0"/>
              <w:keepLines/>
              <w:spacing w:after="0" w:line="240" w:lineRule="auto"/>
            </w:pPr>
            <w:r>
              <w:rPr>
                <w:rFonts w:ascii="Times New Roman" w:hAnsi="Times New Roman"/>
                <w:b w:val="0"/>
                <w:sz w:val="21"/>
              </w:rPr>
              <w:t>Exact expense and revenue definitions used in EF</w:t>
            </w:r>
          </w:p>
        </w:tc>
      </w:tr>
      <w:tr>
        <w:trPr>
          <w:cantSplit/>
        </w:trPr>
        <w:tc>
          <w:tcPr>
            <w:tcW w:type="dxa" w:w="2520"/>
            <w:tcMar>
              <w:top w:w="65" w:type="dxa"/>
              <w:bottom w:w="65" w:type="dxa"/>
              <w:left w:w="80" w:type="dxa"/>
              <w:right w:w="80" w:type="dxa"/>
            </w:tcMar>
          </w:tcPr>
          <w:p>
            <w:pPr>
              <w:keepNext w:val="0"/>
              <w:keepLines/>
              <w:spacing w:after="0" w:line="240" w:lineRule="auto"/>
            </w:pPr>
            <w:r>
              <w:rPr>
                <w:rFonts w:ascii="Times New Roman" w:hAnsi="Times New Roman"/>
                <w:b w:val="0"/>
                <w:sz w:val="21"/>
              </w:rPr>
              <w:t>er_rate.csv in the earlier data package</w:t>
            </w:r>
          </w:p>
        </w:tc>
        <w:tc>
          <w:tcPr>
            <w:tcW w:type="dxa" w:w="3600"/>
            <w:tcMar>
              <w:top w:w="65" w:type="dxa"/>
              <w:bottom w:w="65" w:type="dxa"/>
              <w:left w:w="80" w:type="dxa"/>
              <w:right w:w="80" w:type="dxa"/>
            </w:tcMar>
          </w:tcPr>
          <w:p>
            <w:pPr>
              <w:keepNext w:val="0"/>
              <w:keepLines/>
              <w:spacing w:after="0" w:line="240" w:lineRule="auto"/>
            </w:pPr>
            <w:r>
              <w:rPr>
                <w:rFonts w:ascii="Times New Roman" w:hAnsi="Times New Roman"/>
                <w:b w:val="0"/>
                <w:sz w:val="21"/>
              </w:rPr>
              <w:t>Historical EF used in earlier work</w:t>
            </w:r>
          </w:p>
        </w:tc>
        <w:tc>
          <w:tcPr>
            <w:tcW w:type="dxa" w:w="3960"/>
            <w:tcMar>
              <w:top w:w="65" w:type="dxa"/>
              <w:bottom w:w="65" w:type="dxa"/>
              <w:left w:w="80" w:type="dxa"/>
              <w:right w:w="80" w:type="dxa"/>
            </w:tcMar>
          </w:tcPr>
          <w:p>
            <w:pPr>
              <w:keepNext w:val="0"/>
              <w:keepLines/>
              <w:spacing w:after="0" w:line="240" w:lineRule="auto"/>
            </w:pPr>
            <w:r>
              <w:rPr>
                <w:rFonts w:ascii="Times New Roman" w:hAnsi="Times New Roman"/>
                <w:b w:val="0"/>
                <w:sz w:val="21"/>
              </w:rPr>
              <w:t>Original extract and agreement with accounting records</w:t>
            </w:r>
          </w:p>
        </w:tc>
      </w:tr>
      <w:tr>
        <w:trPr>
          <w:cantSplit/>
        </w:trPr>
        <w:tc>
          <w:tcPr>
            <w:tcW w:type="dxa" w:w="2520"/>
            <w:tcMar>
              <w:top w:w="65" w:type="dxa"/>
              <w:bottom w:w="65" w:type="dxa"/>
              <w:left w:w="80" w:type="dxa"/>
              <w:right w:w="80" w:type="dxa"/>
            </w:tcMar>
          </w:tcPr>
          <w:p>
            <w:pPr>
              <w:keepNext w:val="0"/>
              <w:keepLines/>
              <w:spacing w:after="0" w:line="240" w:lineRule="auto"/>
            </w:pPr>
            <w:r>
              <w:rPr>
                <w:rFonts w:ascii="Times New Roman" w:hAnsi="Times New Roman"/>
                <w:b w:val="0"/>
                <w:sz w:val="21"/>
              </w:rPr>
              <w:t>macro_candidates.csv</w:t>
            </w:r>
          </w:p>
        </w:tc>
        <w:tc>
          <w:tcPr>
            <w:tcW w:type="dxa" w:w="3600"/>
            <w:tcMar>
              <w:top w:w="65" w:type="dxa"/>
              <w:bottom w:w="65" w:type="dxa"/>
              <w:left w:w="80" w:type="dxa"/>
              <w:right w:w="80" w:type="dxa"/>
            </w:tcMar>
          </w:tcPr>
          <w:p>
            <w:pPr>
              <w:keepNext w:val="0"/>
              <w:keepLines/>
              <w:spacing w:after="0" w:line="240" w:lineRule="auto"/>
            </w:pPr>
            <w:r>
              <w:rPr>
                <w:rFonts w:ascii="Times New Roman" w:hAnsi="Times New Roman"/>
                <w:b w:val="0"/>
                <w:sz w:val="21"/>
              </w:rPr>
              <w:t>Historical economic inputs and selection results</w:t>
            </w:r>
          </w:p>
        </w:tc>
        <w:tc>
          <w:tcPr>
            <w:tcW w:type="dxa" w:w="3960"/>
            <w:tcMar>
              <w:top w:w="65" w:type="dxa"/>
              <w:bottom w:w="65" w:type="dxa"/>
              <w:left w:w="80" w:type="dxa"/>
              <w:right w:w="80" w:type="dxa"/>
            </w:tcMar>
          </w:tcPr>
          <w:p>
            <w:pPr>
              <w:keepNext w:val="0"/>
              <w:keepLines/>
              <w:spacing w:after="0" w:line="240" w:lineRule="auto"/>
            </w:pPr>
            <w:r>
              <w:rPr>
                <w:rFonts w:ascii="Times New Roman" w:hAnsi="Times New Roman"/>
                <w:b w:val="0"/>
                <w:sz w:val="21"/>
              </w:rPr>
              <w:t>Input definitions, data version and revision rules</w:t>
            </w:r>
          </w:p>
        </w:tc>
      </w:tr>
      <w:tr>
        <w:trPr>
          <w:cantSplit/>
        </w:trPr>
        <w:tc>
          <w:tcPr>
            <w:tcW w:type="dxa" w:w="2520"/>
            <w:tcMar>
              <w:top w:w="65" w:type="dxa"/>
              <w:bottom w:w="65" w:type="dxa"/>
              <w:left w:w="80" w:type="dxa"/>
              <w:right w:w="80" w:type="dxa"/>
            </w:tcMar>
          </w:tcPr>
          <w:p>
            <w:pPr>
              <w:keepNext w:val="0"/>
              <w:keepLines/>
              <w:spacing w:after="0" w:line="240" w:lineRule="auto"/>
            </w:pPr>
            <w:r>
              <w:rPr>
                <w:rFonts w:ascii="Times New Roman" w:hAnsi="Times New Roman"/>
                <w:b w:val="0"/>
                <w:sz w:val="21"/>
              </w:rPr>
              <w:t>s4_unemployment.csv</w:t>
            </w:r>
          </w:p>
        </w:tc>
        <w:tc>
          <w:tcPr>
            <w:tcW w:type="dxa" w:w="3600"/>
            <w:tcMar>
              <w:top w:w="65" w:type="dxa"/>
              <w:bottom w:w="65" w:type="dxa"/>
              <w:left w:w="80" w:type="dxa"/>
              <w:right w:w="80" w:type="dxa"/>
            </w:tcMar>
          </w:tcPr>
          <w:p>
            <w:pPr>
              <w:keepNext w:val="0"/>
              <w:keepLines/>
              <w:spacing w:after="0" w:line="240" w:lineRule="auto"/>
            </w:pPr>
            <w:r>
              <w:rPr>
                <w:rFonts w:ascii="Times New Roman" w:hAnsi="Times New Roman"/>
                <w:b w:val="0"/>
                <w:sz w:val="21"/>
              </w:rPr>
              <w:t>Earlier S4 unemployment path</w:t>
            </w:r>
          </w:p>
        </w:tc>
        <w:tc>
          <w:tcPr>
            <w:tcW w:type="dxa" w:w="3960"/>
            <w:tcMar>
              <w:top w:w="65" w:type="dxa"/>
              <w:bottom w:w="65" w:type="dxa"/>
              <w:left w:w="80" w:type="dxa"/>
              <w:right w:w="80" w:type="dxa"/>
            </w:tcMar>
          </w:tcPr>
          <w:p>
            <w:pPr>
              <w:keepNext w:val="0"/>
              <w:keepLines/>
              <w:spacing w:after="0" w:line="240" w:lineRule="auto"/>
            </w:pPr>
            <w:r>
              <w:rPr>
                <w:rFonts w:ascii="Times New Roman" w:hAnsi="Times New Roman"/>
                <w:b w:val="0"/>
                <w:sz w:val="21"/>
              </w:rPr>
              <w:t>Scenario version and approval</w:t>
            </w:r>
          </w:p>
        </w:tc>
      </w:tr>
      <w:tr>
        <w:trPr>
          <w:cantSplit/>
        </w:trPr>
        <w:tc>
          <w:tcPr>
            <w:tcW w:type="dxa" w:w="2520"/>
            <w:tcMar>
              <w:top w:w="65" w:type="dxa"/>
              <w:bottom w:w="65" w:type="dxa"/>
              <w:left w:w="80" w:type="dxa"/>
              <w:right w:w="80" w:type="dxa"/>
            </w:tcMar>
          </w:tcPr>
          <w:p>
            <w:pPr>
              <w:keepNext w:val="0"/>
              <w:keepLines/>
              <w:spacing w:after="0" w:line="240" w:lineRule="auto"/>
            </w:pPr>
            <w:r>
              <w:rPr>
                <w:rFonts w:ascii="Times New Roman" w:hAnsi="Times New Roman"/>
                <w:b w:val="0"/>
                <w:sz w:val="21"/>
              </w:rPr>
              <w:t>Saved comparison results</w:t>
            </w:r>
          </w:p>
        </w:tc>
        <w:tc>
          <w:tcPr>
            <w:tcW w:type="dxa" w:w="3600"/>
            <w:tcMar>
              <w:top w:w="65" w:type="dxa"/>
              <w:bottom w:w="65" w:type="dxa"/>
              <w:left w:w="80" w:type="dxa"/>
              <w:right w:w="80" w:type="dxa"/>
            </w:tcMar>
          </w:tcPr>
          <w:p>
            <w:pPr>
              <w:keepNext w:val="0"/>
              <w:keepLines/>
              <w:spacing w:after="0" w:line="240" w:lineRule="auto"/>
            </w:pPr>
            <w:r>
              <w:rPr>
                <w:rFonts w:ascii="Times New Roman" w:hAnsi="Times New Roman"/>
                <w:b w:val="0"/>
                <w:sz w:val="21"/>
              </w:rPr>
              <w:t>Earlier estimates, tests and forecasts</w:t>
            </w:r>
          </w:p>
        </w:tc>
        <w:tc>
          <w:tcPr>
            <w:tcW w:type="dxa" w:w="3960"/>
            <w:tcMar>
              <w:top w:w="65" w:type="dxa"/>
              <w:bottom w:w="65" w:type="dxa"/>
              <w:left w:w="80" w:type="dxa"/>
              <w:right w:w="80" w:type="dxa"/>
            </w:tcMar>
          </w:tcPr>
          <w:p>
            <w:pPr>
              <w:keepNext w:val="0"/>
              <w:keepLines/>
              <w:spacing w:after="0" w:line="240" w:lineRule="auto"/>
            </w:pPr>
            <w:r>
              <w:rPr>
                <w:rFonts w:ascii="Times New Roman" w:hAnsi="Times New Roman"/>
                <w:b w:val="0"/>
                <w:sz w:val="21"/>
              </w:rPr>
              <w:t>The model version linked to each result</w:t>
            </w:r>
          </w:p>
        </w:tc>
      </w:tr>
    </w:tbl>
    <w:p>
      <w:pPr>
        <w:keepNext w:val="0"/>
        <w:keepLines w:val="0"/>
        <w:spacing w:line="254" w:lineRule="auto" w:after="120"/>
      </w:pPr>
      <w:r>
        <w:rPr>
          <w:sz w:val="21"/>
        </w:rPr>
        <w:t>The files show how the analysis was prepared. The team still needs to match the source data to the accounting records. Complete this check before using EF to calculate expense dollars. Source: [S1–S5]; Section 11.4 lists the files.</w:t>
      </w:r>
    </w:p>
    <w:p>
      <w:pPr>
        <w:pStyle w:val="Heading2"/>
        <w:keepNext/>
        <w:pageBreakBefore w:val="0"/>
        <w:spacing w:before="200" w:after="140"/>
      </w:pPr>
      <w:r>
        <w:rPr>
          <w:rFonts w:ascii="Arial" w:hAnsi="Arial"/>
          <w:b/>
          <w:color w:val="000000"/>
        </w:rPr>
        <w:t>4.5 Missing and unusual values</w:t>
      </w:r>
    </w:p>
    <w:p>
      <w:pPr>
        <w:keepNext w:val="0"/>
        <w:keepLines w:val="0"/>
        <w:spacing w:line="254" w:lineRule="auto" w:after="120"/>
      </w:pPr>
      <w:r>
        <w:rPr>
          <w:sz w:val="23"/>
        </w:rPr>
        <w:t>The recorded histories contain 51 and 60 consecutive quarterly values. The analysis adds no other missing-value estimates. It adjusts only the two listed 2017 values. Earlier ARDL work calculated past-quarter inputs on the complete prepared series first. It then excluded 2017Q4 as a response row. The adjusted 2017Q4 EF still provides the previous-quarter input for 2018Q1.</w:t>
      </w:r>
    </w:p>
    <w:p>
      <w:pPr>
        <w:pStyle w:val="Heading2"/>
        <w:keepNext/>
        <w:pageBreakBefore w:val="0"/>
        <w:spacing w:before="200" w:after="140"/>
      </w:pPr>
      <w:r>
        <w:rPr>
          <w:rFonts w:ascii="Arial" w:hAnsi="Arial"/>
          <w:b/>
          <w:color w:val="000000"/>
        </w:rPr>
        <w:t>4.6 Coverage of the history</w:t>
      </w:r>
    </w:p>
    <w:p>
      <w:pPr>
        <w:keepNext w:val="0"/>
        <w:keepLines w:val="0"/>
        <w:spacing w:line="254" w:lineRule="auto" w:after="120"/>
      </w:pPr>
      <w:r>
        <w:rPr>
          <w:sz w:val="23"/>
        </w:rPr>
        <w:t>The development sample has 12 quarters before the break and 39 after it. The longer history adds nine post-break quarters. Evidence for the pre-break trend is therefore limited. The post-break trend also changes with the ending date. Acquisitions, business changes and accounting changes may affect EF independently of time.</w:t>
      </w:r>
    </w:p>
    <w:p>
      <w:pPr>
        <w:pStyle w:val="Heading2"/>
        <w:keepNext/>
        <w:pageBreakBefore w:val="0"/>
        <w:spacing w:before="200" w:after="140"/>
      </w:pPr>
      <w:r>
        <w:rPr>
          <w:rFonts w:ascii="Arial" w:hAnsi="Arial"/>
          <w:b/>
          <w:color w:val="000000"/>
        </w:rPr>
        <w:t>4.7 Data limitations and conclusion</w:t>
      </w:r>
    </w:p>
    <w:p>
      <w:pPr>
        <w:keepNext w:val="0"/>
        <w:keepLines w:val="0"/>
        <w:spacing w:line="254" w:lineRule="auto" w:after="120"/>
      </w:pPr>
      <w:r>
        <w:rPr>
          <w:sz w:val="23"/>
        </w:rPr>
        <w:t>The team needs to confirm which expenses and revenues form EF. It also needs to confirm the reporting entities and treatment of one-off items. These definitions determine how EF links to Noncomp dollars. Section 11.5 records them as INFO-01 and INFO-02. The current model output remains an EF ratio until that mapping is agreed.</w:t>
      </w:r>
    </w:p>
    <w:p>
      <w:pPr>
        <w:pStyle w:val="Heading1"/>
        <w:keepNext/>
        <w:pageBreakBefore/>
        <w:spacing w:before="0" w:after="140"/>
      </w:pPr>
      <w:r>
        <w:rPr>
          <w:rFonts w:ascii="Arial" w:hAnsi="Arial"/>
          <w:b/>
          <w:color w:val="000000"/>
        </w:rPr>
        <w:t>5. Linkages with Other Models</w:t>
      </w:r>
    </w:p>
    <w:p>
      <w:pPr>
        <w:pStyle w:val="Heading2"/>
        <w:keepNext/>
        <w:pageBreakBefore w:val="0"/>
        <w:spacing w:before="200" w:after="140"/>
      </w:pPr>
      <w:r>
        <w:rPr>
          <w:rFonts w:ascii="Arial" w:hAnsi="Arial"/>
          <w:b/>
          <w:color w:val="000000"/>
        </w:rPr>
        <w:t>5.1 Role within Noncomp development</w:t>
      </w:r>
    </w:p>
    <w:p>
      <w:pPr>
        <w:keepNext w:val="0"/>
        <w:keepLines w:val="0"/>
        <w:spacing w:line="254" w:lineRule="auto" w:after="120"/>
      </w:pPr>
      <w:r>
        <w:rPr>
          <w:sz w:val="23"/>
        </w:rPr>
        <w:t>The latest analysis supplies a historical EF trend. The team must decide how to use it in a forecast. One option is to estimate the trend and forecasting terms together. Another is to model the differences from the trend. A separate trend adjustment is also possible. Each approach needs its own tests.</w:t>
      </w:r>
    </w:p>
    <w:p>
      <w:pPr>
        <w:keepNext/>
        <w:keepLines w:val="0"/>
        <w:spacing w:line="254" w:lineRule="auto" w:after="120"/>
      </w:pPr>
      <w:r>
        <w:rPr>
          <w:b/>
          <w:sz w:val="23"/>
        </w:rPr>
        <w:t>Table 5.1. Potential input and output linkages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3240"/>
        <w:gridCol w:w="3888"/>
        <w:gridCol w:w="2952"/>
      </w:tblGrid>
      <w:tr>
        <w:trPr>
          <w:cantSplit/>
          <w:tblHeader/>
        </w:trPr>
        <w:tc>
          <w:tcPr>
            <w:tcW w:type="dxa" w:w="3240"/>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Linkage</w:t>
            </w:r>
          </w:p>
        </w:tc>
        <w:tc>
          <w:tcPr>
            <w:tcW w:type="dxa" w:w="3888"/>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What must agree</w:t>
            </w:r>
          </w:p>
        </w:tc>
        <w:tc>
          <w:tcPr>
            <w:tcW w:type="dxa" w:w="2952"/>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Status</w:t>
            </w:r>
          </w:p>
        </w:tc>
      </w:tr>
      <w:tr>
        <w:trPr>
          <w:cantSplit/>
        </w:trPr>
        <w:tc>
          <w:tcPr>
            <w:tcW w:type="dxa" w:w="3240"/>
            <w:tcMar>
              <w:top w:w="65" w:type="dxa"/>
              <w:bottom w:w="65" w:type="dxa"/>
              <w:left w:w="80" w:type="dxa"/>
              <w:right w:w="80" w:type="dxa"/>
            </w:tcMar>
          </w:tcPr>
          <w:p>
            <w:pPr>
              <w:keepNext w:val="0"/>
              <w:keepLines/>
              <w:spacing w:after="0" w:line="240" w:lineRule="auto"/>
            </w:pPr>
            <w:r>
              <w:rPr>
                <w:rFonts w:ascii="Times New Roman" w:hAnsi="Times New Roman"/>
                <w:b w:val="0"/>
                <w:sz w:val="21"/>
              </w:rPr>
              <w:t>Economic scenarios → EF forecast</w:t>
            </w:r>
          </w:p>
        </w:tc>
        <w:tc>
          <w:tcPr>
            <w:tcW w:type="dxa" w:w="3888"/>
            <w:tcMar>
              <w:top w:w="65" w:type="dxa"/>
              <w:bottom w:w="65" w:type="dxa"/>
              <w:left w:w="80" w:type="dxa"/>
              <w:right w:w="80" w:type="dxa"/>
            </w:tcMar>
          </w:tcPr>
          <w:p>
            <w:pPr>
              <w:keepNext w:val="0"/>
              <w:keepLines/>
              <w:spacing w:after="0" w:line="240" w:lineRule="auto"/>
            </w:pPr>
            <w:r>
              <w:rPr>
                <w:rFonts w:ascii="Times New Roman" w:hAnsi="Times New Roman"/>
                <w:b w:val="0"/>
                <w:sz w:val="21"/>
              </w:rPr>
              <w:t>Scenario version, units and timing</w:t>
            </w:r>
          </w:p>
        </w:tc>
        <w:tc>
          <w:tcPr>
            <w:tcW w:type="dxa" w:w="2952"/>
            <w:tcMar>
              <w:top w:w="65" w:type="dxa"/>
              <w:bottom w:w="65" w:type="dxa"/>
              <w:left w:w="80" w:type="dxa"/>
              <w:right w:w="80" w:type="dxa"/>
            </w:tcMar>
          </w:tcPr>
          <w:p>
            <w:pPr>
              <w:keepNext w:val="0"/>
              <w:keepLines/>
              <w:spacing w:after="0" w:line="240" w:lineRule="auto"/>
            </w:pPr>
            <w:r>
              <w:rPr>
                <w:rFonts w:ascii="Times New Roman" w:hAnsi="Times New Roman"/>
                <w:b w:val="0"/>
                <w:sz w:val="21"/>
              </w:rPr>
              <w:t>Tested for the earlier ARDL models</w:t>
            </w:r>
          </w:p>
        </w:tc>
      </w:tr>
      <w:tr>
        <w:trPr>
          <w:cantSplit/>
        </w:trPr>
        <w:tc>
          <w:tcPr>
            <w:tcW w:type="dxa" w:w="3240"/>
            <w:tcMar>
              <w:top w:w="65" w:type="dxa"/>
              <w:bottom w:w="65" w:type="dxa"/>
              <w:left w:w="80" w:type="dxa"/>
              <w:right w:w="80" w:type="dxa"/>
            </w:tcMar>
          </w:tcPr>
          <w:p>
            <w:pPr>
              <w:keepNext w:val="0"/>
              <w:keepLines/>
              <w:spacing w:after="0" w:line="240" w:lineRule="auto"/>
            </w:pPr>
            <w:r>
              <w:rPr>
                <w:rFonts w:ascii="Times New Roman" w:hAnsi="Times New Roman"/>
                <w:b w:val="0"/>
                <w:sz w:val="21"/>
              </w:rPr>
              <w:t>Latest trend → updated forecast</w:t>
            </w:r>
          </w:p>
        </w:tc>
        <w:tc>
          <w:tcPr>
            <w:tcW w:type="dxa" w:w="3888"/>
            <w:tcMar>
              <w:top w:w="65" w:type="dxa"/>
              <w:bottom w:w="65" w:type="dxa"/>
              <w:left w:w="80" w:type="dxa"/>
              <w:right w:w="80" w:type="dxa"/>
            </w:tcMar>
          </w:tcPr>
          <w:p>
            <w:pPr>
              <w:keepNext w:val="0"/>
              <w:keepLines/>
              <w:spacing w:after="0" w:line="240" w:lineRule="auto"/>
            </w:pPr>
            <w:r>
              <w:rPr>
                <w:rFonts w:ascii="Times New Roman" w:hAnsi="Times New Roman"/>
                <w:b w:val="0"/>
                <w:sz w:val="21"/>
              </w:rPr>
              <w:t>Trend terms and estimation method</w:t>
            </w:r>
          </w:p>
        </w:tc>
        <w:tc>
          <w:tcPr>
            <w:tcW w:type="dxa" w:w="2952"/>
            <w:tcMar>
              <w:top w:w="65" w:type="dxa"/>
              <w:bottom w:w="65" w:type="dxa"/>
              <w:left w:w="80" w:type="dxa"/>
              <w:right w:w="80" w:type="dxa"/>
            </w:tcMar>
          </w:tcPr>
          <w:p>
            <w:pPr>
              <w:keepNext w:val="0"/>
              <w:keepLines/>
              <w:spacing w:after="0" w:line="240" w:lineRule="auto"/>
            </w:pPr>
            <w:r>
              <w:rPr>
                <w:rFonts w:ascii="Times New Roman" w:hAnsi="Times New Roman"/>
                <w:b w:val="0"/>
                <w:sz w:val="21"/>
              </w:rPr>
              <w:t>Updated equation still needed</w:t>
            </w:r>
          </w:p>
        </w:tc>
      </w:tr>
      <w:tr>
        <w:trPr>
          <w:cantSplit/>
        </w:trPr>
        <w:tc>
          <w:tcPr>
            <w:tcW w:type="dxa" w:w="3240"/>
            <w:tcMar>
              <w:top w:w="65" w:type="dxa"/>
              <w:bottom w:w="65" w:type="dxa"/>
              <w:left w:w="80" w:type="dxa"/>
              <w:right w:w="80" w:type="dxa"/>
            </w:tcMar>
          </w:tcPr>
          <w:p>
            <w:pPr>
              <w:keepNext w:val="0"/>
              <w:keepLines/>
              <w:spacing w:after="0" w:line="240" w:lineRule="auto"/>
            </w:pPr>
            <w:r>
              <w:rPr>
                <w:rFonts w:ascii="Times New Roman" w:hAnsi="Times New Roman"/>
                <w:b w:val="0"/>
                <w:sz w:val="21"/>
              </w:rPr>
              <w:t>EF forecast × revenue → expenses covered by EF</w:t>
            </w:r>
          </w:p>
        </w:tc>
        <w:tc>
          <w:tcPr>
            <w:tcW w:type="dxa" w:w="3888"/>
            <w:tcMar>
              <w:top w:w="65" w:type="dxa"/>
              <w:bottom w:w="65" w:type="dxa"/>
              <w:left w:w="80" w:type="dxa"/>
              <w:right w:w="80" w:type="dxa"/>
            </w:tcMar>
          </w:tcPr>
          <w:p>
            <w:pPr>
              <w:keepNext w:val="0"/>
              <w:keepLines/>
              <w:spacing w:after="0" w:line="240" w:lineRule="auto"/>
            </w:pPr>
            <w:r>
              <w:rPr>
                <w:rFonts w:ascii="Times New Roman" w:hAnsi="Times New Roman"/>
                <w:b w:val="0"/>
                <w:sz w:val="21"/>
              </w:rPr>
              <w:t>Expense definitions, quarter and scenario</w:t>
            </w:r>
          </w:p>
        </w:tc>
        <w:tc>
          <w:tcPr>
            <w:tcW w:type="dxa" w:w="2952"/>
            <w:tcMar>
              <w:top w:w="65" w:type="dxa"/>
              <w:bottom w:w="65" w:type="dxa"/>
              <w:left w:w="80" w:type="dxa"/>
              <w:right w:w="80" w:type="dxa"/>
            </w:tcMar>
          </w:tcPr>
          <w:p>
            <w:pPr>
              <w:keepNext w:val="0"/>
              <w:keepLines/>
              <w:spacing w:after="0" w:line="240" w:lineRule="auto"/>
            </w:pPr>
            <w:r>
              <w:rPr>
                <w:rFonts w:ascii="Times New Roman" w:hAnsi="Times New Roman"/>
                <w:b w:val="0"/>
                <w:sz w:val="21"/>
              </w:rPr>
              <w:t>Confirm the accounting calculation</w:t>
            </w:r>
          </w:p>
        </w:tc>
      </w:tr>
      <w:tr>
        <w:trPr>
          <w:cantSplit/>
        </w:trPr>
        <w:tc>
          <w:tcPr>
            <w:tcW w:type="dxa" w:w="3240"/>
            <w:tcMar>
              <w:top w:w="65" w:type="dxa"/>
              <w:bottom w:w="65" w:type="dxa"/>
              <w:left w:w="80" w:type="dxa"/>
              <w:right w:w="80" w:type="dxa"/>
            </w:tcMar>
          </w:tcPr>
          <w:p>
            <w:pPr>
              <w:keepNext w:val="0"/>
              <w:keepLines/>
              <w:spacing w:after="0" w:line="240" w:lineRule="auto"/>
            </w:pPr>
            <w:r>
              <w:rPr>
                <w:rFonts w:ascii="Times New Roman" w:hAnsi="Times New Roman"/>
                <w:b w:val="0"/>
                <w:sz w:val="21"/>
              </w:rPr>
              <w:t>Expenses covered by EF − compensation → Noncomp</w:t>
            </w:r>
          </w:p>
        </w:tc>
        <w:tc>
          <w:tcPr>
            <w:tcW w:type="dxa" w:w="3888"/>
            <w:tcMar>
              <w:top w:w="65" w:type="dxa"/>
              <w:bottom w:w="65" w:type="dxa"/>
              <w:left w:w="80" w:type="dxa"/>
              <w:right w:w="80" w:type="dxa"/>
            </w:tcMar>
          </w:tcPr>
          <w:p>
            <w:pPr>
              <w:keepNext w:val="0"/>
              <w:keepLines/>
              <w:spacing w:after="0" w:line="240" w:lineRule="auto"/>
            </w:pPr>
            <w:r>
              <w:rPr>
                <w:rFonts w:ascii="Times New Roman" w:hAnsi="Times New Roman"/>
                <w:b w:val="0"/>
                <w:sz w:val="21"/>
              </w:rPr>
              <w:t>EF must include compensation for this subtraction to apply</w:t>
            </w:r>
          </w:p>
        </w:tc>
        <w:tc>
          <w:tcPr>
            <w:tcW w:type="dxa" w:w="2952"/>
            <w:tcMar>
              <w:top w:w="65" w:type="dxa"/>
              <w:bottom w:w="65" w:type="dxa"/>
              <w:left w:w="80" w:type="dxa"/>
              <w:right w:w="80" w:type="dxa"/>
            </w:tcMar>
          </w:tcPr>
          <w:p>
            <w:pPr>
              <w:keepNext w:val="0"/>
              <w:keepLines/>
              <w:spacing w:after="0" w:line="240" w:lineRule="auto"/>
            </w:pPr>
            <w:r>
              <w:rPr>
                <w:rFonts w:ascii="Times New Roman" w:hAnsi="Times New Roman"/>
                <w:b w:val="0"/>
                <w:sz w:val="21"/>
              </w:rPr>
              <w:t>Confirm the accounting calculation</w:t>
            </w:r>
          </w:p>
        </w:tc>
      </w:tr>
    </w:tbl>
    <w:p>
      <w:pPr>
        <w:keepNext w:val="0"/>
        <w:keepLines w:val="0"/>
        <w:spacing w:line="254" w:lineRule="auto" w:after="120"/>
      </w:pPr>
      <w:r>
        <w:rPr>
          <w:sz w:val="21"/>
        </w:rPr>
        <w:t>The table shows where EF could connect to other models. Confirm and test each connection before calculating expense dollars. Source: [S1–S5]; INFO-01 covers the accounting definitions.</w:t>
      </w:r>
    </w:p>
    <w:p>
      <w:pPr>
        <w:pStyle w:val="Heading2"/>
        <w:keepNext/>
        <w:pageBreakBefore w:val="0"/>
        <w:spacing w:before="200" w:after="140"/>
      </w:pPr>
      <w:r>
        <w:rPr>
          <w:rFonts w:ascii="Arial" w:hAnsi="Arial"/>
          <w:b/>
          <w:color w:val="000000"/>
        </w:rPr>
        <w:t>5.2 Converting EF into Noncomp dollars</w:t>
      </w:r>
    </w:p>
    <w:p>
      <w:pPr>
        <w:keepNext w:val="0"/>
        <w:keepLines w:val="0"/>
        <w:spacing w:line="254" w:lineRule="auto" w:after="120"/>
      </w:pPr>
      <w:r>
        <w:rPr>
          <w:sz w:val="23"/>
        </w:rPr>
        <w:t>First confirm which expenses are included in EF. If they include compensation, use matching revenue and compensation amounts. The calculation would be Noncomp = EF × operating revenue − compensation, plus any agreed accounting adjustments. If EF already excludes compensation, leave compensation out of this subtraction. The definitions must cover the same expenses and reporting entities.</w:t>
      </w:r>
    </w:p>
    <w:p>
      <w:pPr>
        <w:pStyle w:val="Heading2"/>
        <w:keepNext/>
        <w:pageBreakBefore w:val="0"/>
        <w:spacing w:before="200" w:after="140"/>
      </w:pPr>
      <w:r>
        <w:rPr>
          <w:rFonts w:ascii="Arial" w:hAnsi="Arial"/>
          <w:b/>
          <w:color w:val="000000"/>
        </w:rPr>
        <w:t>5.3 Consistent inputs</w:t>
      </w:r>
    </w:p>
    <w:p>
      <w:pPr>
        <w:keepNext w:val="0"/>
        <w:keepLines w:val="0"/>
        <w:spacing w:line="254" w:lineRule="auto" w:after="120"/>
      </w:pPr>
      <w:r>
        <w:rPr>
          <w:sz w:val="23"/>
        </w:rPr>
        <w:t>Use the same quarter and economic scenario for EF, revenue and compensation. Check that the implied expenses match the agreed accounting definitions. Apply each economic or trend effect once. Record any extra adjustment separately so the team can check for double counting.</w:t>
      </w:r>
    </w:p>
    <w:p>
      <w:pPr>
        <w:pStyle w:val="Heading2"/>
        <w:keepNext/>
        <w:pageBreakBefore w:val="0"/>
        <w:spacing w:before="200" w:after="140"/>
      </w:pPr>
      <w:r>
        <w:rPr>
          <w:rFonts w:ascii="Arial" w:hAnsi="Arial"/>
          <w:b/>
          <w:color w:val="000000"/>
        </w:rPr>
        <w:t>5.4 Linkage conclusion</w:t>
      </w:r>
    </w:p>
    <w:p>
      <w:pPr>
        <w:keepNext w:val="0"/>
        <w:keepLines w:val="0"/>
        <w:spacing w:line="254" w:lineRule="auto" w:after="120"/>
      </w:pPr>
      <w:r>
        <w:rPr>
          <w:sz w:val="23"/>
        </w:rPr>
        <w:t>EF can support Noncomp forecasts once these connections are confirmed. The revenue and compensation owners should review the definitions and test the calculations before release.</w:t>
      </w:r>
    </w:p>
    <w:p>
      <w:pPr>
        <w:pStyle w:val="Heading1"/>
        <w:keepNext/>
        <w:pageBreakBefore/>
        <w:spacing w:before="0" w:after="140"/>
      </w:pPr>
      <w:r>
        <w:rPr>
          <w:rFonts w:ascii="Arial" w:hAnsi="Arial"/>
          <w:b/>
          <w:color w:val="000000"/>
        </w:rPr>
        <w:t>6. Model Testing</w:t>
      </w:r>
    </w:p>
    <w:p>
      <w:pPr>
        <w:pStyle w:val="Heading2"/>
        <w:keepNext/>
        <w:pageBreakBefore w:val="0"/>
        <w:spacing w:before="200" w:after="140"/>
      </w:pPr>
      <w:r>
        <w:rPr>
          <w:rFonts w:ascii="Arial" w:hAnsi="Arial"/>
          <w:b/>
          <w:color w:val="000000"/>
        </w:rPr>
        <w:t>6.1 Testing approach and historical fit</w:t>
      </w:r>
    </w:p>
    <w:p>
      <w:pPr>
        <w:keepNext w:val="0"/>
        <w:keepLines w:val="0"/>
        <w:spacing w:line="254" w:lineRule="auto" w:after="120"/>
      </w:pPr>
      <w:r>
        <w:rPr>
          <w:sz w:val="23"/>
        </w:rPr>
        <w:t>The tests ask four questions. How closely does the model follow history? What patterns remain in its errors? How do results change when more history is added? How accurate are its forecasts? The latest analysis covers the first three questions. Earlier ARDL models provide the forecast evidence.</w:t>
      </w:r>
    </w:p>
    <w:p>
      <w:pPr>
        <w:keepNext/>
        <w:keepLines w:val="0"/>
        <w:spacing w:line="254" w:lineRule="auto" w:after="120"/>
      </w:pPr>
      <w:r>
        <w:rPr>
          <w:b/>
          <w:sz w:val="23"/>
        </w:rPr>
        <w:t>Figure 6.1. Prepared EF and fitted trend lines</w:t>
      </w:r>
    </w:p>
    <w:p>
      <w:pPr>
        <w:keepNext/>
        <w:spacing w:after="60"/>
      </w:pPr>
      <w:r>
        <w:drawing>
          <wp:inline xmlns:a="http://schemas.openxmlformats.org/drawingml/2006/main" xmlns:pic="http://schemas.openxmlformats.org/drawingml/2006/picture">
            <wp:extent cx="6309360" cy="2593848"/>
            <wp:docPr id="1" name="Picture 1"/>
            <wp:cNvGraphicFramePr>
              <a:graphicFrameLocks noChangeAspect="1"/>
            </wp:cNvGraphicFramePr>
            <a:graphic>
              <a:graphicData uri="http://schemas.openxmlformats.org/drawingml/2006/picture">
                <pic:pic>
                  <pic:nvPicPr>
                    <pic:cNvPr id="0" name="fit.png"/>
                    <pic:cNvPicPr/>
                  </pic:nvPicPr>
                  <pic:blipFill>
                    <a:blip r:embed="rId18"/>
                    <a:stretch>
                      <a:fillRect/>
                    </a:stretch>
                  </pic:blipFill>
                  <pic:spPr>
                    <a:xfrm>
                      <a:off x="0" y="0"/>
                      <a:ext cx="6309360" cy="2593848"/>
                    </a:xfrm>
                    <a:prstGeom prst="rect"/>
                  </pic:spPr>
                </pic:pic>
              </a:graphicData>
            </a:graphic>
          </wp:inline>
        </w:drawing>
      </w:r>
    </w:p>
    <w:p>
      <w:pPr>
        <w:keepNext w:val="0"/>
        <w:keepLines w:val="0"/>
        <w:spacing w:line="254" w:lineRule="auto" w:after="120"/>
      </w:pPr>
      <w:r>
        <w:rPr>
          <w:sz w:val="21"/>
        </w:rPr>
        <w:t>The development line ends at 2023Q3. The longer-history line uses data through 2025Q4. The vertical markers show the 2014Q1 break and the end of the development sample. Both lines are fitted to the observations in their own time windows. Source: [S2], development.history and full_history.history.</w:t>
      </w:r>
    </w:p>
    <w:p>
      <w:pPr>
        <w:keepNext/>
        <w:keepLines w:val="0"/>
        <w:spacing w:line="254" w:lineRule="auto" w:after="120"/>
      </w:pPr>
      <w:r>
        <w:rPr>
          <w:b/>
          <w:sz w:val="23"/>
        </w:rPr>
        <w:t>Table 6.1. Fit to historical data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5472"/>
        <w:gridCol w:w="2304"/>
        <w:gridCol w:w="2304"/>
      </w:tblGrid>
      <w:tr>
        <w:trPr>
          <w:cantSplit/>
          <w:tblHeader/>
        </w:trPr>
        <w:tc>
          <w:tcPr>
            <w:tcW w:type="dxa" w:w="5472"/>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Measure</w:t>
            </w:r>
          </w:p>
        </w:tc>
        <w:tc>
          <w:tcPr>
            <w:tcW w:type="dxa" w:w="2304"/>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Development</w:t>
            </w:r>
          </w:p>
        </w:tc>
        <w:tc>
          <w:tcPr>
            <w:tcW w:type="dxa" w:w="2304"/>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Full history</w:t>
            </w:r>
          </w:p>
        </w:tc>
      </w:tr>
      <w:tr>
        <w:trPr>
          <w:cantSplit/>
        </w:trPr>
        <w:tc>
          <w:tcPr>
            <w:tcW w:type="dxa" w:w="5472"/>
            <w:tcMar>
              <w:top w:w="65" w:type="dxa"/>
              <w:bottom w:w="65" w:type="dxa"/>
              <w:left w:w="80" w:type="dxa"/>
              <w:right w:w="80" w:type="dxa"/>
            </w:tcMar>
          </w:tcPr>
          <w:p>
            <w:pPr>
              <w:keepNext w:val="0"/>
              <w:keepLines/>
              <w:spacing w:after="0" w:line="240" w:lineRule="auto"/>
            </w:pPr>
            <w:r>
              <w:rPr>
                <w:rFonts w:ascii="Times New Roman" w:hAnsi="Times New Roman"/>
                <w:b w:val="0"/>
                <w:sz w:val="21"/>
              </w:rPr>
              <w:t>Observations</w:t>
            </w:r>
          </w:p>
        </w:tc>
        <w:tc>
          <w:tcPr>
            <w:tcW w:type="dxa" w:w="2304"/>
            <w:tcMar>
              <w:top w:w="65" w:type="dxa"/>
              <w:bottom w:w="65" w:type="dxa"/>
              <w:left w:w="80" w:type="dxa"/>
              <w:right w:w="80" w:type="dxa"/>
            </w:tcMar>
          </w:tcPr>
          <w:p>
            <w:pPr>
              <w:keepNext w:val="0"/>
              <w:keepLines/>
              <w:spacing w:after="0" w:line="240" w:lineRule="auto"/>
            </w:pPr>
            <w:r>
              <w:rPr>
                <w:rFonts w:ascii="Times New Roman" w:hAnsi="Times New Roman"/>
                <w:b w:val="0"/>
                <w:sz w:val="21"/>
              </w:rPr>
              <w:t>51</w:t>
            </w:r>
          </w:p>
        </w:tc>
        <w:tc>
          <w:tcPr>
            <w:tcW w:type="dxa" w:w="2304"/>
            <w:tcMar>
              <w:top w:w="65" w:type="dxa"/>
              <w:bottom w:w="65" w:type="dxa"/>
              <w:left w:w="80" w:type="dxa"/>
              <w:right w:w="80" w:type="dxa"/>
            </w:tcMar>
          </w:tcPr>
          <w:p>
            <w:pPr>
              <w:keepNext w:val="0"/>
              <w:keepLines/>
              <w:spacing w:after="0" w:line="240" w:lineRule="auto"/>
            </w:pPr>
            <w:r>
              <w:rPr>
                <w:rFonts w:ascii="Times New Roman" w:hAnsi="Times New Roman"/>
                <w:b w:val="0"/>
                <w:sz w:val="21"/>
              </w:rPr>
              <w:t>60</w:t>
            </w:r>
          </w:p>
        </w:tc>
      </w:tr>
      <w:tr>
        <w:trPr>
          <w:cantSplit/>
        </w:trPr>
        <w:tc>
          <w:tcPr>
            <w:tcW w:type="dxa" w:w="5472"/>
            <w:tcMar>
              <w:top w:w="65" w:type="dxa"/>
              <w:bottom w:w="65" w:type="dxa"/>
              <w:left w:w="80" w:type="dxa"/>
              <w:right w:w="80" w:type="dxa"/>
            </w:tcMar>
          </w:tcPr>
          <w:p>
            <w:pPr>
              <w:keepNext w:val="0"/>
              <w:keepLines/>
              <w:spacing w:after="0" w:line="240" w:lineRule="auto"/>
            </w:pPr>
            <w:r>
              <w:rPr>
                <w:rFonts w:ascii="Times New Roman" w:hAnsi="Times New Roman"/>
                <w:b w:val="0"/>
                <w:sz w:val="21"/>
              </w:rPr>
              <w:t>R²</w:t>
            </w:r>
          </w:p>
        </w:tc>
        <w:tc>
          <w:tcPr>
            <w:tcW w:type="dxa" w:w="2304"/>
            <w:tcMar>
              <w:top w:w="65" w:type="dxa"/>
              <w:bottom w:w="65" w:type="dxa"/>
              <w:left w:w="80" w:type="dxa"/>
              <w:right w:w="80" w:type="dxa"/>
            </w:tcMar>
          </w:tcPr>
          <w:p>
            <w:pPr>
              <w:keepNext w:val="0"/>
              <w:keepLines/>
              <w:spacing w:after="0" w:line="240" w:lineRule="auto"/>
            </w:pPr>
            <w:r>
              <w:rPr>
                <w:rFonts w:ascii="Times New Roman" w:hAnsi="Times New Roman"/>
                <w:b w:val="0"/>
                <w:sz w:val="21"/>
              </w:rPr>
              <w:t>0.8412</w:t>
            </w:r>
          </w:p>
        </w:tc>
        <w:tc>
          <w:tcPr>
            <w:tcW w:type="dxa" w:w="2304"/>
            <w:tcMar>
              <w:top w:w="65" w:type="dxa"/>
              <w:bottom w:w="65" w:type="dxa"/>
              <w:left w:w="80" w:type="dxa"/>
              <w:right w:w="80" w:type="dxa"/>
            </w:tcMar>
          </w:tcPr>
          <w:p>
            <w:pPr>
              <w:keepNext w:val="0"/>
              <w:keepLines/>
              <w:spacing w:after="0" w:line="240" w:lineRule="auto"/>
            </w:pPr>
            <w:r>
              <w:rPr>
                <w:rFonts w:ascii="Times New Roman" w:hAnsi="Times New Roman"/>
                <w:b w:val="0"/>
                <w:sz w:val="21"/>
              </w:rPr>
              <w:t>0.7919</w:t>
            </w:r>
          </w:p>
        </w:tc>
      </w:tr>
      <w:tr>
        <w:trPr>
          <w:cantSplit/>
        </w:trPr>
        <w:tc>
          <w:tcPr>
            <w:tcW w:type="dxa" w:w="5472"/>
            <w:tcMar>
              <w:top w:w="65" w:type="dxa"/>
              <w:bottom w:w="65" w:type="dxa"/>
              <w:left w:w="80" w:type="dxa"/>
              <w:right w:w="80" w:type="dxa"/>
            </w:tcMar>
          </w:tcPr>
          <w:p>
            <w:pPr>
              <w:keepNext w:val="0"/>
              <w:keepLines/>
              <w:spacing w:after="0" w:line="240" w:lineRule="auto"/>
            </w:pPr>
            <w:r>
              <w:rPr>
                <w:rFonts w:ascii="Times New Roman" w:hAnsi="Times New Roman"/>
                <w:b w:val="0"/>
                <w:sz w:val="21"/>
              </w:rPr>
              <w:t>Adjusted R²</w:t>
            </w:r>
          </w:p>
        </w:tc>
        <w:tc>
          <w:tcPr>
            <w:tcW w:type="dxa" w:w="2304"/>
            <w:tcMar>
              <w:top w:w="65" w:type="dxa"/>
              <w:bottom w:w="65" w:type="dxa"/>
              <w:left w:w="80" w:type="dxa"/>
              <w:right w:w="80" w:type="dxa"/>
            </w:tcMar>
          </w:tcPr>
          <w:p>
            <w:pPr>
              <w:keepNext w:val="0"/>
              <w:keepLines/>
              <w:spacing w:after="0" w:line="240" w:lineRule="auto"/>
            </w:pPr>
            <w:r>
              <w:rPr>
                <w:rFonts w:ascii="Times New Roman" w:hAnsi="Times New Roman"/>
                <w:b w:val="0"/>
                <w:sz w:val="21"/>
              </w:rPr>
              <w:t>0.8310</w:t>
            </w:r>
          </w:p>
        </w:tc>
        <w:tc>
          <w:tcPr>
            <w:tcW w:type="dxa" w:w="2304"/>
            <w:tcMar>
              <w:top w:w="65" w:type="dxa"/>
              <w:bottom w:w="65" w:type="dxa"/>
              <w:left w:w="80" w:type="dxa"/>
              <w:right w:w="80" w:type="dxa"/>
            </w:tcMar>
          </w:tcPr>
          <w:p>
            <w:pPr>
              <w:keepNext w:val="0"/>
              <w:keepLines/>
              <w:spacing w:after="0" w:line="240" w:lineRule="auto"/>
            </w:pPr>
            <w:r>
              <w:rPr>
                <w:rFonts w:ascii="Times New Roman" w:hAnsi="Times New Roman"/>
                <w:b w:val="0"/>
                <w:sz w:val="21"/>
              </w:rPr>
              <w:t>0.7807</w:t>
            </w:r>
          </w:p>
        </w:tc>
      </w:tr>
      <w:tr>
        <w:trPr>
          <w:cantSplit/>
        </w:trPr>
        <w:tc>
          <w:tcPr>
            <w:tcW w:type="dxa" w:w="5472"/>
            <w:tcMar>
              <w:top w:w="65" w:type="dxa"/>
              <w:bottom w:w="65" w:type="dxa"/>
              <w:left w:w="80" w:type="dxa"/>
              <w:right w:w="80" w:type="dxa"/>
            </w:tcMar>
          </w:tcPr>
          <w:p>
            <w:pPr>
              <w:keepNext w:val="0"/>
              <w:keepLines/>
              <w:spacing w:after="0" w:line="240" w:lineRule="auto"/>
            </w:pPr>
            <w:r>
              <w:rPr>
                <w:rFonts w:ascii="Times New Roman" w:hAnsi="Times New Roman"/>
                <w:b w:val="0"/>
                <w:sz w:val="21"/>
              </w:rPr>
              <w:t>RMSE, ratio units</w:t>
            </w:r>
          </w:p>
        </w:tc>
        <w:tc>
          <w:tcPr>
            <w:tcW w:type="dxa" w:w="2304"/>
            <w:tcMar>
              <w:top w:w="65" w:type="dxa"/>
              <w:bottom w:w="65" w:type="dxa"/>
              <w:left w:w="80" w:type="dxa"/>
              <w:right w:w="80" w:type="dxa"/>
            </w:tcMar>
          </w:tcPr>
          <w:p>
            <w:pPr>
              <w:keepNext w:val="0"/>
              <w:keepLines/>
              <w:spacing w:after="0" w:line="240" w:lineRule="auto"/>
            </w:pPr>
            <w:r>
              <w:rPr>
                <w:rFonts w:ascii="Times New Roman" w:hAnsi="Times New Roman"/>
                <w:b w:val="0"/>
                <w:sz w:val="21"/>
              </w:rPr>
              <w:t>0.02756</w:t>
            </w:r>
          </w:p>
        </w:tc>
        <w:tc>
          <w:tcPr>
            <w:tcW w:type="dxa" w:w="2304"/>
            <w:tcMar>
              <w:top w:w="65" w:type="dxa"/>
              <w:bottom w:w="65" w:type="dxa"/>
              <w:left w:w="80" w:type="dxa"/>
              <w:right w:w="80" w:type="dxa"/>
            </w:tcMar>
          </w:tcPr>
          <w:p>
            <w:pPr>
              <w:keepNext w:val="0"/>
              <w:keepLines/>
              <w:spacing w:after="0" w:line="240" w:lineRule="auto"/>
            </w:pPr>
            <w:r>
              <w:rPr>
                <w:rFonts w:ascii="Times New Roman" w:hAnsi="Times New Roman"/>
                <w:b w:val="0"/>
                <w:sz w:val="21"/>
              </w:rPr>
              <w:t>0.03094</w:t>
            </w:r>
          </w:p>
        </w:tc>
      </w:tr>
    </w:tbl>
    <w:p>
      <w:pPr>
        <w:keepNext w:val="0"/>
        <w:keepLines w:val="0"/>
        <w:spacing w:line="254" w:lineRule="auto" w:after="120"/>
      </w:pPr>
      <w:r>
        <w:rPr>
          <w:sz w:val="21"/>
        </w:rPr>
        <w:t>The model follows much of the historical movement in EF. Adding nine quarters gives a flatter post-break trend and larger errors. Forecast accuracy requires a separate test on later data. Source: [S2], level_and_slope.</w:t>
      </w:r>
    </w:p>
    <w:p>
      <w:pPr>
        <w:pStyle w:val="Heading2"/>
        <w:keepNext/>
        <w:pageBreakBefore w:val="0"/>
        <w:spacing w:before="200" w:after="140"/>
      </w:pPr>
      <w:r>
        <w:rPr>
          <w:rFonts w:ascii="Arial" w:hAnsi="Arial"/>
          <w:b/>
          <w:color w:val="000000"/>
        </w:rPr>
        <w:t>6.2 Reading related model terms</w:t>
      </w:r>
    </w:p>
    <w:p>
      <w:pPr>
        <w:keepNext w:val="0"/>
        <w:keepLines w:val="0"/>
        <w:spacing w:line="254" w:lineRule="auto" w:after="120"/>
      </w:pPr>
      <w:r>
        <w:rPr>
          <w:sz w:val="23"/>
        </w:rPr>
        <w:t>D, t and D × t are closely related by design. Read their combined effects through the two slopes and the gap at 2014Q1. The equation can also be written using time since the break. This gives the same fitted values and errors. The saved checks confirm that both forms agree to numerical precision [S2, verification].</w:t>
      </w:r>
    </w:p>
    <w:p>
      <w:pPr>
        <w:pStyle w:val="Heading2"/>
        <w:keepNext/>
        <w:pageBreakBefore/>
        <w:spacing w:before="200" w:after="140"/>
      </w:pPr>
      <w:r>
        <w:rPr>
          <w:rFonts w:ascii="Arial" w:hAnsi="Arial"/>
          <w:b/>
          <w:color w:val="000000"/>
        </w:rPr>
        <w:t>6.3 Patterns in the remaining errors</w:t>
      </w:r>
    </w:p>
    <w:p>
      <w:pPr>
        <w:keepNext/>
        <w:keepLines w:val="0"/>
        <w:spacing w:line="254" w:lineRule="auto" w:after="120"/>
      </w:pPr>
      <w:r>
        <w:rPr>
          <w:b/>
          <w:sz w:val="23"/>
        </w:rPr>
        <w:t>Figure 6.2. Differences between observed EF and the fitted lines</w:t>
      </w:r>
    </w:p>
    <w:p>
      <w:pPr>
        <w:keepNext/>
        <w:spacing w:after="60"/>
      </w:pPr>
      <w:r>
        <w:drawing>
          <wp:inline xmlns:a="http://schemas.openxmlformats.org/drawingml/2006/main" xmlns:pic="http://schemas.openxmlformats.org/drawingml/2006/picture">
            <wp:extent cx="6309360" cy="2173224"/>
            <wp:docPr id="2" name="Picture 2"/>
            <wp:cNvGraphicFramePr>
              <a:graphicFrameLocks noChangeAspect="1"/>
            </wp:cNvGraphicFramePr>
            <a:graphic>
              <a:graphicData uri="http://schemas.openxmlformats.org/drawingml/2006/picture">
                <pic:pic>
                  <pic:nvPicPr>
                    <pic:cNvPr id="0" name="residual.png"/>
                    <pic:cNvPicPr/>
                  </pic:nvPicPr>
                  <pic:blipFill>
                    <a:blip r:embed="rId19"/>
                    <a:stretch>
                      <a:fillRect/>
                    </a:stretch>
                  </pic:blipFill>
                  <pic:spPr>
                    <a:xfrm>
                      <a:off x="0" y="0"/>
                      <a:ext cx="6309360" cy="2173224"/>
                    </a:xfrm>
                    <a:prstGeom prst="rect"/>
                  </pic:spPr>
                </pic:pic>
              </a:graphicData>
            </a:graphic>
          </wp:inline>
        </w:drawing>
      </w:r>
    </w:p>
    <w:p>
      <w:pPr>
        <w:keepNext w:val="0"/>
        <w:keepLines w:val="0"/>
        <w:spacing w:line="254" w:lineRule="auto" w:after="120"/>
      </w:pPr>
      <w:r>
        <w:rPr>
          <w:sz w:val="21"/>
        </w:rPr>
        <w:t>Each residual is observed EF minus the fitted value. Some neighboring quarters show similar errors. A few periods also have larger gaps. Each line uses errors from its own fitted model. Source: [S2], history.residual.</w:t>
      </w:r>
    </w:p>
    <w:p>
      <w:pPr>
        <w:keepNext/>
        <w:keepLines w:val="0"/>
        <w:spacing w:line="254" w:lineRule="auto" w:after="120"/>
      </w:pPr>
      <w:r>
        <w:rPr>
          <w:b/>
          <w:sz w:val="23"/>
        </w:rPr>
        <w:t>Table 6.2. Tests of whether the errors stay around a stable level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3744"/>
        <w:gridCol w:w="1728"/>
        <w:gridCol w:w="2160"/>
        <w:gridCol w:w="2448"/>
      </w:tblGrid>
      <w:tr>
        <w:trPr>
          <w:cantSplit/>
          <w:tblHeader/>
        </w:trPr>
        <w:tc>
          <w:tcPr>
            <w:tcW w:type="dxa" w:w="3744"/>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Sample / test</w:t>
            </w:r>
          </w:p>
        </w:tc>
        <w:tc>
          <w:tcPr>
            <w:tcW w:type="dxa" w:w="1728"/>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Statistic</w:t>
            </w:r>
          </w:p>
        </w:tc>
        <w:tc>
          <w:tcPr>
            <w:tcW w:type="dxa" w:w="2160"/>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p-value</w:t>
            </w:r>
          </w:p>
        </w:tc>
        <w:tc>
          <w:tcPr>
            <w:tcW w:type="dxa" w:w="2448"/>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Lag / bandwidth</w:t>
            </w:r>
          </w:p>
        </w:tc>
      </w:tr>
      <w:tr>
        <w:trPr>
          <w:cantSplit/>
        </w:trPr>
        <w:tc>
          <w:tcPr>
            <w:tcW w:type="dxa" w:w="3744"/>
            <w:tcMar>
              <w:top w:w="65" w:type="dxa"/>
              <w:bottom w:w="65" w:type="dxa"/>
              <w:left w:w="80" w:type="dxa"/>
              <w:right w:w="80" w:type="dxa"/>
            </w:tcMar>
          </w:tcPr>
          <w:p>
            <w:pPr>
              <w:keepNext w:val="0"/>
              <w:keepLines/>
              <w:spacing w:after="0" w:line="240" w:lineRule="auto"/>
            </w:pPr>
            <w:r>
              <w:rPr>
                <w:rFonts w:ascii="Times New Roman" w:hAnsi="Times New Roman"/>
                <w:b w:val="0"/>
                <w:sz w:val="21"/>
              </w:rPr>
              <w:t>Development: ADF</w:t>
            </w:r>
          </w:p>
        </w:tc>
        <w:tc>
          <w:tcPr>
            <w:tcW w:type="dxa" w:w="1728"/>
            <w:tcMar>
              <w:top w:w="65" w:type="dxa"/>
              <w:bottom w:w="65" w:type="dxa"/>
              <w:left w:w="80" w:type="dxa"/>
              <w:right w:w="80" w:type="dxa"/>
            </w:tcMar>
          </w:tcPr>
          <w:p>
            <w:pPr>
              <w:keepNext w:val="0"/>
              <w:keepLines/>
              <w:spacing w:after="0" w:line="240" w:lineRule="auto"/>
            </w:pPr>
            <w:r>
              <w:rPr>
                <w:rFonts w:ascii="Times New Roman" w:hAnsi="Times New Roman"/>
                <w:b w:val="0"/>
                <w:sz w:val="21"/>
              </w:rPr>
              <w:t>−5.2240</w:t>
            </w:r>
          </w:p>
        </w:tc>
        <w:tc>
          <w:tcPr>
            <w:tcW w:type="dxa" w:w="2160"/>
            <w:tcMar>
              <w:top w:w="65" w:type="dxa"/>
              <w:bottom w:w="65" w:type="dxa"/>
              <w:left w:w="80" w:type="dxa"/>
              <w:right w:w="80" w:type="dxa"/>
            </w:tcMar>
          </w:tcPr>
          <w:p>
            <w:pPr>
              <w:keepNext w:val="0"/>
              <w:keepLines/>
              <w:spacing w:after="0" w:line="240" w:lineRule="auto"/>
            </w:pPr>
            <w:r>
              <w:rPr>
                <w:rFonts w:ascii="Times New Roman" w:hAnsi="Times New Roman"/>
                <w:b w:val="0"/>
                <w:sz w:val="21"/>
              </w:rPr>
              <w:t>3.806e-07</w:t>
            </w:r>
          </w:p>
        </w:tc>
        <w:tc>
          <w:tcPr>
            <w:tcW w:type="dxa" w:w="2448"/>
            <w:tcMar>
              <w:top w:w="65" w:type="dxa"/>
              <w:bottom w:w="65" w:type="dxa"/>
              <w:left w:w="80" w:type="dxa"/>
              <w:right w:w="80" w:type="dxa"/>
            </w:tcMar>
          </w:tcPr>
          <w:p>
            <w:pPr>
              <w:keepNext w:val="0"/>
              <w:keepLines/>
              <w:spacing w:after="0" w:line="240" w:lineRule="auto"/>
            </w:pPr>
            <w:r>
              <w:rPr>
                <w:rFonts w:ascii="Times New Roman" w:hAnsi="Times New Roman"/>
                <w:b w:val="0"/>
                <w:sz w:val="21"/>
              </w:rPr>
              <w:t>2 lags</w:t>
            </w:r>
          </w:p>
        </w:tc>
      </w:tr>
      <w:tr>
        <w:trPr>
          <w:cantSplit/>
        </w:trPr>
        <w:tc>
          <w:tcPr>
            <w:tcW w:type="dxa" w:w="3744"/>
            <w:tcMar>
              <w:top w:w="65" w:type="dxa"/>
              <w:bottom w:w="65" w:type="dxa"/>
              <w:left w:w="80" w:type="dxa"/>
              <w:right w:w="80" w:type="dxa"/>
            </w:tcMar>
          </w:tcPr>
          <w:p>
            <w:pPr>
              <w:keepNext w:val="0"/>
              <w:keepLines/>
              <w:spacing w:after="0" w:line="240" w:lineRule="auto"/>
            </w:pPr>
            <w:r>
              <w:rPr>
                <w:rFonts w:ascii="Times New Roman" w:hAnsi="Times New Roman"/>
                <w:b w:val="0"/>
                <w:sz w:val="21"/>
              </w:rPr>
              <w:t>Development: KPSS</w:t>
            </w:r>
          </w:p>
        </w:tc>
        <w:tc>
          <w:tcPr>
            <w:tcW w:type="dxa" w:w="1728"/>
            <w:tcMar>
              <w:top w:w="65" w:type="dxa"/>
              <w:bottom w:w="65" w:type="dxa"/>
              <w:left w:w="80" w:type="dxa"/>
              <w:right w:w="80" w:type="dxa"/>
            </w:tcMar>
          </w:tcPr>
          <w:p>
            <w:pPr>
              <w:keepNext w:val="0"/>
              <w:keepLines/>
              <w:spacing w:after="0" w:line="240" w:lineRule="auto"/>
            </w:pPr>
            <w:r>
              <w:rPr>
                <w:rFonts w:ascii="Times New Roman" w:hAnsi="Times New Roman"/>
                <w:b w:val="0"/>
                <w:sz w:val="21"/>
              </w:rPr>
              <w:t>0.0446</w:t>
            </w:r>
          </w:p>
        </w:tc>
        <w:tc>
          <w:tcPr>
            <w:tcW w:type="dxa" w:w="2160"/>
            <w:tcMar>
              <w:top w:w="65" w:type="dxa"/>
              <w:bottom w:w="65" w:type="dxa"/>
              <w:left w:w="80" w:type="dxa"/>
              <w:right w:w="80" w:type="dxa"/>
            </w:tcMar>
          </w:tcPr>
          <w:p>
            <w:pPr>
              <w:keepNext w:val="0"/>
              <w:keepLines/>
              <w:spacing w:after="0" w:line="240" w:lineRule="auto"/>
            </w:pPr>
            <w:r>
              <w:rPr>
                <w:rFonts w:ascii="Times New Roman" w:hAnsi="Times New Roman"/>
                <w:b w:val="0"/>
                <w:sz w:val="21"/>
              </w:rPr>
              <w:t>&gt;0.10</w:t>
            </w:r>
          </w:p>
        </w:tc>
        <w:tc>
          <w:tcPr>
            <w:tcW w:type="dxa" w:w="2448"/>
            <w:tcMar>
              <w:top w:w="65" w:type="dxa"/>
              <w:bottom w:w="65" w:type="dxa"/>
              <w:left w:w="80" w:type="dxa"/>
              <w:right w:w="80" w:type="dxa"/>
            </w:tcMar>
          </w:tcPr>
          <w:p>
            <w:pPr>
              <w:keepNext w:val="0"/>
              <w:keepLines/>
              <w:spacing w:after="0" w:line="240" w:lineRule="auto"/>
            </w:pPr>
            <w:r>
              <w:rPr>
                <w:rFonts w:ascii="Times New Roman" w:hAnsi="Times New Roman"/>
                <w:b w:val="0"/>
                <w:sz w:val="21"/>
              </w:rPr>
              <w:t>1</w:t>
            </w:r>
          </w:p>
        </w:tc>
      </w:tr>
      <w:tr>
        <w:trPr>
          <w:cantSplit/>
        </w:trPr>
        <w:tc>
          <w:tcPr>
            <w:tcW w:type="dxa" w:w="3744"/>
            <w:tcMar>
              <w:top w:w="65" w:type="dxa"/>
              <w:bottom w:w="65" w:type="dxa"/>
              <w:left w:w="80" w:type="dxa"/>
              <w:right w:w="80" w:type="dxa"/>
            </w:tcMar>
          </w:tcPr>
          <w:p>
            <w:pPr>
              <w:keepNext w:val="0"/>
              <w:keepLines/>
              <w:spacing w:after="0" w:line="240" w:lineRule="auto"/>
            </w:pPr>
            <w:r>
              <w:rPr>
                <w:rFonts w:ascii="Times New Roman" w:hAnsi="Times New Roman"/>
                <w:b w:val="0"/>
                <w:sz w:val="21"/>
              </w:rPr>
              <w:t>Full history: ADF</w:t>
            </w:r>
          </w:p>
        </w:tc>
        <w:tc>
          <w:tcPr>
            <w:tcW w:type="dxa" w:w="1728"/>
            <w:tcMar>
              <w:top w:w="65" w:type="dxa"/>
              <w:bottom w:w="65" w:type="dxa"/>
              <w:left w:w="80" w:type="dxa"/>
              <w:right w:w="80" w:type="dxa"/>
            </w:tcMar>
          </w:tcPr>
          <w:p>
            <w:pPr>
              <w:keepNext w:val="0"/>
              <w:keepLines/>
              <w:spacing w:after="0" w:line="240" w:lineRule="auto"/>
            </w:pPr>
            <w:r>
              <w:rPr>
                <w:rFonts w:ascii="Times New Roman" w:hAnsi="Times New Roman"/>
                <w:b w:val="0"/>
                <w:sz w:val="21"/>
              </w:rPr>
              <w:t>−4.7569</w:t>
            </w:r>
          </w:p>
        </w:tc>
        <w:tc>
          <w:tcPr>
            <w:tcW w:type="dxa" w:w="2160"/>
            <w:tcMar>
              <w:top w:w="65" w:type="dxa"/>
              <w:bottom w:w="65" w:type="dxa"/>
              <w:left w:w="80" w:type="dxa"/>
              <w:right w:w="80" w:type="dxa"/>
            </w:tcMar>
          </w:tcPr>
          <w:p>
            <w:pPr>
              <w:keepNext w:val="0"/>
              <w:keepLines/>
              <w:spacing w:after="0" w:line="240" w:lineRule="auto"/>
            </w:pPr>
            <w:r>
              <w:rPr>
                <w:rFonts w:ascii="Times New Roman" w:hAnsi="Times New Roman"/>
                <w:b w:val="0"/>
                <w:sz w:val="21"/>
              </w:rPr>
              <w:t>3.116e-06</w:t>
            </w:r>
          </w:p>
        </w:tc>
        <w:tc>
          <w:tcPr>
            <w:tcW w:type="dxa" w:w="2448"/>
            <w:tcMar>
              <w:top w:w="65" w:type="dxa"/>
              <w:bottom w:w="65" w:type="dxa"/>
              <w:left w:w="80" w:type="dxa"/>
              <w:right w:w="80" w:type="dxa"/>
            </w:tcMar>
          </w:tcPr>
          <w:p>
            <w:pPr>
              <w:keepNext w:val="0"/>
              <w:keepLines/>
              <w:spacing w:after="0" w:line="240" w:lineRule="auto"/>
            </w:pPr>
            <w:r>
              <w:rPr>
                <w:rFonts w:ascii="Times New Roman" w:hAnsi="Times New Roman"/>
                <w:b w:val="0"/>
                <w:sz w:val="21"/>
              </w:rPr>
              <w:t>2 lags</w:t>
            </w:r>
          </w:p>
        </w:tc>
      </w:tr>
      <w:tr>
        <w:trPr>
          <w:cantSplit/>
        </w:trPr>
        <w:tc>
          <w:tcPr>
            <w:tcW w:type="dxa" w:w="3744"/>
            <w:tcMar>
              <w:top w:w="65" w:type="dxa"/>
              <w:bottom w:w="65" w:type="dxa"/>
              <w:left w:w="80" w:type="dxa"/>
              <w:right w:w="80" w:type="dxa"/>
            </w:tcMar>
          </w:tcPr>
          <w:p>
            <w:pPr>
              <w:keepNext w:val="0"/>
              <w:keepLines/>
              <w:spacing w:after="0" w:line="240" w:lineRule="auto"/>
            </w:pPr>
            <w:r>
              <w:rPr>
                <w:rFonts w:ascii="Times New Roman" w:hAnsi="Times New Roman"/>
                <w:b w:val="0"/>
                <w:sz w:val="21"/>
              </w:rPr>
              <w:t>Full history: KPSS</w:t>
            </w:r>
          </w:p>
        </w:tc>
        <w:tc>
          <w:tcPr>
            <w:tcW w:type="dxa" w:w="1728"/>
            <w:tcMar>
              <w:top w:w="65" w:type="dxa"/>
              <w:bottom w:w="65" w:type="dxa"/>
              <w:left w:w="80" w:type="dxa"/>
              <w:right w:w="80" w:type="dxa"/>
            </w:tcMar>
          </w:tcPr>
          <w:p>
            <w:pPr>
              <w:keepNext w:val="0"/>
              <w:keepLines/>
              <w:spacing w:after="0" w:line="240" w:lineRule="auto"/>
            </w:pPr>
            <w:r>
              <w:rPr>
                <w:rFonts w:ascii="Times New Roman" w:hAnsi="Times New Roman"/>
                <w:b w:val="0"/>
                <w:sz w:val="21"/>
              </w:rPr>
              <w:t>0.1044</w:t>
            </w:r>
          </w:p>
        </w:tc>
        <w:tc>
          <w:tcPr>
            <w:tcW w:type="dxa" w:w="2160"/>
            <w:tcMar>
              <w:top w:w="65" w:type="dxa"/>
              <w:bottom w:w="65" w:type="dxa"/>
              <w:left w:w="80" w:type="dxa"/>
              <w:right w:w="80" w:type="dxa"/>
            </w:tcMar>
          </w:tcPr>
          <w:p>
            <w:pPr>
              <w:keepNext w:val="0"/>
              <w:keepLines/>
              <w:spacing w:after="0" w:line="240" w:lineRule="auto"/>
            </w:pPr>
            <w:r>
              <w:rPr>
                <w:rFonts w:ascii="Times New Roman" w:hAnsi="Times New Roman"/>
                <w:b w:val="0"/>
                <w:sz w:val="21"/>
              </w:rPr>
              <w:t>&gt;0.10</w:t>
            </w:r>
          </w:p>
        </w:tc>
        <w:tc>
          <w:tcPr>
            <w:tcW w:type="dxa" w:w="2448"/>
            <w:tcMar>
              <w:top w:w="65" w:type="dxa"/>
              <w:bottom w:w="65" w:type="dxa"/>
              <w:left w:w="80" w:type="dxa"/>
              <w:right w:w="80" w:type="dxa"/>
            </w:tcMar>
          </w:tcPr>
          <w:p>
            <w:pPr>
              <w:keepNext w:val="0"/>
              <w:keepLines/>
              <w:spacing w:after="0" w:line="240" w:lineRule="auto"/>
            </w:pPr>
            <w:r>
              <w:rPr>
                <w:rFonts w:ascii="Times New Roman" w:hAnsi="Times New Roman"/>
                <w:b w:val="0"/>
                <w:sz w:val="21"/>
              </w:rPr>
              <w:t>3</w:t>
            </w:r>
          </w:p>
        </w:tc>
      </w:tr>
    </w:tbl>
    <w:p>
      <w:pPr>
        <w:keepNext w:val="0"/>
        <w:keepLines w:val="0"/>
        <w:spacing w:line="254" w:lineRule="auto" w:after="120"/>
      </w:pPr>
      <w:r>
        <w:rPr>
          <w:sz w:val="21"/>
        </w:rPr>
        <w:t>ADF and KPSS check whether the errors tend to settle around a stable level. Under ordinary test rules, both samples give results consistent with this pattern. These results provide an initial check. A formal test for the current level and slope break needs matching reference values. Source: [S1], residual tests; [S2], residual_adf and residual_kpss; [M1–M3].</w:t>
      </w:r>
    </w:p>
    <w:p>
      <w:pPr>
        <w:keepNext w:val="0"/>
        <w:keepLines w:val="0"/>
        <w:spacing w:line="254" w:lineRule="auto" w:after="120"/>
      </w:pPr>
      <w:r>
        <w:rPr>
          <w:sz w:val="23"/>
        </w:rPr>
        <w:t>ADF uses earlier changes to allow for short-term patterns. AIC chooses two lags from a maximum of four. The test includes no extra constant or trend. It uses 48 and 57 effective observations. KPSS includes a constant and selects its bandwidth automatically. The bandwidth controls how many earlier quarters enter its adjustment. Its reported p-values are above 0.10 [M1–M2].</w:t>
      </w:r>
    </w:p>
    <w:p>
      <w:pPr>
        <w:keepNext w:val="0"/>
        <w:keepLines w:val="0"/>
        <w:spacing w:line="254" w:lineRule="auto" w:after="120"/>
      </w:pPr>
      <w:r>
        <w:rPr>
          <w:sz w:val="23"/>
        </w:rPr>
        <w:t>The Breusch–Godfrey test checks whether errors are linked across quarters. The four-quarter test gives p-values of 0.0272 and 0.0008. Both are below 0.05 and flag such links. This can make the original OLS uncertainty measures less reliable. The test uses an equivalent form of the same equation [S3].</w:t>
      </w:r>
    </w:p>
    <w:p>
      <w:pPr>
        <w:pStyle w:val="Heading2"/>
        <w:keepNext/>
        <w:pageBreakBefore/>
        <w:spacing w:before="200" w:after="140"/>
      </w:pPr>
      <w:r>
        <w:rPr>
          <w:rFonts w:ascii="Arial" w:hAnsi="Arial"/>
          <w:b/>
          <w:color w:val="000000"/>
        </w:rPr>
        <w:t>6.4 Changes across samples and test limits</w:t>
      </w:r>
    </w:p>
    <w:p>
      <w:pPr>
        <w:pStyle w:val="Heading2"/>
        <w:keepNext/>
        <w:pageBreakBefore w:val="0"/>
        <w:spacing w:before="200" w:after="140"/>
      </w:pPr>
      <w:r>
        <w:rPr>
          <w:rFonts w:ascii="Arial" w:hAnsi="Arial"/>
          <w:b/>
          <w:color w:val="000000"/>
        </w:rPr>
        <w:t>6.4.1 Adding more history</w:t>
      </w:r>
    </w:p>
    <w:p>
      <w:pPr>
        <w:keepNext/>
        <w:keepLines w:val="0"/>
        <w:spacing w:line="254" w:lineRule="auto" w:after="120"/>
      </w:pPr>
      <w:r>
        <w:rPr>
          <w:b/>
          <w:sz w:val="23"/>
        </w:rPr>
        <w:t>Table 6.3. Results with different ending dates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5472"/>
        <w:gridCol w:w="2304"/>
        <w:gridCol w:w="2304"/>
      </w:tblGrid>
      <w:tr>
        <w:trPr>
          <w:cantSplit/>
          <w:tblHeader/>
        </w:trPr>
        <w:tc>
          <w:tcPr>
            <w:tcW w:type="dxa" w:w="5472"/>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Measure</w:t>
            </w:r>
          </w:p>
        </w:tc>
        <w:tc>
          <w:tcPr>
            <w:tcW w:type="dxa" w:w="2304"/>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Through 2023Q3</w:t>
            </w:r>
          </w:p>
        </w:tc>
        <w:tc>
          <w:tcPr>
            <w:tcW w:type="dxa" w:w="2304"/>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Through 2025Q4</w:t>
            </w:r>
          </w:p>
        </w:tc>
      </w:tr>
      <w:tr>
        <w:trPr>
          <w:cantSplit/>
        </w:trPr>
        <w:tc>
          <w:tcPr>
            <w:tcW w:type="dxa" w:w="5472"/>
            <w:tcMar>
              <w:top w:w="65" w:type="dxa"/>
              <w:bottom w:w="65" w:type="dxa"/>
              <w:left w:w="80" w:type="dxa"/>
              <w:right w:w="80" w:type="dxa"/>
            </w:tcMar>
          </w:tcPr>
          <w:p>
            <w:pPr>
              <w:keepNext w:val="0"/>
              <w:keepLines/>
              <w:spacing w:after="0" w:line="240" w:lineRule="auto"/>
            </w:pPr>
            <w:r>
              <w:rPr>
                <w:rFonts w:ascii="Times New Roman" w:hAnsi="Times New Roman"/>
                <w:b w:val="0"/>
                <w:sz w:val="21"/>
              </w:rPr>
              <w:t>Post-break rate of change, ratio units per quarter</w:t>
            </w:r>
          </w:p>
        </w:tc>
        <w:tc>
          <w:tcPr>
            <w:tcW w:type="dxa" w:w="2304"/>
            <w:tcMar>
              <w:top w:w="65" w:type="dxa"/>
              <w:bottom w:w="65" w:type="dxa"/>
              <w:left w:w="80" w:type="dxa"/>
              <w:right w:w="80" w:type="dxa"/>
            </w:tcMar>
          </w:tcPr>
          <w:p>
            <w:pPr>
              <w:keepNext w:val="0"/>
              <w:keepLines/>
              <w:spacing w:after="0" w:line="240" w:lineRule="auto"/>
            </w:pPr>
            <w:r>
              <w:rPr>
                <w:rFonts w:ascii="Times New Roman" w:hAnsi="Times New Roman"/>
                <w:b w:val="0"/>
                <w:sz w:val="21"/>
              </w:rPr>
              <w:t>−0.003570</w:t>
            </w:r>
          </w:p>
        </w:tc>
        <w:tc>
          <w:tcPr>
            <w:tcW w:type="dxa" w:w="2304"/>
            <w:tcMar>
              <w:top w:w="65" w:type="dxa"/>
              <w:bottom w:w="65" w:type="dxa"/>
              <w:left w:w="80" w:type="dxa"/>
              <w:right w:w="80" w:type="dxa"/>
            </w:tcMar>
          </w:tcPr>
          <w:p>
            <w:pPr>
              <w:keepNext w:val="0"/>
              <w:keepLines/>
              <w:spacing w:after="0" w:line="240" w:lineRule="auto"/>
            </w:pPr>
            <w:r>
              <w:rPr>
                <w:rFonts w:ascii="Times New Roman" w:hAnsi="Times New Roman"/>
                <w:b w:val="0"/>
                <w:sz w:val="21"/>
              </w:rPr>
              <w:t>−0.002527</w:t>
            </w:r>
          </w:p>
        </w:tc>
      </w:tr>
      <w:tr>
        <w:trPr>
          <w:cantSplit/>
        </w:trPr>
        <w:tc>
          <w:tcPr>
            <w:tcW w:type="dxa" w:w="5472"/>
            <w:tcMar>
              <w:top w:w="65" w:type="dxa"/>
              <w:bottom w:w="65" w:type="dxa"/>
              <w:left w:w="80" w:type="dxa"/>
              <w:right w:w="80" w:type="dxa"/>
            </w:tcMar>
          </w:tcPr>
          <w:p>
            <w:pPr>
              <w:keepNext w:val="0"/>
              <w:keepLines/>
              <w:spacing w:after="0" w:line="240" w:lineRule="auto"/>
            </w:pPr>
            <w:r>
              <w:rPr>
                <w:rFonts w:ascii="Times New Roman" w:hAnsi="Times New Roman"/>
                <w:b w:val="0"/>
                <w:sz w:val="21"/>
              </w:rPr>
              <w:t>Gap between lines at 2014Q1, ratio units</w:t>
            </w:r>
          </w:p>
        </w:tc>
        <w:tc>
          <w:tcPr>
            <w:tcW w:type="dxa" w:w="2304"/>
            <w:tcMar>
              <w:top w:w="65" w:type="dxa"/>
              <w:bottom w:w="65" w:type="dxa"/>
              <w:left w:w="80" w:type="dxa"/>
              <w:right w:w="80" w:type="dxa"/>
            </w:tcMar>
          </w:tcPr>
          <w:p>
            <w:pPr>
              <w:keepNext w:val="0"/>
              <w:keepLines/>
              <w:spacing w:after="0" w:line="240" w:lineRule="auto"/>
            </w:pPr>
            <w:r>
              <w:rPr>
                <w:rFonts w:ascii="Times New Roman" w:hAnsi="Times New Roman"/>
                <w:b w:val="0"/>
                <w:sz w:val="21"/>
              </w:rPr>
              <w:t>−0.135054</w:t>
            </w:r>
          </w:p>
        </w:tc>
        <w:tc>
          <w:tcPr>
            <w:tcW w:type="dxa" w:w="2304"/>
            <w:tcMar>
              <w:top w:w="65" w:type="dxa"/>
              <w:bottom w:w="65" w:type="dxa"/>
              <w:left w:w="80" w:type="dxa"/>
              <w:right w:w="80" w:type="dxa"/>
            </w:tcMar>
          </w:tcPr>
          <w:p>
            <w:pPr>
              <w:keepNext w:val="0"/>
              <w:keepLines/>
              <w:spacing w:after="0" w:line="240" w:lineRule="auto"/>
            </w:pPr>
            <w:r>
              <w:rPr>
                <w:rFonts w:ascii="Times New Roman" w:hAnsi="Times New Roman"/>
                <w:b w:val="0"/>
                <w:sz w:val="21"/>
              </w:rPr>
              <w:t>−0.149105</w:t>
            </w:r>
          </w:p>
        </w:tc>
      </w:tr>
      <w:tr>
        <w:trPr>
          <w:cantSplit/>
        </w:trPr>
        <w:tc>
          <w:tcPr>
            <w:tcW w:type="dxa" w:w="5472"/>
            <w:tcMar>
              <w:top w:w="65" w:type="dxa"/>
              <w:bottom w:w="65" w:type="dxa"/>
              <w:left w:w="80" w:type="dxa"/>
              <w:right w:w="80" w:type="dxa"/>
            </w:tcMar>
          </w:tcPr>
          <w:p>
            <w:pPr>
              <w:keepNext w:val="0"/>
              <w:keepLines/>
              <w:spacing w:after="0" w:line="240" w:lineRule="auto"/>
            </w:pPr>
            <w:r>
              <w:rPr>
                <w:rFonts w:ascii="Times New Roman" w:hAnsi="Times New Roman"/>
                <w:b w:val="0"/>
                <w:sz w:val="21"/>
              </w:rPr>
              <w:t>Test for linked quarterly errors, p-value</w:t>
            </w:r>
          </w:p>
        </w:tc>
        <w:tc>
          <w:tcPr>
            <w:tcW w:type="dxa" w:w="2304"/>
            <w:tcMar>
              <w:top w:w="65" w:type="dxa"/>
              <w:bottom w:w="65" w:type="dxa"/>
              <w:left w:w="80" w:type="dxa"/>
              <w:right w:w="80" w:type="dxa"/>
            </w:tcMar>
          </w:tcPr>
          <w:p>
            <w:pPr>
              <w:keepNext w:val="0"/>
              <w:keepLines/>
              <w:spacing w:after="0" w:line="240" w:lineRule="auto"/>
            </w:pPr>
            <w:r>
              <w:rPr>
                <w:rFonts w:ascii="Times New Roman" w:hAnsi="Times New Roman"/>
                <w:b w:val="0"/>
                <w:sz w:val="21"/>
              </w:rPr>
              <w:t>0.0272</w:t>
            </w:r>
          </w:p>
        </w:tc>
        <w:tc>
          <w:tcPr>
            <w:tcW w:type="dxa" w:w="2304"/>
            <w:tcMar>
              <w:top w:w="65" w:type="dxa"/>
              <w:bottom w:w="65" w:type="dxa"/>
              <w:left w:w="80" w:type="dxa"/>
              <w:right w:w="80" w:type="dxa"/>
            </w:tcMar>
          </w:tcPr>
          <w:p>
            <w:pPr>
              <w:keepNext w:val="0"/>
              <w:keepLines/>
              <w:spacing w:after="0" w:line="240" w:lineRule="auto"/>
            </w:pPr>
            <w:r>
              <w:rPr>
                <w:rFonts w:ascii="Times New Roman" w:hAnsi="Times New Roman"/>
                <w:b w:val="0"/>
                <w:sz w:val="21"/>
              </w:rPr>
              <w:t>0.0008</w:t>
            </w:r>
          </w:p>
        </w:tc>
      </w:tr>
    </w:tbl>
    <w:p>
      <w:pPr>
        <w:keepNext w:val="0"/>
        <w:keepLines w:val="0"/>
        <w:spacing w:line="254" w:lineRule="auto" w:after="120"/>
      </w:pPr>
      <w:r>
        <w:rPr>
          <w:sz w:val="21"/>
        </w:rPr>
        <w:t>The post-break trend remains downward when more history is added. Its rate of decline becomes smaller. The tests also show stronger evidence of linked errors. A separate stability test would be needed to assess changes in the model coefficients. Source: [S2], derived quantities; [S3], residual_bg4_f_p.</w:t>
      </w:r>
    </w:p>
    <w:p>
      <w:pPr>
        <w:pStyle w:val="Heading2"/>
        <w:keepNext/>
        <w:pageBreakBefore w:val="0"/>
        <w:spacing w:before="200" w:after="140"/>
      </w:pPr>
      <w:r>
        <w:rPr>
          <w:rFonts w:ascii="Arial" w:hAnsi="Arial"/>
          <w:b/>
          <w:color w:val="000000"/>
        </w:rPr>
        <w:t>6.4.2 Uncertainty in the estimates</w:t>
      </w:r>
    </w:p>
    <w:p>
      <w:pPr>
        <w:keepNext w:val="0"/>
        <w:keepLines w:val="0"/>
        <w:spacing w:line="254" w:lineRule="auto" w:after="120"/>
      </w:pPr>
      <w:r>
        <w:rPr>
          <w:sz w:val="23"/>
        </w:rPr>
        <w:t>The tables keep the uncertainty measures reported in the latest file. Linked errors across quarters can affect these measures. The forecast-model update should address those links and explain how uncertainty will be calculated. The current results should be read with this limit in mind.</w:t>
      </w:r>
    </w:p>
    <w:p>
      <w:pPr>
        <w:pStyle w:val="Heading2"/>
        <w:keepNext/>
        <w:pageBreakBefore w:val="0"/>
        <w:spacing w:before="200" w:after="140"/>
      </w:pPr>
      <w:r>
        <w:rPr>
          <w:rFonts w:ascii="Arial" w:hAnsi="Arial"/>
          <w:b/>
          <w:color w:val="000000"/>
        </w:rPr>
        <w:t>6.4.3 Earlier Perron testing</w:t>
      </w:r>
    </w:p>
    <w:p>
      <w:pPr>
        <w:keepNext w:val="0"/>
        <w:keepLines w:val="0"/>
        <w:spacing w:line="254" w:lineRule="auto" w:after="120"/>
      </w:pPr>
      <w:r>
        <w:rPr>
          <w:sz w:val="23"/>
        </w:rPr>
        <w:t>Earlier work used a Perron test to check whether EF stayed around a stable trend after a level break. That model used one common slope. Its main rule started with four earlier quarters and removed weak terms using a 10% threshold. The rule kept two lags. Both samples rejected a unit root at 5%. A unit root would allow disturbances to have lasting effects. Other lag rules gave different conclusions [S4–S5].</w:t>
      </w:r>
    </w:p>
    <w:p>
      <w:pPr>
        <w:keepNext w:val="0"/>
        <w:keepLines w:val="0"/>
        <w:spacing w:line="254" w:lineRule="auto" w:after="120"/>
      </w:pPr>
      <w:r>
        <w:rPr>
          <w:sz w:val="23"/>
        </w:rPr>
        <w:t>The four-lag AIC and BIC rules selected zero lags and did not reject a unit root at 5%. These results show that the test conclusion depends on its settings. The latest model also changes the slope at 2014Q1. A formal test of that model needs reference values designed for both changes [M3].</w:t>
      </w:r>
    </w:p>
    <w:p>
      <w:pPr>
        <w:pStyle w:val="Heading2"/>
        <w:keepNext/>
        <w:pageBreakBefore w:val="0"/>
        <w:spacing w:before="200" w:after="140"/>
      </w:pPr>
      <w:r>
        <w:rPr>
          <w:rFonts w:ascii="Arial" w:hAnsi="Arial"/>
          <w:b/>
          <w:color w:val="000000"/>
        </w:rPr>
        <w:t>6.4.4 Further tests needed</w:t>
      </w:r>
    </w:p>
    <w:p>
      <w:pPr>
        <w:keepNext w:val="0"/>
        <w:keepLines w:val="0"/>
        <w:spacing w:line="254" w:lineRule="auto" w:after="120"/>
      </w:pPr>
      <w:r>
        <w:rPr>
          <w:sz w:val="23"/>
        </w:rPr>
        <w:t>The updated forecasting model needs tests of coefficient stability and performance on later quarters. It also needs forecast ranges and economic scenarios. The team should check how the two 2017 adjustments affect results. The short pre-break history needs review as well. These items remain open before release.</w:t>
      </w:r>
    </w:p>
    <w:p>
      <w:pPr>
        <w:pStyle w:val="Heading2"/>
        <w:keepNext/>
        <w:pageBreakBefore/>
        <w:spacing w:before="200" w:after="140"/>
      </w:pPr>
      <w:r>
        <w:rPr>
          <w:rFonts w:ascii="Arial" w:hAnsi="Arial"/>
          <w:b/>
          <w:color w:val="000000"/>
        </w:rPr>
        <w:t>6.5 Earlier ARDL forecasting models</w:t>
      </w:r>
    </w:p>
    <w:p>
      <w:pPr>
        <w:keepNext w:val="0"/>
        <w:keepLines w:val="0"/>
        <w:spacing w:line="254" w:lineRule="auto" w:after="120"/>
      </w:pPr>
      <w:r>
        <w:rPr>
          <w:sz w:val="23"/>
        </w:rPr>
        <w:t>The earlier models all use previous-quarter EF and unemployment changes. They also include a constant and the pre-break indicator L. The full model adds a common trend and a special term for 2014Q1, called a pulse. The trend-only model keeps the trend and removes the pulse. The reduced model removes both. The names refer to these three earlier versions.</w:t>
      </w:r>
    </w:p>
    <w:p>
      <w:pPr>
        <w:keepNext w:val="0"/>
        <w:keepLines/>
        <w:spacing w:line="254" w:lineRule="auto" w:after="180"/>
        <w:jc w:val="center"/>
      </w:pPr>
      <m:oMath>
        <m:eqArr>
          <m:e>
            <m:sSub>
              <m:e>
                <m:r>
                  <w:rPr>
                    <w:rFonts w:ascii="Cambria Math" w:hAnsi="Cambria Math"/>
                    <w:sz w:val="23"/>
                  </w:rPr>
                  <m:t xml:space="preserve">EF</m:t>
                </m:r>
              </m:e>
              <m:sub>
                <m:r>
                  <w:rPr>
                    <w:rFonts w:ascii="Cambria Math" w:hAnsi="Cambria Math"/>
                    <w:sz w:val="23"/>
                  </w:rPr>
                  <m:t xml:space="preserve">t</m:t>
                </m:r>
              </m:sub>
            </m:sSub>
            <m:r>
              <w:rPr>
                <w:rFonts w:ascii="Cambria Math" w:hAnsi="Cambria Math"/>
                <w:sz w:val="23"/>
              </w:rPr>
              <m:t xml:space="preserve"> = c + d</m:t>
            </m:r>
            <m:sSub>
              <m:e>
                <m:r>
                  <w:rPr>
                    <w:rFonts w:ascii="Cambria Math" w:hAnsi="Cambria Math"/>
                    <w:sz w:val="23"/>
                  </w:rPr>
                  <m:t xml:space="preserve">L</m:t>
                </m:r>
              </m:e>
              <m:sub>
                <m:r>
                  <w:rPr>
                    <w:rFonts w:ascii="Cambria Math" w:hAnsi="Cambria Math"/>
                    <w:sz w:val="23"/>
                  </w:rPr>
                  <m:t xml:space="preserve">t</m:t>
                </m:r>
              </m:sub>
            </m:sSub>
            <m:r>
              <w:rPr>
                <w:rFonts w:ascii="Cambria Math" w:hAnsi="Cambria Math"/>
                <w:sz w:val="23"/>
              </w:rPr>
              <m:t xml:space="preserve"> + bt + ω</m:t>
            </m:r>
            <m:sSub>
              <m:e>
                <m:r>
                  <w:rPr>
                    <w:rFonts w:ascii="Cambria Math" w:hAnsi="Cambria Math"/>
                    <w:sz w:val="23"/>
                  </w:rPr>
                  <m:t xml:space="preserve">P</m:t>
                </m:r>
              </m:e>
              <m:sub>
                <m:r>
                  <w:rPr>
                    <w:rFonts w:ascii="Cambria Math" w:hAnsi="Cambria Math"/>
                    <w:sz w:val="23"/>
                  </w:rPr>
                  <m:t xml:space="preserve">t</m:t>
                </m:r>
              </m:sub>
            </m:sSub>
          </m:e>
          <m:e>
            <m:r>
              <w:rPr>
                <w:rFonts w:ascii="Cambria Math" w:hAnsi="Cambria Math"/>
                <w:sz w:val="23"/>
              </w:rPr>
              <m:t xml:space="preserve">+ φ</m:t>
            </m:r>
            <m:sSub>
              <m:e>
                <m:r>
                  <w:rPr>
                    <w:rFonts w:ascii="Cambria Math" w:hAnsi="Cambria Math"/>
                    <w:sz w:val="23"/>
                  </w:rPr>
                  <m:t xml:space="preserve">EF</m:t>
                </m:r>
              </m:e>
              <m:sub>
                <m:r>
                  <w:rPr>
                    <w:rFonts w:ascii="Cambria Math" w:hAnsi="Cambria Math"/>
                    <w:sz w:val="23"/>
                  </w:rPr>
                  <m:t xml:space="preserve">t−1</m:t>
                </m:r>
              </m:sub>
            </m:sSub>
            <m:r>
              <w:rPr>
                <w:rFonts w:ascii="Cambria Math" w:hAnsi="Cambria Math"/>
                <w:sz w:val="23"/>
              </w:rPr>
              <m:t xml:space="preserve"> + λΔ</m:t>
            </m:r>
            <m:sSub>
              <m:e>
                <m:r>
                  <w:rPr>
                    <w:rFonts w:ascii="Cambria Math" w:hAnsi="Cambria Math"/>
                    <w:sz w:val="23"/>
                  </w:rPr>
                  <m:t xml:space="preserve">U</m:t>
                </m:r>
              </m:e>
              <m:sub>
                <m:r>
                  <w:rPr>
                    <w:rFonts w:ascii="Cambria Math" w:hAnsi="Cambria Math"/>
                    <w:sz w:val="23"/>
                  </w:rPr>
                  <m:t xml:space="preserve">t−1</m:t>
                </m:r>
              </m:sub>
            </m:sSub>
            <m:r>
              <w:rPr>
                <w:rFonts w:ascii="Cambria Math" w:hAnsi="Cambria Math"/>
                <w:sz w:val="23"/>
              </w:rPr>
              <m:t xml:space="preserve"> + </m:t>
            </m:r>
            <m:sSub>
              <m:e>
                <m:r>
                  <w:rPr>
                    <w:rFonts w:ascii="Cambria Math" w:hAnsi="Cambria Math"/>
                    <w:sz w:val="23"/>
                  </w:rPr>
                  <m:t xml:space="preserve">v</m:t>
                </m:r>
              </m:e>
              <m:sub>
                <m:r>
                  <w:rPr>
                    <w:rFonts w:ascii="Cambria Math" w:hAnsi="Cambria Math"/>
                    <w:sz w:val="23"/>
                  </w:rPr>
                  <m:t xml:space="preserve">t</m:t>
                </m:r>
              </m:sub>
            </m:sSub>
          </m:e>
        </m:eqArr>
      </m:oMath>
    </w:p>
    <w:p>
      <w:pPr>
        <w:keepNext w:val="0"/>
        <w:keepLines w:val="0"/>
        <w:spacing w:line="254" w:lineRule="auto" w:after="120"/>
      </w:pPr>
      <w:r>
        <w:rPr>
          <w:sz w:val="23"/>
        </w:rPr>
        <w:t>The equation above is the earlier full ARDL model. L equals one through 2013Q4 and zero afterward, so L = 1 − D. P equals one only in 2014Q1. U is unemployment in percent. Each earlier model uses 49 observations and data ending in 2023Q3.</w:t>
      </w:r>
    </w:p>
    <w:p>
      <w:pPr>
        <w:keepNext/>
        <w:keepLines w:val="0"/>
        <w:spacing w:line="254" w:lineRule="auto" w:after="120"/>
      </w:pPr>
      <w:r>
        <w:rPr>
          <w:b/>
          <w:sz w:val="23"/>
        </w:rPr>
        <w:t>Table 6.4. Prior fit and forecast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4032"/>
        <w:gridCol w:w="2016"/>
        <w:gridCol w:w="2016"/>
        <w:gridCol w:w="2016"/>
      </w:tblGrid>
      <w:tr>
        <w:trPr>
          <w:cantSplit/>
          <w:tblHeader/>
        </w:trPr>
        <w:tc>
          <w:tcPr>
            <w:tcW w:type="dxa" w:w="4032"/>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Measure</w:t>
            </w:r>
          </w:p>
        </w:tc>
        <w:tc>
          <w:tcPr>
            <w:tcW w:type="dxa" w:w="2016"/>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Full</w:t>
            </w:r>
          </w:p>
        </w:tc>
        <w:tc>
          <w:tcPr>
            <w:tcW w:type="dxa" w:w="2016"/>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Trend-only</w:t>
            </w:r>
          </w:p>
        </w:tc>
        <w:tc>
          <w:tcPr>
            <w:tcW w:type="dxa" w:w="2016"/>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Reduced</w:t>
            </w:r>
          </w:p>
        </w:tc>
      </w:tr>
      <w:tr>
        <w:trPr>
          <w:cantSplit/>
        </w:trPr>
        <w:tc>
          <w:tcPr>
            <w:tcW w:type="dxa" w:w="4032"/>
            <w:tcMar>
              <w:top w:w="65" w:type="dxa"/>
              <w:bottom w:w="65" w:type="dxa"/>
              <w:left w:w="80" w:type="dxa"/>
              <w:right w:w="80" w:type="dxa"/>
            </w:tcMar>
          </w:tcPr>
          <w:p>
            <w:pPr>
              <w:keepNext w:val="0"/>
              <w:keepLines/>
              <w:spacing w:after="0" w:line="240" w:lineRule="auto"/>
            </w:pPr>
            <w:r>
              <w:rPr>
                <w:rFonts w:ascii="Times New Roman" w:hAnsi="Times New Roman"/>
                <w:b w:val="0"/>
                <w:sz w:val="21"/>
              </w:rPr>
              <w:t>Number of coefficients</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6</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5</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4</w:t>
            </w:r>
          </w:p>
        </w:tc>
      </w:tr>
      <w:tr>
        <w:trPr>
          <w:cantSplit/>
        </w:trPr>
        <w:tc>
          <w:tcPr>
            <w:tcW w:type="dxa" w:w="4032"/>
            <w:tcMar>
              <w:top w:w="65" w:type="dxa"/>
              <w:bottom w:w="65" w:type="dxa"/>
              <w:left w:w="80" w:type="dxa"/>
              <w:right w:w="80" w:type="dxa"/>
            </w:tcMar>
          </w:tcPr>
          <w:p>
            <w:pPr>
              <w:keepNext w:val="0"/>
              <w:keepLines/>
              <w:spacing w:after="0" w:line="240" w:lineRule="auto"/>
            </w:pPr>
            <w:r>
              <w:rPr>
                <w:rFonts w:ascii="Times New Roman" w:hAnsi="Times New Roman"/>
                <w:b w:val="0"/>
                <w:sz w:val="21"/>
              </w:rPr>
              <w:t>Adjusted R²</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0.8278</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0.8274</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0.8256</w:t>
            </w:r>
          </w:p>
        </w:tc>
      </w:tr>
      <w:tr>
        <w:trPr>
          <w:cantSplit/>
        </w:trPr>
        <w:tc>
          <w:tcPr>
            <w:tcW w:type="dxa" w:w="4032"/>
            <w:tcMar>
              <w:top w:w="65" w:type="dxa"/>
              <w:bottom w:w="65" w:type="dxa"/>
              <w:left w:w="80" w:type="dxa"/>
              <w:right w:w="80" w:type="dxa"/>
            </w:tcMar>
          </w:tcPr>
          <w:p>
            <w:pPr>
              <w:keepNext w:val="0"/>
              <w:keepLines/>
              <w:spacing w:after="0" w:line="240" w:lineRule="auto"/>
            </w:pPr>
            <w:r>
              <w:rPr>
                <w:rFonts w:ascii="Times New Roman" w:hAnsi="Times New Roman"/>
                <w:b w:val="0"/>
                <w:sz w:val="21"/>
              </w:rPr>
              <w:t>In-sample RMSE</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0.02760</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0.02795</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0.02842</w:t>
            </w:r>
          </w:p>
        </w:tc>
      </w:tr>
      <w:tr>
        <w:trPr>
          <w:cantSplit/>
        </w:trPr>
        <w:tc>
          <w:tcPr>
            <w:tcW w:type="dxa" w:w="4032"/>
            <w:tcMar>
              <w:top w:w="65" w:type="dxa"/>
              <w:bottom w:w="65" w:type="dxa"/>
              <w:left w:w="80" w:type="dxa"/>
              <w:right w:w="80" w:type="dxa"/>
            </w:tcMar>
          </w:tcPr>
          <w:p>
            <w:pPr>
              <w:keepNext w:val="0"/>
              <w:keepLines/>
              <w:spacing w:after="0" w:line="240" w:lineRule="auto"/>
            </w:pPr>
            <w:r>
              <w:rPr>
                <w:rFonts w:ascii="Times New Roman" w:hAnsi="Times New Roman"/>
                <w:b w:val="0"/>
                <w:sz w:val="21"/>
              </w:rPr>
              <w:t>AIC</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−200.744</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−201.507</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−201.875</w:t>
            </w:r>
          </w:p>
        </w:tc>
      </w:tr>
      <w:tr>
        <w:trPr>
          <w:cantSplit/>
        </w:trPr>
        <w:tc>
          <w:tcPr>
            <w:tcW w:type="dxa" w:w="4032"/>
            <w:tcMar>
              <w:top w:w="65" w:type="dxa"/>
              <w:bottom w:w="65" w:type="dxa"/>
              <w:left w:w="80" w:type="dxa"/>
              <w:right w:w="80" w:type="dxa"/>
            </w:tcMar>
          </w:tcPr>
          <w:p>
            <w:pPr>
              <w:keepNext w:val="0"/>
              <w:keepLines/>
              <w:spacing w:after="0" w:line="240" w:lineRule="auto"/>
            </w:pPr>
            <w:r>
              <w:rPr>
                <w:rFonts w:ascii="Times New Roman" w:hAnsi="Times New Roman"/>
                <w:b w:val="0"/>
                <w:sz w:val="21"/>
              </w:rPr>
              <w:t>BIC</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−189.393</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−192.048</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−194.307</w:t>
            </w:r>
          </w:p>
        </w:tc>
      </w:tr>
      <w:tr>
        <w:trPr>
          <w:cantSplit/>
        </w:trPr>
        <w:tc>
          <w:tcPr>
            <w:tcW w:type="dxa" w:w="4032"/>
            <w:tcMar>
              <w:top w:w="65" w:type="dxa"/>
              <w:bottom w:w="65" w:type="dxa"/>
              <w:left w:w="80" w:type="dxa"/>
              <w:right w:w="80" w:type="dxa"/>
            </w:tcMar>
          </w:tcPr>
          <w:p>
            <w:pPr>
              <w:keepNext w:val="0"/>
              <w:keepLines/>
              <w:spacing w:after="0" w:line="240" w:lineRule="auto"/>
            </w:pPr>
            <w:r>
              <w:rPr>
                <w:rFonts w:ascii="Times New Roman" w:hAnsi="Times New Roman"/>
                <w:b w:val="0"/>
                <w:sz w:val="21"/>
              </w:rPr>
              <w:t>OOT one-step RMSE</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0.02668</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0.02640</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0.02785</w:t>
            </w:r>
          </w:p>
        </w:tc>
      </w:tr>
      <w:tr>
        <w:trPr>
          <w:cantSplit/>
        </w:trPr>
        <w:tc>
          <w:tcPr>
            <w:tcW w:type="dxa" w:w="4032"/>
            <w:tcMar>
              <w:top w:w="65" w:type="dxa"/>
              <w:bottom w:w="65" w:type="dxa"/>
              <w:left w:w="80" w:type="dxa"/>
              <w:right w:w="80" w:type="dxa"/>
            </w:tcMar>
          </w:tcPr>
          <w:p>
            <w:pPr>
              <w:keepNext w:val="0"/>
              <w:keepLines/>
              <w:spacing w:after="0" w:line="240" w:lineRule="auto"/>
            </w:pPr>
            <w:r>
              <w:rPr>
                <w:rFonts w:ascii="Times New Roman" w:hAnsi="Times New Roman"/>
                <w:b w:val="0"/>
                <w:sz w:val="21"/>
              </w:rPr>
              <w:t>OOT recursive RMSE</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0.02587</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0.02576</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0.03733</w:t>
            </w:r>
          </w:p>
        </w:tc>
      </w:tr>
    </w:tbl>
    <w:p>
      <w:pPr>
        <w:keepNext w:val="0"/>
        <w:keepLines w:val="0"/>
        <w:spacing w:line="254" w:lineRule="auto" w:after="120"/>
      </w:pPr>
      <w:r>
        <w:rPr>
          <w:sz w:val="21"/>
        </w:rPr>
        <w:t>The three models fit history about equally well. Removing the pulse slightly improves forecast errors in the later test period. Removing both the trend and pulse gives lower AIC and BIC scores. It also makes recursive forecasts less accurate. The choice therefore needs to consider forecast errors alongside fit scores. Source: [S4], model fit and forecast comparison.</w:t>
      </w:r>
    </w:p>
    <w:p>
      <w:pPr>
        <w:pStyle w:val="Heading2"/>
        <w:keepNext/>
        <w:pageBreakBefore w:val="0"/>
        <w:spacing w:before="200" w:after="140"/>
      </w:pPr>
      <w:r>
        <w:rPr>
          <w:rFonts w:ascii="Arial" w:hAnsi="Arial"/>
          <w:b/>
          <w:color w:val="000000"/>
        </w:rPr>
        <w:t>6.5.1 Earlier checks of model errors</w:t>
      </w:r>
    </w:p>
    <w:p>
      <w:pPr>
        <w:keepNext w:val="0"/>
        <w:keepLines w:val="0"/>
        <w:spacing w:line="254" w:lineRule="auto" w:after="120"/>
      </w:pPr>
      <w:r>
        <w:rPr>
          <w:sz w:val="23"/>
        </w:rPr>
        <w:t>The full model’s errors depart from the bell-shaped pattern used in the normality check. Its Jarque–Bera p-value is 0.0447, below 0.05. The other listed checks flag no issue at the 5% threshold. This includes all checks for the trend-only and reduced models. The short sample limits what these tests can detect. Section 11.2 lists the values.</w:t>
      </w:r>
    </w:p>
    <w:p>
      <w:pPr>
        <w:pStyle w:val="Heading2"/>
        <w:keepNext/>
        <w:pageBreakBefore w:val="0"/>
        <w:spacing w:before="200" w:after="140"/>
      </w:pPr>
      <w:r>
        <w:rPr>
          <w:rFonts w:ascii="Arial" w:hAnsi="Arial"/>
          <w:b/>
          <w:color w:val="000000"/>
        </w:rPr>
        <w:t>6.5.2 Implications for the next model</w:t>
      </w:r>
    </w:p>
    <w:p>
      <w:pPr>
        <w:keepNext w:val="0"/>
        <w:keepLines w:val="0"/>
        <w:spacing w:line="254" w:lineRule="auto" w:after="120"/>
      </w:pPr>
      <w:r>
        <w:rPr>
          <w:sz w:val="23"/>
        </w:rPr>
        <w:t>The earlier trend-only model provides a useful benchmark. The revised forecast model should be estimated and compared with it. Adding the new trend structure may change the effects of past EF and unemployment. It may also change which model forecasts best.</w:t>
      </w:r>
    </w:p>
    <w:p>
      <w:pPr>
        <w:pStyle w:val="Heading2"/>
        <w:keepNext/>
        <w:pageBreakBefore/>
        <w:spacing w:before="200" w:after="140"/>
      </w:pPr>
      <w:r>
        <w:rPr>
          <w:rFonts w:ascii="Arial" w:hAnsi="Arial"/>
          <w:b/>
          <w:color w:val="000000"/>
        </w:rPr>
        <w:t>6.6 Earlier tests on later quarters</w:t>
      </w:r>
    </w:p>
    <w:p>
      <w:pPr>
        <w:keepNext w:val="0"/>
        <w:keepLines w:val="0"/>
        <w:spacing w:line="254" w:lineRule="auto" w:after="120"/>
      </w:pPr>
      <w:r>
        <w:rPr>
          <w:sz w:val="23"/>
        </w:rPr>
        <w:t>The earlier OOT test covers nine quarters from 2023Q4 to 2025Q4. It keeps the coefficients fixed at their development values. One-step forecasts use the actual previous-quarter EF. Recursive forecasts use the previous forecast after the first quarter. Both methods use the economic data that actually occurred. A test using the economic forecasts available at the time would provide further evidence.</w:t>
      </w:r>
    </w:p>
    <w:p>
      <w:pPr>
        <w:keepNext/>
        <w:keepLines w:val="0"/>
        <w:spacing w:line="254" w:lineRule="auto" w:after="120"/>
      </w:pPr>
      <w:r>
        <w:rPr>
          <w:b/>
          <w:sz w:val="23"/>
        </w:rPr>
        <w:t>Figure 6.3. Prior ARDL recursive OOT paths</w:t>
      </w:r>
    </w:p>
    <w:p>
      <w:pPr>
        <w:keepNext/>
        <w:spacing w:after="60"/>
      </w:pPr>
      <w:r>
        <w:drawing>
          <wp:inline xmlns:a="http://schemas.openxmlformats.org/drawingml/2006/main" xmlns:pic="http://schemas.openxmlformats.org/drawingml/2006/picture">
            <wp:extent cx="6309360" cy="2453640"/>
            <wp:docPr id="3" name="Picture 3"/>
            <wp:cNvGraphicFramePr>
              <a:graphicFrameLocks noChangeAspect="1"/>
            </wp:cNvGraphicFramePr>
            <a:graphic>
              <a:graphicData uri="http://schemas.openxmlformats.org/drawingml/2006/picture">
                <pic:pic>
                  <pic:nvPicPr>
                    <pic:cNvPr id="0" name="oot.png"/>
                    <pic:cNvPicPr/>
                  </pic:nvPicPr>
                  <pic:blipFill>
                    <a:blip r:embed="rId20"/>
                    <a:stretch>
                      <a:fillRect/>
                    </a:stretch>
                  </pic:blipFill>
                  <pic:spPr>
                    <a:xfrm>
                      <a:off x="0" y="0"/>
                      <a:ext cx="6309360" cy="2453640"/>
                    </a:xfrm>
                    <a:prstGeom prst="rect"/>
                  </pic:spPr>
                </pic:pic>
              </a:graphicData>
            </a:graphic>
          </wp:inline>
        </w:drawing>
      </w:r>
    </w:p>
    <w:p>
      <w:pPr>
        <w:keepNext w:val="0"/>
        <w:keepLines w:val="0"/>
        <w:spacing w:line="254" w:lineRule="auto" w:after="120"/>
      </w:pPr>
      <w:r>
        <w:rPr>
          <w:sz w:val="21"/>
        </w:rPr>
        <w:t>The models with a trend follow the later decline in EF more closely. All three underpredict the first OOT observation. Each line shows the result of the named earlier ARDL model. Source: [S4], recursive OOT values for 2023Q4–2025Q4.</w:t>
      </w:r>
    </w:p>
    <w:p>
      <w:pPr>
        <w:pStyle w:val="Heading2"/>
        <w:keepNext/>
        <w:pageBreakBefore w:val="0"/>
        <w:spacing w:before="200" w:after="140"/>
      </w:pPr>
      <w:r>
        <w:rPr>
          <w:rFonts w:ascii="Arial" w:hAnsi="Arial"/>
          <w:b/>
          <w:color w:val="000000"/>
        </w:rPr>
        <w:t>6.6.1 Size of the forecast errors</w:t>
      </w:r>
    </w:p>
    <w:p>
      <w:pPr>
        <w:keepNext w:val="0"/>
        <w:keepLines w:val="0"/>
        <w:spacing w:line="254" w:lineRule="auto" w:after="120"/>
      </w:pPr>
      <w:r>
        <w:rPr>
          <w:sz w:val="23"/>
        </w:rPr>
        <w:t>Recursive RMSE is 0.02587 for the full model and 0.02576 for the trend-only model. The reduced model has RMSE of 0.03733. These are about 2.59, 2.58 and 3.73 EF percentage points. Lower values mean smaller errors. The difference between the first two models is small. Nine test quarters provide limited evidence about future performance.</w:t>
      </w:r>
    </w:p>
    <w:p>
      <w:pPr>
        <w:pStyle w:val="Heading2"/>
        <w:keepNext/>
        <w:pageBreakBefore w:val="0"/>
        <w:spacing w:before="200" w:after="140"/>
      </w:pPr>
      <w:r>
        <w:rPr>
          <w:rFonts w:ascii="Arial" w:hAnsi="Arial"/>
          <w:b/>
          <w:color w:val="000000"/>
        </w:rPr>
        <w:t>6.6.2 Limits of the test</w:t>
      </w:r>
    </w:p>
    <w:p>
      <w:pPr>
        <w:keepNext w:val="0"/>
        <w:keepLines w:val="0"/>
        <w:spacing w:line="254" w:lineRule="auto" w:after="120"/>
      </w:pPr>
      <w:r>
        <w:rPr>
          <w:sz w:val="23"/>
        </w:rPr>
        <w:t>The team has already used these results to compare models. Further testing should include additional quarters where possible. Another option is to repeat the exercise from several historical starting dates. Each exercise should clearly state which data were available when the forecast was made.</w:t>
      </w:r>
    </w:p>
    <w:p>
      <w:pPr>
        <w:pStyle w:val="Heading2"/>
        <w:keepNext/>
        <w:pageBreakBefore w:val="0"/>
        <w:spacing w:before="200" w:after="140"/>
      </w:pPr>
      <w:r>
        <w:rPr>
          <w:rFonts w:ascii="Arial" w:hAnsi="Arial"/>
          <w:b/>
          <w:color w:val="000000"/>
        </w:rPr>
        <w:t>6.6.3 Testing the latest trend model</w:t>
      </w:r>
    </w:p>
    <w:p>
      <w:pPr>
        <w:keepNext w:val="0"/>
        <w:keepLines w:val="0"/>
        <w:spacing w:line="254" w:lineRule="auto" w:after="120"/>
      </w:pPr>
      <w:r>
        <w:rPr>
          <w:sz w:val="23"/>
        </w:rPr>
        <w:t>The latest longer-history fit uses all nine OOT quarters to estimate its line. To test forecasting ability, keep later quarters outside estimation. Then compare their actual EF values with forecasts made using only earlier data. That test remains to be completed for the latest model.</w:t>
      </w:r>
    </w:p>
    <w:p>
      <w:pPr>
        <w:pStyle w:val="Heading2"/>
        <w:keepNext/>
        <w:pageBreakBefore/>
        <w:spacing w:before="200" w:after="140"/>
      </w:pPr>
      <w:r>
        <w:rPr>
          <w:rFonts w:ascii="Arial" w:hAnsi="Arial"/>
          <w:b/>
          <w:color w:val="000000"/>
        </w:rPr>
        <w:t>6.7 Earlier scenarios and business review</w:t>
      </w:r>
    </w:p>
    <w:p>
      <w:pPr>
        <w:keepNext/>
        <w:keepLines w:val="0"/>
        <w:spacing w:line="254" w:lineRule="auto" w:after="120"/>
      </w:pPr>
      <w:r>
        <w:rPr>
          <w:b/>
          <w:sz w:val="23"/>
        </w:rPr>
        <w:t>Figure 6.4. Prior ARDL Baseline and S4 paths</w:t>
      </w:r>
    </w:p>
    <w:p>
      <w:pPr>
        <w:keepNext/>
        <w:spacing w:after="60"/>
      </w:pPr>
      <w:r>
        <w:drawing>
          <wp:inline xmlns:a="http://schemas.openxmlformats.org/drawingml/2006/main" xmlns:pic="http://schemas.openxmlformats.org/drawingml/2006/picture">
            <wp:extent cx="6309360" cy="2453640"/>
            <wp:docPr id="4" name="Picture 4"/>
            <wp:cNvGraphicFramePr>
              <a:graphicFrameLocks noChangeAspect="1"/>
            </wp:cNvGraphicFramePr>
            <a:graphic>
              <a:graphicData uri="http://schemas.openxmlformats.org/drawingml/2006/picture">
                <pic:pic>
                  <pic:nvPicPr>
                    <pic:cNvPr id="0" name="scenarios.png"/>
                    <pic:cNvPicPr/>
                  </pic:nvPicPr>
                  <pic:blipFill>
                    <a:blip r:embed="rId21"/>
                    <a:stretch>
                      <a:fillRect/>
                    </a:stretch>
                  </pic:blipFill>
                  <pic:spPr>
                    <a:xfrm>
                      <a:off x="0" y="0"/>
                      <a:ext cx="6309360" cy="2453640"/>
                    </a:xfrm>
                    <a:prstGeom prst="rect"/>
                  </pic:spPr>
                </pic:pic>
              </a:graphicData>
            </a:graphic>
          </wp:inline>
        </w:drawing>
      </w:r>
    </w:p>
    <w:p>
      <w:pPr>
        <w:keepNext w:val="0"/>
        <w:keepLines w:val="0"/>
        <w:spacing w:line="254" w:lineRule="auto" w:after="120"/>
      </w:pPr>
      <w:r>
        <w:rPr>
          <w:sz w:val="21"/>
        </w:rPr>
        <w:t>The earlier forecasts start from actual 2025Q4 EF of 0.548. Solid lines show Baseline and dashed lines show S4. Both scenarios use the same previous-quarter unemployment change for 2026Q1. Their EF forecasts begin to differ in 2026Q2. Source: [S4], Baseline and S4 forecast tables for 2026Q1–2028Q1.</w:t>
      </w:r>
    </w:p>
    <w:p>
      <w:pPr>
        <w:pStyle w:val="Heading2"/>
        <w:keepNext/>
        <w:pageBreakBefore w:val="0"/>
        <w:spacing w:before="200" w:after="140"/>
      </w:pPr>
      <w:r>
        <w:rPr>
          <w:rFonts w:ascii="Arial" w:hAnsi="Arial"/>
          <w:b/>
          <w:color w:val="000000"/>
        </w:rPr>
        <w:t>6.7.1 Response to higher unemployment</w:t>
      </w:r>
    </w:p>
    <w:p>
      <w:pPr>
        <w:keepNext w:val="0"/>
        <w:keepLines w:val="0"/>
        <w:spacing w:line="254" w:lineRule="auto" w:after="120"/>
      </w:pPr>
      <w:r>
        <w:rPr>
          <w:sz w:val="23"/>
        </w:rPr>
        <w:t>The earlier test raises unemployment by one percentage point from 2026Q1 onward. This creates one extra increase in the quarterly change at the start. EF first responds in 2026Q2. The impacts are 0.6364, 0.6324 and 0.6477 EF percentage points for the three models. The effect then gets smaller as it passes through previous-quarter EF. The test keeps the unemployment level one point higher in later quarters.</w:t>
      </w:r>
    </w:p>
    <w:p>
      <w:pPr>
        <w:pStyle w:val="Heading2"/>
        <w:keepNext/>
        <w:pageBreakBefore w:val="0"/>
        <w:spacing w:before="200" w:after="140"/>
      </w:pPr>
      <w:r>
        <w:rPr>
          <w:rFonts w:ascii="Arial" w:hAnsi="Arial"/>
          <w:b/>
          <w:color w:val="000000"/>
        </w:rPr>
        <w:t>6.7.2 Limits of the scenarios</w:t>
      </w:r>
    </w:p>
    <w:p>
      <w:pPr>
        <w:keepNext w:val="0"/>
        <w:keepLines w:val="0"/>
        <w:spacing w:line="254" w:lineRule="auto" w:after="120"/>
      </w:pPr>
      <w:r>
        <w:rPr>
          <w:sz w:val="23"/>
        </w:rPr>
        <w:t>The earlier models respond to changes in unemployment. A high unemployment level alone can therefore have a fading effect. Models with a trend also keep projecting lower EF over time. Business users should check whether this is reasonable under stress. The current trend equation gives the same path across unemployment scenarios. An updated forecast equation needs its own Baseline and S4 runs.</w:t>
      </w:r>
    </w:p>
    <w:p>
      <w:pPr>
        <w:pStyle w:val="Heading2"/>
        <w:keepNext/>
        <w:pageBreakBefore w:val="0"/>
        <w:spacing w:before="200" w:after="140"/>
      </w:pPr>
      <w:r>
        <w:rPr>
          <w:rFonts w:ascii="Arial" w:hAnsi="Arial"/>
          <w:b/>
          <w:color w:val="000000"/>
        </w:rPr>
        <w:t>6.8 Review and next steps</w:t>
      </w:r>
    </w:p>
    <w:p>
      <w:pPr>
        <w:keepNext w:val="0"/>
        <w:keepLines w:val="0"/>
        <w:spacing w:line="254" w:lineRule="auto" w:after="120"/>
      </w:pPr>
      <w:r>
        <w:rPr>
          <w:sz w:val="23"/>
        </w:rPr>
        <w:t>Users should review the trend horizon, stress response and conversion to expense dollars. They should also review unusual historical periods. Records of user testing, independent review and overlay approval still need confirmation. The revised forecast equation needs updated tests and documented review before release.</w:t>
      </w:r>
    </w:p>
    <w:p>
      <w:pPr>
        <w:pStyle w:val="Heading1"/>
        <w:keepNext/>
        <w:pageBreakBefore/>
        <w:spacing w:before="0" w:after="140"/>
      </w:pPr>
      <w:r>
        <w:rPr>
          <w:rFonts w:ascii="Arial" w:hAnsi="Arial"/>
          <w:b/>
          <w:color w:val="000000"/>
        </w:rPr>
        <w:t>7. Model Implementation</w:t>
      </w:r>
    </w:p>
    <w:p>
      <w:pPr>
        <w:pStyle w:val="Heading2"/>
        <w:keepNext/>
        <w:pageBreakBefore w:val="0"/>
        <w:spacing w:before="200" w:after="140"/>
      </w:pPr>
      <w:r>
        <w:rPr>
          <w:rFonts w:ascii="Arial" w:hAnsi="Arial"/>
          <w:b/>
          <w:color w:val="000000"/>
        </w:rPr>
        <w:t>7.1 Current implementation status</w:t>
      </w:r>
    </w:p>
    <w:p>
      <w:pPr>
        <w:keepNext w:val="0"/>
        <w:keepLines w:val="0"/>
        <w:spacing w:line="254" w:lineRule="auto" w:after="120"/>
      </w:pPr>
      <w:r>
        <w:rPr>
          <w:sz w:val="23"/>
        </w:rPr>
        <w:t>The available materials contain development calculations and reports. The team still needs to confirm production use and completed approvals. This section proposes checks for implementation. The release record should show when each check is completed.</w:t>
      </w:r>
    </w:p>
    <w:p>
      <w:pPr>
        <w:pStyle w:val="Heading2"/>
        <w:keepNext/>
        <w:pageBreakBefore w:val="0"/>
        <w:spacing w:before="200" w:after="140"/>
      </w:pPr>
      <w:r>
        <w:rPr>
          <w:rFonts w:ascii="Arial" w:hAnsi="Arial"/>
          <w:b/>
          <w:color w:val="000000"/>
        </w:rPr>
        <w:t>7.2 Reproducing the analysis</w:t>
      </w:r>
    </w:p>
    <w:p>
      <w:pPr>
        <w:keepNext w:val="0"/>
        <w:keepLines w:val="0"/>
        <w:spacing w:line="254" w:lineRule="auto" w:after="120"/>
      </w:pPr>
      <w:r>
        <w:rPr>
          <w:sz w:val="23"/>
        </w:rPr>
        <w:t>Keep the original EF series and the two documented 2017 replacements. Use a continuous calendar and the stated definitions of D and D × t. Store each model version separately. Reproduce the coefficients, fitted values and errors using full precision. Compare rounded values only after this check.</w:t>
      </w:r>
    </w:p>
    <w:p>
      <w:pPr>
        <w:keepNext/>
        <w:keepLines w:val="0"/>
        <w:spacing w:line="254" w:lineRule="auto" w:after="120"/>
      </w:pPr>
      <w:r>
        <w:rPr>
          <w:b/>
          <w:sz w:val="23"/>
        </w:rPr>
        <w:t>Table 7.1. Implementation checks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2376"/>
        <w:gridCol w:w="7704"/>
      </w:tblGrid>
      <w:tr>
        <w:trPr>
          <w:cantSplit/>
          <w:tblHeader/>
        </w:trPr>
        <w:tc>
          <w:tcPr>
            <w:tcW w:type="dxa" w:w="2376"/>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Check</w:t>
            </w:r>
          </w:p>
        </w:tc>
        <w:tc>
          <w:tcPr>
            <w:tcW w:type="dxa" w:w="7704"/>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Required result</w:t>
            </w:r>
          </w:p>
        </w:tc>
      </w:tr>
      <w:tr>
        <w:trPr>
          <w:cantSplit/>
        </w:trPr>
        <w:tc>
          <w:tcPr>
            <w:tcW w:type="dxa" w:w="2376"/>
            <w:tcMar>
              <w:top w:w="65" w:type="dxa"/>
              <w:bottom w:w="65" w:type="dxa"/>
              <w:left w:w="80" w:type="dxa"/>
              <w:right w:w="80" w:type="dxa"/>
            </w:tcMar>
          </w:tcPr>
          <w:p>
            <w:pPr>
              <w:keepNext w:val="0"/>
              <w:keepLines/>
              <w:spacing w:after="0" w:line="240" w:lineRule="auto"/>
            </w:pPr>
            <w:r>
              <w:rPr>
                <w:rFonts w:ascii="Times New Roman" w:hAnsi="Times New Roman"/>
                <w:b w:val="0"/>
                <w:sz w:val="21"/>
              </w:rPr>
              <w:t>Dates and model terms</w:t>
            </w:r>
          </w:p>
        </w:tc>
        <w:tc>
          <w:tcPr>
            <w:tcW w:type="dxa" w:w="7704"/>
            <w:tcMar>
              <w:top w:w="65" w:type="dxa"/>
              <w:bottom w:w="65" w:type="dxa"/>
              <w:left w:w="80" w:type="dxa"/>
              <w:right w:w="80" w:type="dxa"/>
            </w:tcMar>
          </w:tcPr>
          <w:p>
            <w:pPr>
              <w:keepNext w:val="0"/>
              <w:keepLines/>
              <w:spacing w:after="0" w:line="240" w:lineRule="auto"/>
            </w:pPr>
            <w:r>
              <w:rPr>
                <w:rFonts w:ascii="Times New Roman" w:hAnsi="Times New Roman"/>
                <w:b w:val="0"/>
                <w:sz w:val="21"/>
              </w:rPr>
              <w:t>2011Q1 t = 1; 2014Q1 t = 13, D = 1, D × t = 13</w:t>
            </w:r>
          </w:p>
        </w:tc>
      </w:tr>
      <w:tr>
        <w:trPr>
          <w:cantSplit/>
        </w:trPr>
        <w:tc>
          <w:tcPr>
            <w:tcW w:type="dxa" w:w="2376"/>
            <w:tcMar>
              <w:top w:w="65" w:type="dxa"/>
              <w:bottom w:w="65" w:type="dxa"/>
              <w:left w:w="80" w:type="dxa"/>
              <w:right w:w="80" w:type="dxa"/>
            </w:tcMar>
          </w:tcPr>
          <w:p>
            <w:pPr>
              <w:keepNext w:val="0"/>
              <w:keepLines/>
              <w:spacing w:after="0" w:line="240" w:lineRule="auto"/>
            </w:pPr>
            <w:r>
              <w:rPr>
                <w:rFonts w:ascii="Times New Roman" w:hAnsi="Times New Roman"/>
                <w:b w:val="0"/>
                <w:sz w:val="21"/>
              </w:rPr>
              <w:t>Prepared EF values</w:t>
            </w:r>
          </w:p>
        </w:tc>
        <w:tc>
          <w:tcPr>
            <w:tcW w:type="dxa" w:w="7704"/>
            <w:tcMar>
              <w:top w:w="65" w:type="dxa"/>
              <w:bottom w:w="65" w:type="dxa"/>
              <w:left w:w="80" w:type="dxa"/>
              <w:right w:w="80" w:type="dxa"/>
            </w:tcMar>
          </w:tcPr>
          <w:p>
            <w:pPr>
              <w:keepNext w:val="0"/>
              <w:keepLines/>
              <w:spacing w:after="0" w:line="240" w:lineRule="auto"/>
            </w:pPr>
            <w:r>
              <w:rPr>
                <w:rFonts w:ascii="Times New Roman" w:hAnsi="Times New Roman"/>
                <w:b w:val="0"/>
                <w:sz w:val="21"/>
              </w:rPr>
              <w:t>The two 2017 averages match the stated calculations. All required quarters are included.</w:t>
            </w:r>
          </w:p>
        </w:tc>
      </w:tr>
      <w:tr>
        <w:trPr>
          <w:cantSplit/>
        </w:trPr>
        <w:tc>
          <w:tcPr>
            <w:tcW w:type="dxa" w:w="2376"/>
            <w:tcMar>
              <w:top w:w="65" w:type="dxa"/>
              <w:bottom w:w="65" w:type="dxa"/>
              <w:left w:w="80" w:type="dxa"/>
              <w:right w:w="80" w:type="dxa"/>
            </w:tcMar>
          </w:tcPr>
          <w:p>
            <w:pPr>
              <w:keepNext w:val="0"/>
              <w:keepLines/>
              <w:spacing w:after="0" w:line="240" w:lineRule="auto"/>
            </w:pPr>
            <w:r>
              <w:rPr>
                <w:rFonts w:ascii="Times New Roman" w:hAnsi="Times New Roman"/>
                <w:b w:val="0"/>
                <w:sz w:val="21"/>
              </w:rPr>
              <w:t>Sample sizes</w:t>
            </w:r>
          </w:p>
        </w:tc>
        <w:tc>
          <w:tcPr>
            <w:tcW w:type="dxa" w:w="7704"/>
            <w:tcMar>
              <w:top w:w="65" w:type="dxa"/>
              <w:bottom w:w="65" w:type="dxa"/>
              <w:left w:w="80" w:type="dxa"/>
              <w:right w:w="80" w:type="dxa"/>
            </w:tcMar>
          </w:tcPr>
          <w:p>
            <w:pPr>
              <w:keepNext w:val="0"/>
              <w:keepLines/>
              <w:spacing w:after="0" w:line="240" w:lineRule="auto"/>
            </w:pPr>
            <w:r>
              <w:rPr>
                <w:rFonts w:ascii="Times New Roman" w:hAnsi="Times New Roman"/>
                <w:b w:val="0"/>
                <w:sz w:val="21"/>
              </w:rPr>
              <w:t>51 development quarters and 60 full-history quarters</w:t>
            </w:r>
          </w:p>
        </w:tc>
      </w:tr>
      <w:tr>
        <w:trPr>
          <w:cantSplit/>
        </w:trPr>
        <w:tc>
          <w:tcPr>
            <w:tcW w:type="dxa" w:w="2376"/>
            <w:tcMar>
              <w:top w:w="65" w:type="dxa"/>
              <w:bottom w:w="65" w:type="dxa"/>
              <w:left w:w="80" w:type="dxa"/>
              <w:right w:w="80" w:type="dxa"/>
            </w:tcMar>
          </w:tcPr>
          <w:p>
            <w:pPr>
              <w:keepNext w:val="0"/>
              <w:keepLines/>
              <w:spacing w:after="0" w:line="240" w:lineRule="auto"/>
            </w:pPr>
            <w:r>
              <w:rPr>
                <w:rFonts w:ascii="Times New Roman" w:hAnsi="Times New Roman"/>
                <w:b w:val="0"/>
                <w:sz w:val="21"/>
              </w:rPr>
              <w:t>Matching results</w:t>
            </w:r>
          </w:p>
        </w:tc>
        <w:tc>
          <w:tcPr>
            <w:tcW w:type="dxa" w:w="7704"/>
            <w:tcMar>
              <w:top w:w="65" w:type="dxa"/>
              <w:bottom w:w="65" w:type="dxa"/>
              <w:left w:w="80" w:type="dxa"/>
              <w:right w:w="80" w:type="dxa"/>
            </w:tcMar>
          </w:tcPr>
          <w:p>
            <w:pPr>
              <w:keepNext w:val="0"/>
              <w:keepLines/>
              <w:spacing w:after="0" w:line="240" w:lineRule="auto"/>
            </w:pPr>
            <w:r>
              <w:rPr>
                <w:rFonts w:ascii="Times New Roman" w:hAnsi="Times New Roman"/>
                <w:b w:val="0"/>
                <w:sz w:val="21"/>
              </w:rPr>
              <w:t>Coefficients, fitted values, errors and tests match the saved reference.</w:t>
            </w:r>
          </w:p>
        </w:tc>
      </w:tr>
      <w:tr>
        <w:trPr>
          <w:cantSplit/>
        </w:trPr>
        <w:tc>
          <w:tcPr>
            <w:tcW w:type="dxa" w:w="2376"/>
            <w:tcMar>
              <w:top w:w="65" w:type="dxa"/>
              <w:bottom w:w="65" w:type="dxa"/>
              <w:left w:w="80" w:type="dxa"/>
              <w:right w:w="80" w:type="dxa"/>
            </w:tcMar>
          </w:tcPr>
          <w:p>
            <w:pPr>
              <w:keepNext w:val="0"/>
              <w:keepLines/>
              <w:spacing w:after="0" w:line="240" w:lineRule="auto"/>
            </w:pPr>
            <w:r>
              <w:rPr>
                <w:rFonts w:ascii="Times New Roman" w:hAnsi="Times New Roman"/>
                <w:b w:val="0"/>
                <w:sz w:val="21"/>
              </w:rPr>
              <w:t>Model labels</w:t>
            </w:r>
          </w:p>
        </w:tc>
        <w:tc>
          <w:tcPr>
            <w:tcW w:type="dxa" w:w="7704"/>
            <w:tcMar>
              <w:top w:w="65" w:type="dxa"/>
              <w:bottom w:w="65" w:type="dxa"/>
              <w:left w:w="80" w:type="dxa"/>
              <w:right w:w="80" w:type="dxa"/>
            </w:tcMar>
          </w:tcPr>
          <w:p>
            <w:pPr>
              <w:keepNext w:val="0"/>
              <w:keepLines/>
              <w:spacing w:after="0" w:line="240" w:lineRule="auto"/>
            </w:pPr>
            <w:r>
              <w:rPr>
                <w:rFonts w:ascii="Times New Roman" w:hAnsi="Times New Roman"/>
                <w:b w:val="0"/>
                <w:sz w:val="21"/>
              </w:rPr>
              <w:t>Each result clearly identifies its model version.</w:t>
            </w:r>
          </w:p>
        </w:tc>
      </w:tr>
      <w:tr>
        <w:trPr>
          <w:cantSplit/>
        </w:trPr>
        <w:tc>
          <w:tcPr>
            <w:tcW w:type="dxa" w:w="2376"/>
            <w:tcMar>
              <w:top w:w="65" w:type="dxa"/>
              <w:bottom w:w="65" w:type="dxa"/>
              <w:left w:w="80" w:type="dxa"/>
              <w:right w:w="80" w:type="dxa"/>
            </w:tcMar>
          </w:tcPr>
          <w:p>
            <w:pPr>
              <w:keepNext w:val="0"/>
              <w:keepLines/>
              <w:spacing w:after="0" w:line="240" w:lineRule="auto"/>
            </w:pPr>
            <w:r>
              <w:rPr>
                <w:rFonts w:ascii="Times New Roman" w:hAnsi="Times New Roman"/>
                <w:b w:val="0"/>
                <w:sz w:val="21"/>
              </w:rPr>
              <w:t>Updated forecasts</w:t>
            </w:r>
          </w:p>
        </w:tc>
        <w:tc>
          <w:tcPr>
            <w:tcW w:type="dxa" w:w="7704"/>
            <w:tcMar>
              <w:top w:w="65" w:type="dxa"/>
              <w:bottom w:w="65" w:type="dxa"/>
              <w:left w:w="80" w:type="dxa"/>
              <w:right w:w="80" w:type="dxa"/>
            </w:tcMar>
          </w:tcPr>
          <w:p>
            <w:pPr>
              <w:keepNext w:val="0"/>
              <w:keepLines/>
              <w:spacing w:after="0" w:line="240" w:lineRule="auto"/>
            </w:pPr>
            <w:r>
              <w:rPr>
                <w:rFonts w:ascii="Times New Roman" w:hAnsi="Times New Roman"/>
                <w:b w:val="0"/>
                <w:sz w:val="21"/>
              </w:rPr>
              <w:t>The new equation has its own estimates, OOT tests and scenarios.</w:t>
            </w:r>
          </w:p>
        </w:tc>
      </w:tr>
      <w:tr>
        <w:trPr>
          <w:cantSplit/>
        </w:trPr>
        <w:tc>
          <w:tcPr>
            <w:tcW w:type="dxa" w:w="2376"/>
            <w:tcMar>
              <w:top w:w="65" w:type="dxa"/>
              <w:bottom w:w="65" w:type="dxa"/>
              <w:left w:w="80" w:type="dxa"/>
              <w:right w:w="80" w:type="dxa"/>
            </w:tcMar>
          </w:tcPr>
          <w:p>
            <w:pPr>
              <w:keepNext w:val="0"/>
              <w:keepLines/>
              <w:spacing w:after="0" w:line="240" w:lineRule="auto"/>
            </w:pPr>
            <w:r>
              <w:rPr>
                <w:rFonts w:ascii="Times New Roman" w:hAnsi="Times New Roman"/>
                <w:b w:val="0"/>
                <w:sz w:val="21"/>
              </w:rPr>
              <w:t>Expense calculation</w:t>
            </w:r>
          </w:p>
        </w:tc>
        <w:tc>
          <w:tcPr>
            <w:tcW w:type="dxa" w:w="7704"/>
            <w:tcMar>
              <w:top w:w="65" w:type="dxa"/>
              <w:bottom w:w="65" w:type="dxa"/>
              <w:left w:w="80" w:type="dxa"/>
              <w:right w:w="80" w:type="dxa"/>
            </w:tcMar>
          </w:tcPr>
          <w:p>
            <w:pPr>
              <w:keepNext w:val="0"/>
              <w:keepLines/>
              <w:spacing w:after="0" w:line="240" w:lineRule="auto"/>
            </w:pPr>
            <w:r>
              <w:rPr>
                <w:rFonts w:ascii="Times New Roman" w:hAnsi="Times New Roman"/>
                <w:b w:val="0"/>
                <w:sz w:val="21"/>
              </w:rPr>
              <w:t>EF, revenue and compensation use agreed accounting definitions.</w:t>
            </w:r>
          </w:p>
        </w:tc>
      </w:tr>
      <w:tr>
        <w:trPr>
          <w:cantSplit/>
        </w:trPr>
        <w:tc>
          <w:tcPr>
            <w:tcW w:type="dxa" w:w="2376"/>
            <w:tcMar>
              <w:top w:w="65" w:type="dxa"/>
              <w:bottom w:w="65" w:type="dxa"/>
              <w:left w:w="80" w:type="dxa"/>
              <w:right w:w="80" w:type="dxa"/>
            </w:tcMar>
          </w:tcPr>
          <w:p>
            <w:pPr>
              <w:keepNext w:val="0"/>
              <w:keepLines/>
              <w:spacing w:after="0" w:line="240" w:lineRule="auto"/>
            </w:pPr>
            <w:r>
              <w:rPr>
                <w:rFonts w:ascii="Times New Roman" w:hAnsi="Times New Roman"/>
                <w:b w:val="0"/>
                <w:sz w:val="21"/>
              </w:rPr>
              <w:t>Release records</w:t>
            </w:r>
          </w:p>
        </w:tc>
        <w:tc>
          <w:tcPr>
            <w:tcW w:type="dxa" w:w="7704"/>
            <w:tcMar>
              <w:top w:w="65" w:type="dxa"/>
              <w:bottom w:w="65" w:type="dxa"/>
              <w:left w:w="80" w:type="dxa"/>
              <w:right w:w="80" w:type="dxa"/>
            </w:tcMar>
          </w:tcPr>
          <w:p>
            <w:pPr>
              <w:keepNext w:val="0"/>
              <w:keepLines/>
              <w:spacing w:after="0" w:line="240" w:lineRule="auto"/>
            </w:pPr>
            <w:r>
              <w:rPr>
                <w:rFonts w:ascii="Times New Roman" w:hAnsi="Times New Roman"/>
                <w:b w:val="0"/>
                <w:sz w:val="21"/>
              </w:rPr>
              <w:t>Records identify the owner, independent review, user testing and approved use.</w:t>
            </w:r>
          </w:p>
        </w:tc>
      </w:tr>
    </w:tbl>
    <w:p>
      <w:pPr>
        <w:keepNext w:val="0"/>
        <w:keepLines w:val="0"/>
        <w:spacing w:line="254" w:lineRule="auto" w:after="120"/>
      </w:pPr>
      <w:r>
        <w:rPr>
          <w:sz w:val="21"/>
        </w:rPr>
        <w:t>Run these checks on the exact model version planned for use. Record who reviewed each result and when. Source: Proposed controls based on [S1–S5].</w:t>
      </w:r>
    </w:p>
    <w:p>
      <w:pPr>
        <w:pStyle w:val="Heading2"/>
        <w:keepNext/>
        <w:pageBreakBefore w:val="0"/>
        <w:spacing w:before="200" w:after="140"/>
      </w:pPr>
      <w:r>
        <w:rPr>
          <w:rFonts w:ascii="Arial" w:hAnsi="Arial"/>
          <w:b/>
          <w:color w:val="000000"/>
        </w:rPr>
        <w:t>7.3 Comparing systems before release</w:t>
      </w:r>
    </w:p>
    <w:p>
      <w:pPr>
        <w:keepNext w:val="0"/>
        <w:keepLines w:val="0"/>
        <w:spacing w:line="254" w:lineRule="auto" w:after="120"/>
      </w:pPr>
      <w:r>
        <w:rPr>
          <w:sz w:val="23"/>
        </w:rPr>
        <w:t>Run the development and production calculations on the same saved inputs. Compare their outputs and explain any differences. Check units, dates, exclusions, rounding and past-quarter inputs. A business user should confirm the expense calculation and forecast behavior. The release record should state the approved model, data version, horizon and limits. It should also explain what to do if the model cannot be used.</w:t>
      </w:r>
    </w:p>
    <w:p>
      <w:pPr>
        <w:pStyle w:val="Heading2"/>
        <w:keepNext/>
        <w:pageBreakBefore w:val="0"/>
        <w:spacing w:before="200" w:after="140"/>
      </w:pPr>
      <w:r>
        <w:rPr>
          <w:rFonts w:ascii="Arial" w:hAnsi="Arial"/>
          <w:b/>
          <w:color w:val="000000"/>
        </w:rPr>
        <w:t>7.4 Managing different types of change</w:t>
      </w:r>
    </w:p>
    <w:p>
      <w:pPr>
        <w:keepNext w:val="0"/>
        <w:keepLines w:val="0"/>
        <w:spacing w:line="254" w:lineRule="auto" w:after="120"/>
      </w:pPr>
      <w:r>
        <w:rPr>
          <w:sz w:val="23"/>
        </w:rPr>
        <w:t>Treat a data refresh, a coefficient update and an equation change as separate actions. Adding the slope-change term changes the equation. Review its effect on results and obtain the required approval before using it in forecasts.</w:t>
      </w:r>
    </w:p>
    <w:p>
      <w:pPr>
        <w:pStyle w:val="Heading1"/>
        <w:keepNext/>
        <w:pageBreakBefore/>
        <w:spacing w:before="0" w:after="140"/>
      </w:pPr>
      <w:r>
        <w:rPr>
          <w:rFonts w:ascii="Arial" w:hAnsi="Arial"/>
          <w:b/>
          <w:color w:val="000000"/>
        </w:rPr>
        <w:t>8. Model Monitoring</w:t>
      </w:r>
    </w:p>
    <w:p>
      <w:pPr>
        <w:pStyle w:val="Heading2"/>
        <w:keepNext/>
        <w:pageBreakBefore w:val="0"/>
        <w:spacing w:before="200" w:after="140"/>
      </w:pPr>
      <w:r>
        <w:rPr>
          <w:rFonts w:ascii="Arial" w:hAnsi="Arial"/>
          <w:b/>
          <w:color w:val="000000"/>
        </w:rPr>
        <w:t>8.1 Purpose and 8.2 approach</w:t>
      </w:r>
    </w:p>
    <w:p>
      <w:pPr>
        <w:keepNext w:val="0"/>
        <w:keepLines w:val="0"/>
        <w:spacing w:line="254" w:lineRule="auto" w:after="120"/>
      </w:pPr>
      <w:r>
        <w:rPr>
          <w:sz w:val="23"/>
        </w:rPr>
        <w:t>Monitoring checks whether the data and model remain suitable for their agreed use. For the current trend analysis, review data quality and gaps from the fitted line. Also review changes in the slope and patterns across quarterly errors. An approved forecasting model will need regular accuracy and scenario checks.</w:t>
      </w:r>
    </w:p>
    <w:p>
      <w:pPr>
        <w:pStyle w:val="Heading2"/>
        <w:keepNext/>
        <w:pageBreakBefore w:val="0"/>
        <w:spacing w:before="200" w:after="140"/>
      </w:pPr>
      <w:r>
        <w:rPr>
          <w:rFonts w:ascii="Arial" w:hAnsi="Arial"/>
          <w:b/>
          <w:color w:val="000000"/>
        </w:rPr>
        <w:t>8.3 Roles and 8.4 frequency</w:t>
      </w:r>
    </w:p>
    <w:p>
      <w:pPr>
        <w:keepNext/>
        <w:keepLines w:val="0"/>
        <w:spacing w:line="254" w:lineRule="auto" w:after="120"/>
      </w:pPr>
      <w:r>
        <w:rPr>
          <w:b/>
          <w:sz w:val="23"/>
        </w:rPr>
        <w:t>Table 8.1. Proposed monitoring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3024"/>
        <w:gridCol w:w="7056"/>
      </w:tblGrid>
      <w:tr>
        <w:trPr>
          <w:cantSplit/>
          <w:tblHeader/>
        </w:trPr>
        <w:tc>
          <w:tcPr>
            <w:tcW w:type="dxa" w:w="3024"/>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Role</w:t>
            </w:r>
          </w:p>
        </w:tc>
        <w:tc>
          <w:tcPr>
            <w:tcW w:type="dxa" w:w="7056"/>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Responsibility</w:t>
            </w:r>
          </w:p>
        </w:tc>
      </w:tr>
      <w:tr>
        <w:trPr>
          <w:cantSplit/>
        </w:trPr>
        <w:tc>
          <w:tcPr>
            <w:tcW w:type="dxa" w:w="3024"/>
            <w:tcMar>
              <w:top w:w="65" w:type="dxa"/>
              <w:bottom w:w="65" w:type="dxa"/>
              <w:left w:w="80" w:type="dxa"/>
              <w:right w:w="80" w:type="dxa"/>
            </w:tcMar>
          </w:tcPr>
          <w:p>
            <w:pPr>
              <w:keepNext w:val="0"/>
              <w:keepLines/>
              <w:spacing w:after="0" w:line="240" w:lineRule="auto"/>
            </w:pPr>
            <w:r>
              <w:rPr>
                <w:rFonts w:ascii="Times New Roman" w:hAnsi="Times New Roman"/>
                <w:b w:val="0"/>
                <w:sz w:val="21"/>
              </w:rPr>
              <w:t>Model owner</w:t>
            </w:r>
          </w:p>
        </w:tc>
        <w:tc>
          <w:tcPr>
            <w:tcW w:type="dxa" w:w="7056"/>
            <w:tcMar>
              <w:top w:w="65" w:type="dxa"/>
              <w:bottom w:w="65" w:type="dxa"/>
              <w:left w:w="80" w:type="dxa"/>
              <w:right w:w="80" w:type="dxa"/>
            </w:tcMar>
          </w:tcPr>
          <w:p>
            <w:pPr>
              <w:keepNext w:val="0"/>
              <w:keepLines/>
              <w:spacing w:after="0" w:line="240" w:lineRule="auto"/>
            </w:pPr>
            <w:r>
              <w:rPr>
                <w:rFonts w:ascii="Times New Roman" w:hAnsi="Times New Roman"/>
                <w:b w:val="0"/>
                <w:sz w:val="21"/>
              </w:rPr>
              <w:t>Review model use, approve action and report important issues.</w:t>
            </w:r>
          </w:p>
        </w:tc>
      </w:tr>
      <w:tr>
        <w:trPr>
          <w:cantSplit/>
        </w:trPr>
        <w:tc>
          <w:tcPr>
            <w:tcW w:type="dxa" w:w="3024"/>
            <w:tcMar>
              <w:top w:w="65" w:type="dxa"/>
              <w:bottom w:w="65" w:type="dxa"/>
              <w:left w:w="80" w:type="dxa"/>
              <w:right w:w="80" w:type="dxa"/>
            </w:tcMar>
          </w:tcPr>
          <w:p>
            <w:pPr>
              <w:keepNext w:val="0"/>
              <w:keepLines/>
              <w:spacing w:after="0" w:line="240" w:lineRule="auto"/>
            </w:pPr>
            <w:r>
              <w:rPr>
                <w:rFonts w:ascii="Times New Roman" w:hAnsi="Times New Roman"/>
                <w:b w:val="0"/>
                <w:sz w:val="21"/>
              </w:rPr>
              <w:t>Developer or monitoring analyst</w:t>
            </w:r>
          </w:p>
        </w:tc>
        <w:tc>
          <w:tcPr>
            <w:tcW w:type="dxa" w:w="7056"/>
            <w:tcMar>
              <w:top w:w="65" w:type="dxa"/>
              <w:bottom w:w="65" w:type="dxa"/>
              <w:left w:w="80" w:type="dxa"/>
              <w:right w:w="80" w:type="dxa"/>
            </w:tcMar>
          </w:tcPr>
          <w:p>
            <w:pPr>
              <w:keepNext w:val="0"/>
              <w:keepLines/>
              <w:spacing w:after="0" w:line="240" w:lineRule="auto"/>
            </w:pPr>
            <w:r>
              <w:rPr>
                <w:rFonts w:ascii="Times New Roman" w:hAnsi="Times New Roman"/>
                <w:b w:val="0"/>
                <w:sz w:val="21"/>
              </w:rPr>
              <w:t>Run checks, investigate issues and save the results.</w:t>
            </w:r>
          </w:p>
        </w:tc>
      </w:tr>
      <w:tr>
        <w:trPr>
          <w:cantSplit/>
        </w:trPr>
        <w:tc>
          <w:tcPr>
            <w:tcW w:type="dxa" w:w="3024"/>
            <w:tcMar>
              <w:top w:w="65" w:type="dxa"/>
              <w:bottom w:w="65" w:type="dxa"/>
              <w:left w:w="80" w:type="dxa"/>
              <w:right w:w="80" w:type="dxa"/>
            </w:tcMar>
          </w:tcPr>
          <w:p>
            <w:pPr>
              <w:keepNext w:val="0"/>
              <w:keepLines/>
              <w:spacing w:after="0" w:line="240" w:lineRule="auto"/>
            </w:pPr>
            <w:r>
              <w:rPr>
                <w:rFonts w:ascii="Times New Roman" w:hAnsi="Times New Roman"/>
                <w:b w:val="0"/>
                <w:sz w:val="21"/>
              </w:rPr>
              <w:t>Finance or model user</w:t>
            </w:r>
          </w:p>
        </w:tc>
        <w:tc>
          <w:tcPr>
            <w:tcW w:type="dxa" w:w="7056"/>
            <w:tcMar>
              <w:top w:w="65" w:type="dxa"/>
              <w:bottom w:w="65" w:type="dxa"/>
              <w:left w:w="80" w:type="dxa"/>
              <w:right w:w="80" w:type="dxa"/>
            </w:tcMar>
          </w:tcPr>
          <w:p>
            <w:pPr>
              <w:keepNext w:val="0"/>
              <w:keepLines/>
              <w:spacing w:after="0" w:line="240" w:lineRule="auto"/>
            </w:pPr>
            <w:r>
              <w:rPr>
                <w:rFonts w:ascii="Times New Roman" w:hAnsi="Times New Roman"/>
                <w:b w:val="0"/>
                <w:sz w:val="21"/>
              </w:rPr>
              <w:t>Review business meaning and check expense calculations.</w:t>
            </w:r>
          </w:p>
        </w:tc>
      </w:tr>
      <w:tr>
        <w:trPr>
          <w:cantSplit/>
        </w:trPr>
        <w:tc>
          <w:tcPr>
            <w:tcW w:type="dxa" w:w="3024"/>
            <w:tcMar>
              <w:top w:w="65" w:type="dxa"/>
              <w:bottom w:w="65" w:type="dxa"/>
              <w:left w:w="80" w:type="dxa"/>
              <w:right w:w="80" w:type="dxa"/>
            </w:tcMar>
          </w:tcPr>
          <w:p>
            <w:pPr>
              <w:keepNext w:val="0"/>
              <w:keepLines/>
              <w:spacing w:after="0" w:line="240" w:lineRule="auto"/>
            </w:pPr>
            <w:r>
              <w:rPr>
                <w:rFonts w:ascii="Times New Roman" w:hAnsi="Times New Roman"/>
                <w:b w:val="0"/>
                <w:sz w:val="21"/>
              </w:rPr>
              <w:t>Independent reviewer or MRM</w:t>
            </w:r>
          </w:p>
        </w:tc>
        <w:tc>
          <w:tcPr>
            <w:tcW w:type="dxa" w:w="7056"/>
            <w:tcMar>
              <w:top w:w="65" w:type="dxa"/>
              <w:bottom w:w="65" w:type="dxa"/>
              <w:left w:w="80" w:type="dxa"/>
              <w:right w:w="80" w:type="dxa"/>
            </w:tcMar>
          </w:tcPr>
          <w:p>
            <w:pPr>
              <w:keepNext w:val="0"/>
              <w:keepLines/>
              <w:spacing w:after="0" w:line="240" w:lineRule="auto"/>
            </w:pPr>
            <w:r>
              <w:rPr>
                <w:rFonts w:ascii="Times New Roman" w:hAnsi="Times New Roman"/>
                <w:b w:val="0"/>
                <w:sz w:val="21"/>
              </w:rPr>
              <w:t>Review model limits, changes and corrective action under internal policy.</w:t>
            </w:r>
          </w:p>
        </w:tc>
      </w:tr>
    </w:tbl>
    <w:p>
      <w:pPr>
        <w:keepNext w:val="0"/>
        <w:keepLines w:val="0"/>
        <w:spacing w:line="254" w:lineRule="auto" w:after="120"/>
      </w:pPr>
      <w:r>
        <w:rPr>
          <w:sz w:val="21"/>
        </w:rPr>
        <w:t>These are proposed responsibilities. The team should confirm the named staff, review schedule and approval authority. Source: Proposed process; INFO-04.</w:t>
      </w:r>
    </w:p>
    <w:p>
      <w:pPr>
        <w:keepNext w:val="0"/>
        <w:keepLines w:val="0"/>
        <w:spacing w:line="254" w:lineRule="auto" w:after="120"/>
      </w:pPr>
      <w:r>
        <w:rPr>
          <w:sz w:val="23"/>
        </w:rPr>
        <w:t>A quarterly review is proposed when new EF data become available. A broader annual review should assess the method and its continued use. Additional reviews may follow accounting changes, restructuring or a new change in trend. Persistent errors or a large forecast change should also prompt review. The team should approve the review schedule.</w:t>
      </w:r>
    </w:p>
    <w:p>
      <w:pPr>
        <w:pStyle w:val="Heading2"/>
        <w:keepNext/>
        <w:pageBreakBefore w:val="0"/>
        <w:spacing w:before="200" w:after="140"/>
      </w:pPr>
      <w:r>
        <w:rPr>
          <w:rFonts w:ascii="Arial" w:hAnsi="Arial"/>
          <w:b/>
          <w:color w:val="000000"/>
        </w:rPr>
        <w:t>8.5 What to monitor</w:t>
      </w:r>
    </w:p>
    <w:p>
      <w:pPr>
        <w:keepNext w:val="0"/>
        <w:keepLines w:val="0"/>
        <w:spacing w:line="254" w:lineRule="auto" w:after="120"/>
      </w:pPr>
      <w:r>
        <w:rPr>
          <w:sz w:val="23"/>
        </w:rPr>
        <w:t>Check for missing values, duplicate quarters, date errors and unit changes. Confirm that the 2017 adjustments remain correct. Compare new EF observations with the original development line. Keep that line available when the model is updated. This allows users to see whether performance has weakened.</w:t>
      </w:r>
    </w:p>
    <w:p>
      <w:pPr>
        <w:keepNext w:val="0"/>
        <w:keepLines w:val="0"/>
        <w:spacing w:line="254" w:lineRule="auto" w:after="120"/>
      </w:pPr>
      <w:r>
        <w:rPr>
          <w:sz w:val="23"/>
        </w:rPr>
        <w:t>Review whether a straight post-2014 trend still makes sense. Confirm that the EF accounting definition is unchanged. Track the post-break slope and the combined gap at 2014Q1. Look for large errors or repeated errors in the same direction.</w:t>
      </w:r>
    </w:p>
    <w:p>
      <w:pPr>
        <w:keepNext w:val="0"/>
        <w:keepLines w:val="0"/>
        <w:spacing w:line="254" w:lineRule="auto" w:after="120"/>
      </w:pPr>
      <w:r>
        <w:rPr>
          <w:sz w:val="23"/>
        </w:rPr>
        <w:t>For an approved forecast model, keep one-step and recursive errors separately. Record the version of the economic assumptions used. Check scenario differences and the timing of their effects. Track each manual adjustment with its reason, owner, duration and approval.</w:t>
      </w:r>
    </w:p>
    <w:p>
      <w:pPr>
        <w:pStyle w:val="Heading2"/>
        <w:keepNext/>
        <w:pageBreakBefore/>
        <w:spacing w:before="200" w:after="140"/>
      </w:pPr>
      <w:r>
        <w:rPr>
          <w:rFonts w:ascii="Arial" w:hAnsi="Arial"/>
          <w:b/>
          <w:color w:val="000000"/>
        </w:rPr>
        <w:t>8.6 Measures and review triggers</w:t>
      </w:r>
    </w:p>
    <w:p>
      <w:pPr>
        <w:keepNext/>
        <w:keepLines w:val="0"/>
        <w:spacing w:line="254" w:lineRule="auto" w:after="120"/>
      </w:pPr>
      <w:r>
        <w:rPr>
          <w:b/>
          <w:sz w:val="23"/>
        </w:rPr>
        <w:t>Table 8.2. Proposed monitoring framework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1872"/>
        <w:gridCol w:w="3888"/>
        <w:gridCol w:w="4320"/>
      </w:tblGrid>
      <w:tr>
        <w:trPr>
          <w:cantSplit/>
          <w:tblHeader/>
        </w:trPr>
        <w:tc>
          <w:tcPr>
            <w:tcW w:type="dxa" w:w="1872"/>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Area</w:t>
            </w:r>
          </w:p>
        </w:tc>
        <w:tc>
          <w:tcPr>
            <w:tcW w:type="dxa" w:w="3888"/>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Measure or check</w:t>
            </w:r>
          </w:p>
        </w:tc>
        <w:tc>
          <w:tcPr>
            <w:tcW w:type="dxa" w:w="4320"/>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Review trigger</w:t>
            </w:r>
          </w:p>
        </w:tc>
      </w:tr>
      <w:tr>
        <w:trPr>
          <w:cantSplit/>
        </w:trPr>
        <w:tc>
          <w:tcPr>
            <w:tcW w:type="dxa" w:w="1872"/>
            <w:tcMar>
              <w:top w:w="65" w:type="dxa"/>
              <w:bottom w:w="65" w:type="dxa"/>
              <w:left w:w="80" w:type="dxa"/>
              <w:right w:w="80" w:type="dxa"/>
            </w:tcMar>
          </w:tcPr>
          <w:p>
            <w:pPr>
              <w:keepNext w:val="0"/>
              <w:keepLines/>
              <w:spacing w:after="0" w:line="240" w:lineRule="auto"/>
            </w:pPr>
            <w:r>
              <w:rPr>
                <w:rFonts w:ascii="Times New Roman" w:hAnsi="Times New Roman"/>
                <w:b w:val="0"/>
                <w:sz w:val="21"/>
              </w:rPr>
              <w:t>Data quality</w:t>
            </w:r>
          </w:p>
        </w:tc>
        <w:tc>
          <w:tcPr>
            <w:tcW w:type="dxa" w:w="3888"/>
            <w:tcMar>
              <w:top w:w="65" w:type="dxa"/>
              <w:bottom w:w="65" w:type="dxa"/>
              <w:left w:w="80" w:type="dxa"/>
              <w:right w:w="80" w:type="dxa"/>
            </w:tcMar>
          </w:tcPr>
          <w:p>
            <w:pPr>
              <w:keepNext w:val="0"/>
              <w:keepLines/>
              <w:spacing w:after="0" w:line="240" w:lineRule="auto"/>
            </w:pPr>
            <w:r>
              <w:rPr>
                <w:rFonts w:ascii="Times New Roman" w:hAnsi="Times New Roman"/>
                <w:b w:val="0"/>
                <w:sz w:val="21"/>
              </w:rPr>
              <w:t>Missing or duplicate quarter, wrong units or incorrect model terms</w:t>
            </w:r>
          </w:p>
        </w:tc>
        <w:tc>
          <w:tcPr>
            <w:tcW w:type="dxa" w:w="4320"/>
            <w:tcMar>
              <w:top w:w="65" w:type="dxa"/>
              <w:bottom w:w="65" w:type="dxa"/>
              <w:left w:w="80" w:type="dxa"/>
              <w:right w:w="80" w:type="dxa"/>
            </w:tcMar>
          </w:tcPr>
          <w:p>
            <w:pPr>
              <w:keepNext w:val="0"/>
              <w:keepLines/>
              <w:spacing w:after="0" w:line="240" w:lineRule="auto"/>
            </w:pPr>
            <w:r>
              <w:rPr>
                <w:rFonts w:ascii="Times New Roman" w:hAnsi="Times New Roman"/>
                <w:b w:val="0"/>
                <w:sz w:val="21"/>
              </w:rPr>
              <w:t>Any required input fails its check.</w:t>
            </w:r>
          </w:p>
        </w:tc>
      </w:tr>
      <w:tr>
        <w:trPr>
          <w:cantSplit/>
        </w:trPr>
        <w:tc>
          <w:tcPr>
            <w:tcW w:type="dxa" w:w="1872"/>
            <w:tcMar>
              <w:top w:w="65" w:type="dxa"/>
              <w:bottom w:w="65" w:type="dxa"/>
              <w:left w:w="80" w:type="dxa"/>
              <w:right w:w="80" w:type="dxa"/>
            </w:tcMar>
          </w:tcPr>
          <w:p>
            <w:pPr>
              <w:keepNext w:val="0"/>
              <w:keepLines/>
              <w:spacing w:after="0" w:line="240" w:lineRule="auto"/>
            </w:pPr>
            <w:r>
              <w:rPr>
                <w:rFonts w:ascii="Times New Roman" w:hAnsi="Times New Roman"/>
                <w:b w:val="0"/>
                <w:sz w:val="21"/>
              </w:rPr>
              <w:t>Accounting definitions</w:t>
            </w:r>
          </w:p>
        </w:tc>
        <w:tc>
          <w:tcPr>
            <w:tcW w:type="dxa" w:w="3888"/>
            <w:tcMar>
              <w:top w:w="65" w:type="dxa"/>
              <w:bottom w:w="65" w:type="dxa"/>
              <w:left w:w="80" w:type="dxa"/>
              <w:right w:w="80" w:type="dxa"/>
            </w:tcMar>
          </w:tcPr>
          <w:p>
            <w:pPr>
              <w:keepNext w:val="0"/>
              <w:keepLines/>
              <w:spacing w:after="0" w:line="240" w:lineRule="auto"/>
            </w:pPr>
            <w:r>
              <w:rPr>
                <w:rFonts w:ascii="Times New Roman" w:hAnsi="Times New Roman"/>
                <w:b w:val="0"/>
                <w:sz w:val="21"/>
              </w:rPr>
              <w:t>Change in covered expenses, revenue or reporting entities</w:t>
            </w:r>
          </w:p>
        </w:tc>
        <w:tc>
          <w:tcPr>
            <w:tcW w:type="dxa" w:w="4320"/>
            <w:tcMar>
              <w:top w:w="65" w:type="dxa"/>
              <w:bottom w:w="65" w:type="dxa"/>
              <w:left w:w="80" w:type="dxa"/>
              <w:right w:w="80" w:type="dxa"/>
            </w:tcMar>
          </w:tcPr>
          <w:p>
            <w:pPr>
              <w:keepNext w:val="0"/>
              <w:keepLines/>
              <w:spacing w:after="0" w:line="240" w:lineRule="auto"/>
            </w:pPr>
            <w:r>
              <w:rPr>
                <w:rFonts w:ascii="Times New Roman" w:hAnsi="Times New Roman"/>
                <w:b w:val="0"/>
                <w:sz w:val="21"/>
              </w:rPr>
              <w:t>Any definition change awaiting review.</w:t>
            </w:r>
          </w:p>
        </w:tc>
      </w:tr>
      <w:tr>
        <w:trPr>
          <w:cantSplit/>
        </w:trPr>
        <w:tc>
          <w:tcPr>
            <w:tcW w:type="dxa" w:w="1872"/>
            <w:tcMar>
              <w:top w:w="65" w:type="dxa"/>
              <w:bottom w:w="65" w:type="dxa"/>
              <w:left w:w="80" w:type="dxa"/>
              <w:right w:w="80" w:type="dxa"/>
            </w:tcMar>
          </w:tcPr>
          <w:p>
            <w:pPr>
              <w:keepNext w:val="0"/>
              <w:keepLines/>
              <w:spacing w:after="0" w:line="240" w:lineRule="auto"/>
            </w:pPr>
            <w:r>
              <w:rPr>
                <w:rFonts w:ascii="Times New Roman" w:hAnsi="Times New Roman"/>
                <w:b w:val="0"/>
                <w:sz w:val="21"/>
              </w:rPr>
              <w:t>EF trend</w:t>
            </w:r>
          </w:p>
        </w:tc>
        <w:tc>
          <w:tcPr>
            <w:tcW w:type="dxa" w:w="3888"/>
            <w:tcMar>
              <w:top w:w="65" w:type="dxa"/>
              <w:bottom w:w="65" w:type="dxa"/>
              <w:left w:w="80" w:type="dxa"/>
              <w:right w:w="80" w:type="dxa"/>
            </w:tcMar>
          </w:tcPr>
          <w:p>
            <w:pPr>
              <w:keepNext w:val="0"/>
              <w:keepLines/>
              <w:spacing w:after="0" w:line="240" w:lineRule="auto"/>
            </w:pPr>
            <w:r>
              <w:rPr>
                <w:rFonts w:ascii="Times New Roman" w:hAnsi="Times New Roman"/>
                <w:b w:val="0"/>
                <w:sz w:val="21"/>
              </w:rPr>
              <w:t>Size and persistence of errors, and the post-break rate of change</w:t>
            </w:r>
          </w:p>
        </w:tc>
        <w:tc>
          <w:tcPr>
            <w:tcW w:type="dxa" w:w="4320"/>
            <w:tcMar>
              <w:top w:w="65" w:type="dxa"/>
              <w:bottom w:w="65" w:type="dxa"/>
              <w:left w:w="80" w:type="dxa"/>
              <w:right w:w="80" w:type="dxa"/>
            </w:tcMar>
          </w:tcPr>
          <w:p>
            <w:pPr>
              <w:keepNext w:val="0"/>
              <w:keepLines/>
              <w:spacing w:after="0" w:line="240" w:lineRule="auto"/>
            </w:pPr>
            <w:r>
              <w:rPr>
                <w:rFonts w:ascii="Times New Roman" w:hAnsi="Times New Roman"/>
                <w:b w:val="0"/>
                <w:sz w:val="21"/>
              </w:rPr>
              <w:t>A material change. Numeric limits need approval.</w:t>
            </w:r>
          </w:p>
        </w:tc>
      </w:tr>
      <w:tr>
        <w:trPr>
          <w:cantSplit/>
        </w:trPr>
        <w:tc>
          <w:tcPr>
            <w:tcW w:type="dxa" w:w="1872"/>
            <w:tcMar>
              <w:top w:w="65" w:type="dxa"/>
              <w:bottom w:w="65" w:type="dxa"/>
              <w:left w:w="80" w:type="dxa"/>
              <w:right w:w="80" w:type="dxa"/>
            </w:tcMar>
          </w:tcPr>
          <w:p>
            <w:pPr>
              <w:keepNext w:val="0"/>
              <w:keepLines/>
              <w:spacing w:after="0" w:line="240" w:lineRule="auto"/>
            </w:pPr>
            <w:r>
              <w:rPr>
                <w:rFonts w:ascii="Times New Roman" w:hAnsi="Times New Roman"/>
                <w:b w:val="0"/>
                <w:sz w:val="21"/>
              </w:rPr>
              <w:t>Linked errors</w:t>
            </w:r>
          </w:p>
        </w:tc>
        <w:tc>
          <w:tcPr>
            <w:tcW w:type="dxa" w:w="3888"/>
            <w:tcMar>
              <w:top w:w="65" w:type="dxa"/>
              <w:bottom w:w="65" w:type="dxa"/>
              <w:left w:w="80" w:type="dxa"/>
              <w:right w:w="80" w:type="dxa"/>
            </w:tcMar>
          </w:tcPr>
          <w:p>
            <w:pPr>
              <w:keepNext w:val="0"/>
              <w:keepLines/>
              <w:spacing w:after="0" w:line="240" w:lineRule="auto"/>
            </w:pPr>
            <w:r>
              <w:rPr>
                <w:rFonts w:ascii="Times New Roman" w:hAnsi="Times New Roman"/>
                <w:b w:val="0"/>
                <w:sz w:val="21"/>
              </w:rPr>
              <w:t>Repeated patterns across quarterly errors</w:t>
            </w:r>
          </w:p>
        </w:tc>
        <w:tc>
          <w:tcPr>
            <w:tcW w:type="dxa" w:w="4320"/>
            <w:tcMar>
              <w:top w:w="65" w:type="dxa"/>
              <w:bottom w:w="65" w:type="dxa"/>
              <w:left w:w="80" w:type="dxa"/>
              <w:right w:w="80" w:type="dxa"/>
            </w:tcMar>
          </w:tcPr>
          <w:p>
            <w:pPr>
              <w:keepNext w:val="0"/>
              <w:keepLines/>
              <w:spacing w:after="0" w:line="240" w:lineRule="auto"/>
            </w:pPr>
            <w:r>
              <w:rPr>
                <w:rFonts w:ascii="Times New Roman" w:hAnsi="Times New Roman"/>
                <w:b w:val="0"/>
                <w:sz w:val="21"/>
              </w:rPr>
              <w:t>Patterns continue or grow. Current tests already flag this issue.</w:t>
            </w:r>
          </w:p>
        </w:tc>
      </w:tr>
      <w:tr>
        <w:trPr>
          <w:cantSplit/>
        </w:trPr>
        <w:tc>
          <w:tcPr>
            <w:tcW w:type="dxa" w:w="1872"/>
            <w:tcMar>
              <w:top w:w="65" w:type="dxa"/>
              <w:bottom w:w="65" w:type="dxa"/>
              <w:left w:w="80" w:type="dxa"/>
              <w:right w:w="80" w:type="dxa"/>
            </w:tcMar>
          </w:tcPr>
          <w:p>
            <w:pPr>
              <w:keepNext w:val="0"/>
              <w:keepLines/>
              <w:spacing w:after="0" w:line="240" w:lineRule="auto"/>
            </w:pPr>
            <w:r>
              <w:rPr>
                <w:rFonts w:ascii="Times New Roman" w:hAnsi="Times New Roman"/>
                <w:b w:val="0"/>
                <w:sz w:val="21"/>
              </w:rPr>
              <w:t>Forecast accuracy¹</w:t>
            </w:r>
          </w:p>
        </w:tc>
        <w:tc>
          <w:tcPr>
            <w:tcW w:type="dxa" w:w="3888"/>
            <w:tcMar>
              <w:top w:w="65" w:type="dxa"/>
              <w:bottom w:w="65" w:type="dxa"/>
              <w:left w:w="80" w:type="dxa"/>
              <w:right w:w="80" w:type="dxa"/>
            </w:tcMar>
          </w:tcPr>
          <w:p>
            <w:pPr>
              <w:keepNext w:val="0"/>
              <w:keepLines/>
              <w:spacing w:after="0" w:line="240" w:lineRule="auto"/>
            </w:pPr>
            <w:r>
              <w:rPr>
                <w:rFonts w:ascii="Times New Roman" w:hAnsi="Times New Roman"/>
                <w:b w:val="0"/>
                <w:sz w:val="21"/>
              </w:rPr>
              <w:t>RMSE over recent quarters and repeated overprediction or underprediction</w:t>
            </w:r>
          </w:p>
        </w:tc>
        <w:tc>
          <w:tcPr>
            <w:tcW w:type="dxa" w:w="4320"/>
            <w:tcMar>
              <w:top w:w="65" w:type="dxa"/>
              <w:bottom w:w="65" w:type="dxa"/>
              <w:left w:w="80" w:type="dxa"/>
              <w:right w:w="80" w:type="dxa"/>
            </w:tcMar>
          </w:tcPr>
          <w:p>
            <w:pPr>
              <w:keepNext w:val="0"/>
              <w:keepLines/>
              <w:spacing w:after="0" w:line="240" w:lineRule="auto"/>
            </w:pPr>
            <w:r>
              <w:rPr>
                <w:rFonts w:ascii="Times New Roman" w:hAnsi="Times New Roman"/>
                <w:b w:val="0"/>
                <w:sz w:val="21"/>
              </w:rPr>
              <w:t>Set and approve limits for each model version.</w:t>
            </w:r>
          </w:p>
        </w:tc>
      </w:tr>
      <w:tr>
        <w:trPr>
          <w:cantSplit/>
        </w:trPr>
        <w:tc>
          <w:tcPr>
            <w:tcW w:type="dxa" w:w="1872"/>
            <w:tcMar>
              <w:top w:w="65" w:type="dxa"/>
              <w:bottom w:w="65" w:type="dxa"/>
              <w:left w:w="80" w:type="dxa"/>
              <w:right w:w="80" w:type="dxa"/>
            </w:tcMar>
          </w:tcPr>
          <w:p>
            <w:pPr>
              <w:keepNext w:val="0"/>
              <w:keepLines/>
              <w:spacing w:after="0" w:line="240" w:lineRule="auto"/>
            </w:pPr>
            <w:r>
              <w:rPr>
                <w:rFonts w:ascii="Times New Roman" w:hAnsi="Times New Roman"/>
                <w:b w:val="0"/>
                <w:sz w:val="21"/>
              </w:rPr>
              <w:t>Scenario behavior¹</w:t>
            </w:r>
          </w:p>
        </w:tc>
        <w:tc>
          <w:tcPr>
            <w:tcW w:type="dxa" w:w="3888"/>
            <w:tcMar>
              <w:top w:w="65" w:type="dxa"/>
              <w:bottom w:w="65" w:type="dxa"/>
              <w:left w:w="80" w:type="dxa"/>
              <w:right w:w="80" w:type="dxa"/>
            </w:tcMar>
          </w:tcPr>
          <w:p>
            <w:pPr>
              <w:keepNext w:val="0"/>
              <w:keepLines/>
              <w:spacing w:after="0" w:line="240" w:lineRule="auto"/>
            </w:pPr>
            <w:r>
              <w:rPr>
                <w:rFonts w:ascii="Times New Roman" w:hAnsi="Times New Roman"/>
                <w:b w:val="0"/>
                <w:sz w:val="21"/>
              </w:rPr>
              <w:t>Reasonableness of paths, timing and response to changed inputs</w:t>
            </w:r>
          </w:p>
        </w:tc>
        <w:tc>
          <w:tcPr>
            <w:tcW w:type="dxa" w:w="4320"/>
            <w:tcMar>
              <w:top w:w="65" w:type="dxa"/>
              <w:bottom w:w="65" w:type="dxa"/>
              <w:left w:w="80" w:type="dxa"/>
              <w:right w:w="80" w:type="dxa"/>
            </w:tcMar>
          </w:tcPr>
          <w:p>
            <w:pPr>
              <w:keepNext w:val="0"/>
              <w:keepLines/>
              <w:spacing w:after="0" w:line="240" w:lineRule="auto"/>
            </w:pPr>
            <w:r>
              <w:rPr>
                <w:rFonts w:ascii="Times New Roman" w:hAnsi="Times New Roman"/>
                <w:b w:val="0"/>
                <w:sz w:val="21"/>
              </w:rPr>
              <w:t>An unexpected direction, timing or unexplained change.</w:t>
            </w:r>
          </w:p>
        </w:tc>
      </w:tr>
      <w:tr>
        <w:trPr>
          <w:cantSplit/>
        </w:trPr>
        <w:tc>
          <w:tcPr>
            <w:tcW w:type="dxa" w:w="1872"/>
            <w:tcMar>
              <w:top w:w="65" w:type="dxa"/>
              <w:bottom w:w="65" w:type="dxa"/>
              <w:left w:w="80" w:type="dxa"/>
              <w:right w:w="80" w:type="dxa"/>
            </w:tcMar>
          </w:tcPr>
          <w:p>
            <w:pPr>
              <w:keepNext w:val="0"/>
              <w:keepLines/>
              <w:spacing w:after="0" w:line="240" w:lineRule="auto"/>
            </w:pPr>
            <w:r>
              <w:rPr>
                <w:rFonts w:ascii="Times New Roman" w:hAnsi="Times New Roman"/>
                <w:b w:val="0"/>
                <w:sz w:val="21"/>
              </w:rPr>
              <w:t>Manual adjustment¹</w:t>
            </w:r>
          </w:p>
        </w:tc>
        <w:tc>
          <w:tcPr>
            <w:tcW w:type="dxa" w:w="3888"/>
            <w:tcMar>
              <w:top w:w="65" w:type="dxa"/>
              <w:bottom w:w="65" w:type="dxa"/>
              <w:left w:w="80" w:type="dxa"/>
              <w:right w:w="80" w:type="dxa"/>
            </w:tcMar>
          </w:tcPr>
          <w:p>
            <w:pPr>
              <w:keepNext w:val="0"/>
              <w:keepLines/>
              <w:spacing w:after="0" w:line="240" w:lineRule="auto"/>
            </w:pPr>
            <w:r>
              <w:rPr>
                <w:rFonts w:ascii="Times New Roman" w:hAnsi="Times New Roman"/>
                <w:b w:val="0"/>
                <w:sz w:val="21"/>
              </w:rPr>
              <w:t>Size, duration and accuracy compared with the original forecast</w:t>
            </w:r>
          </w:p>
        </w:tc>
        <w:tc>
          <w:tcPr>
            <w:tcW w:type="dxa" w:w="4320"/>
            <w:tcMar>
              <w:top w:w="65" w:type="dxa"/>
              <w:bottom w:w="65" w:type="dxa"/>
              <w:left w:w="80" w:type="dxa"/>
              <w:right w:w="80" w:type="dxa"/>
            </w:tcMar>
          </w:tcPr>
          <w:p>
            <w:pPr>
              <w:keepNext w:val="0"/>
              <w:keepLines/>
              <w:spacing w:after="0" w:line="240" w:lineRule="auto"/>
            </w:pPr>
            <w:r>
              <w:rPr>
                <w:rFonts w:ascii="Times New Roman" w:hAnsi="Times New Roman"/>
                <w:b w:val="0"/>
                <w:sz w:val="21"/>
              </w:rPr>
              <w:t>An extension lacks approval or the original reason no longer holds.</w:t>
            </w:r>
          </w:p>
        </w:tc>
      </w:tr>
    </w:tbl>
    <w:p>
      <w:pPr>
        <w:keepNext w:val="0"/>
        <w:keepLines w:val="0"/>
        <w:spacing w:line="254" w:lineRule="auto" w:after="120"/>
      </w:pPr>
      <w:r>
        <w:rPr>
          <w:sz w:val="21"/>
        </w:rPr>
        <w:t>The team should set and approve numeric limits for the revised model. Earlier draft limits need review before reuse. ¹These checks apply once the forecasting or overlay process is established. Source: Proposed controls; INFO-03 and INFO-04.</w:t>
      </w:r>
    </w:p>
    <w:p>
      <w:pPr>
        <w:pStyle w:val="Heading2"/>
        <w:keepNext/>
        <w:pageBreakBefore w:val="0"/>
        <w:spacing w:before="200" w:after="140"/>
      </w:pPr>
      <w:r>
        <w:rPr>
          <w:rFonts w:ascii="Arial" w:hAnsi="Arial"/>
          <w:b/>
          <w:color w:val="000000"/>
        </w:rPr>
        <w:t>8.7 Reporting and fixing issues</w:t>
      </w:r>
    </w:p>
    <w:p>
      <w:pPr>
        <w:keepNext w:val="0"/>
        <w:keepLines w:val="0"/>
        <w:spacing w:line="254" w:lineRule="auto" w:after="120"/>
      </w:pPr>
      <w:r>
        <w:rPr>
          <w:sz w:val="23"/>
        </w:rPr>
        <w:t>The analyst should first check for data and calculation errors. The owner should then review business explanations and the size of the effect. Report important issues to the business user and independent reviewer under the agreed process.</w:t>
      </w:r>
    </w:p>
    <w:p>
      <w:pPr>
        <w:keepNext w:val="0"/>
        <w:keepLines w:val="0"/>
        <w:spacing w:line="254" w:lineRule="auto" w:after="120"/>
      </w:pPr>
      <w:r>
        <w:rPr>
          <w:sz w:val="23"/>
        </w:rPr>
        <w:t>Possible actions include fixing data, limiting use or carrying out more analysis. The team may also propose a temporary adjustment or a model update. Choose the action after reviewing the cause. Keep the previous version and assess the effect of any update. Obtain the required review before release.</w:t>
      </w:r>
    </w:p>
    <w:p>
      <w:pPr>
        <w:pStyle w:val="Heading2"/>
        <w:keepNext/>
        <w:pageBreakBefore w:val="0"/>
        <w:spacing w:before="200" w:after="140"/>
      </w:pPr>
      <w:r>
        <w:rPr>
          <w:rFonts w:ascii="Arial" w:hAnsi="Arial"/>
          <w:b/>
          <w:color w:val="000000"/>
        </w:rPr>
        <w:t>8.8 Monitoring conclusion</w:t>
      </w:r>
    </w:p>
    <w:p>
      <w:pPr>
        <w:keepNext w:val="0"/>
        <w:keepLines w:val="0"/>
        <w:spacing w:line="254" w:lineRule="auto" w:after="120"/>
      </w:pPr>
      <w:r>
        <w:rPr>
          <w:sz w:val="23"/>
        </w:rPr>
        <w:t>Monitoring should show when the data, trend or forecast behavior have changed. Set warning limits using the approved model’s performance and the financial impact of errors. Review those limits as more results become available.</w:t>
      </w:r>
    </w:p>
    <w:p>
      <w:pPr>
        <w:pStyle w:val="Heading1"/>
        <w:keepNext/>
        <w:pageBreakBefore/>
        <w:spacing w:before="0" w:after="140"/>
      </w:pPr>
      <w:r>
        <w:rPr>
          <w:rFonts w:ascii="Arial" w:hAnsi="Arial"/>
          <w:b/>
          <w:color w:val="000000"/>
        </w:rPr>
        <w:t>9. Procedures</w:t>
      </w:r>
    </w:p>
    <w:p>
      <w:pPr>
        <w:pStyle w:val="Heading2"/>
        <w:keepNext/>
        <w:pageBreakBefore w:val="0"/>
        <w:spacing w:before="200" w:after="140"/>
      </w:pPr>
      <w:r>
        <w:rPr>
          <w:rFonts w:ascii="Arial" w:hAnsi="Arial"/>
          <w:b/>
          <w:color w:val="000000"/>
        </w:rPr>
        <w:t>9.1 Repeating the current trend analysis</w:t>
      </w:r>
    </w:p>
    <w:p>
      <w:pPr>
        <w:keepNext/>
        <w:keepLines w:val="0"/>
        <w:spacing w:line="254" w:lineRule="auto" w:after="120"/>
      </w:pPr>
      <w:r>
        <w:rPr>
          <w:b/>
          <w:sz w:val="23"/>
        </w:rPr>
        <w:t>Table 9.1. Steps for the current analysis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648"/>
        <w:gridCol w:w="5544"/>
        <w:gridCol w:w="3888"/>
      </w:tblGrid>
      <w:tr>
        <w:trPr>
          <w:cantSplit/>
          <w:tblHeader/>
        </w:trPr>
        <w:tc>
          <w:tcPr>
            <w:tcW w:type="dxa" w:w="648"/>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Step</w:t>
            </w:r>
          </w:p>
        </w:tc>
        <w:tc>
          <w:tcPr>
            <w:tcW w:type="dxa" w:w="5544"/>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Action</w:t>
            </w:r>
          </w:p>
        </w:tc>
        <w:tc>
          <w:tcPr>
            <w:tcW w:type="dxa" w:w="3888"/>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Record retained</w:t>
            </w:r>
          </w:p>
        </w:tc>
      </w:tr>
      <w:tr>
        <w:trPr>
          <w:cantSplit/>
        </w:trPr>
        <w:tc>
          <w:tcPr>
            <w:tcW w:type="dxa" w:w="648"/>
            <w:tcMar>
              <w:top w:w="65" w:type="dxa"/>
              <w:bottom w:w="65" w:type="dxa"/>
              <w:left w:w="80" w:type="dxa"/>
              <w:right w:w="80" w:type="dxa"/>
            </w:tcMar>
          </w:tcPr>
          <w:p>
            <w:pPr>
              <w:keepNext w:val="0"/>
              <w:keepLines/>
              <w:spacing w:after="0" w:line="240" w:lineRule="auto"/>
            </w:pPr>
            <w:r>
              <w:rPr>
                <w:rFonts w:ascii="Times New Roman" w:hAnsi="Times New Roman"/>
                <w:b w:val="0"/>
                <w:sz w:val="21"/>
              </w:rPr>
              <w:t>1</w:t>
            </w:r>
          </w:p>
        </w:tc>
        <w:tc>
          <w:tcPr>
            <w:tcW w:type="dxa" w:w="5544"/>
            <w:tcMar>
              <w:top w:w="65" w:type="dxa"/>
              <w:bottom w:w="65" w:type="dxa"/>
              <w:left w:w="80" w:type="dxa"/>
              <w:right w:w="80" w:type="dxa"/>
            </w:tcMar>
          </w:tcPr>
          <w:p>
            <w:pPr>
              <w:keepNext w:val="0"/>
              <w:keepLines/>
              <w:spacing w:after="0" w:line="240" w:lineRule="auto"/>
            </w:pPr>
            <w:r>
              <w:rPr>
                <w:rFonts w:ascii="Times New Roman" w:hAnsi="Times New Roman"/>
                <w:b w:val="0"/>
                <w:sz w:val="21"/>
              </w:rPr>
              <w:t>Save the inputs and identify the model version.</w:t>
            </w:r>
          </w:p>
        </w:tc>
        <w:tc>
          <w:tcPr>
            <w:tcW w:type="dxa" w:w="3888"/>
            <w:tcMar>
              <w:top w:w="65" w:type="dxa"/>
              <w:bottom w:w="65" w:type="dxa"/>
              <w:left w:w="80" w:type="dxa"/>
              <w:right w:w="80" w:type="dxa"/>
            </w:tcMar>
          </w:tcPr>
          <w:p>
            <w:pPr>
              <w:keepNext w:val="0"/>
              <w:keepLines/>
              <w:spacing w:after="0" w:line="240" w:lineRule="auto"/>
            </w:pPr>
            <w:r>
              <w:rPr>
                <w:rFonts w:ascii="Times New Roman" w:hAnsi="Times New Roman"/>
                <w:b w:val="0"/>
                <w:sz w:val="21"/>
              </w:rPr>
              <w:t>Input copies, file hashes and run date</w:t>
            </w:r>
          </w:p>
        </w:tc>
      </w:tr>
      <w:tr>
        <w:trPr>
          <w:cantSplit/>
        </w:trPr>
        <w:tc>
          <w:tcPr>
            <w:tcW w:type="dxa" w:w="648"/>
            <w:tcMar>
              <w:top w:w="65" w:type="dxa"/>
              <w:bottom w:w="65" w:type="dxa"/>
              <w:left w:w="80" w:type="dxa"/>
              <w:right w:w="80" w:type="dxa"/>
            </w:tcMar>
          </w:tcPr>
          <w:p>
            <w:pPr>
              <w:keepNext w:val="0"/>
              <w:keepLines/>
              <w:spacing w:after="0" w:line="240" w:lineRule="auto"/>
            </w:pPr>
            <w:r>
              <w:rPr>
                <w:rFonts w:ascii="Times New Roman" w:hAnsi="Times New Roman"/>
                <w:b w:val="0"/>
                <w:sz w:val="21"/>
              </w:rPr>
              <w:t>2</w:t>
            </w:r>
          </w:p>
        </w:tc>
        <w:tc>
          <w:tcPr>
            <w:tcW w:type="dxa" w:w="5544"/>
            <w:tcMar>
              <w:top w:w="65" w:type="dxa"/>
              <w:bottom w:w="65" w:type="dxa"/>
              <w:left w:w="80" w:type="dxa"/>
              <w:right w:w="80" w:type="dxa"/>
            </w:tcMar>
          </w:tcPr>
          <w:p>
            <w:pPr>
              <w:keepNext w:val="0"/>
              <w:keepLines/>
              <w:spacing w:after="0" w:line="240" w:lineRule="auto"/>
            </w:pPr>
            <w:r>
              <w:rPr>
                <w:rFonts w:ascii="Times New Roman" w:hAnsi="Times New Roman"/>
                <w:b w:val="0"/>
                <w:sz w:val="21"/>
              </w:rPr>
              <w:t>Check dates, definitions and ratio units.</w:t>
            </w:r>
          </w:p>
        </w:tc>
        <w:tc>
          <w:tcPr>
            <w:tcW w:type="dxa" w:w="3888"/>
            <w:tcMar>
              <w:top w:w="65" w:type="dxa"/>
              <w:bottom w:w="65" w:type="dxa"/>
              <w:left w:w="80" w:type="dxa"/>
              <w:right w:w="80" w:type="dxa"/>
            </w:tcMar>
          </w:tcPr>
          <w:p>
            <w:pPr>
              <w:keepNext w:val="0"/>
              <w:keepLines/>
              <w:spacing w:after="0" w:line="240" w:lineRule="auto"/>
            </w:pPr>
            <w:r>
              <w:rPr>
                <w:rFonts w:ascii="Times New Roman" w:hAnsi="Times New Roman"/>
                <w:b w:val="0"/>
                <w:sz w:val="21"/>
              </w:rPr>
              <w:t>Data checks and accounting comparison</w:t>
            </w:r>
          </w:p>
        </w:tc>
      </w:tr>
      <w:tr>
        <w:trPr>
          <w:cantSplit/>
        </w:trPr>
        <w:tc>
          <w:tcPr>
            <w:tcW w:type="dxa" w:w="648"/>
            <w:tcMar>
              <w:top w:w="65" w:type="dxa"/>
              <w:bottom w:w="65" w:type="dxa"/>
              <w:left w:w="80" w:type="dxa"/>
              <w:right w:w="80" w:type="dxa"/>
            </w:tcMar>
          </w:tcPr>
          <w:p>
            <w:pPr>
              <w:keepNext w:val="0"/>
              <w:keepLines/>
              <w:spacing w:after="0" w:line="240" w:lineRule="auto"/>
            </w:pPr>
            <w:r>
              <w:rPr>
                <w:rFonts w:ascii="Times New Roman" w:hAnsi="Times New Roman"/>
                <w:b w:val="0"/>
                <w:sz w:val="21"/>
              </w:rPr>
              <w:t>3</w:t>
            </w:r>
          </w:p>
        </w:tc>
        <w:tc>
          <w:tcPr>
            <w:tcW w:type="dxa" w:w="5544"/>
            <w:tcMar>
              <w:top w:w="65" w:type="dxa"/>
              <w:bottom w:w="65" w:type="dxa"/>
              <w:left w:w="80" w:type="dxa"/>
              <w:right w:w="80" w:type="dxa"/>
            </w:tcMar>
          </w:tcPr>
          <w:p>
            <w:pPr>
              <w:keepNext w:val="0"/>
              <w:keepLines/>
              <w:spacing w:after="0" w:line="240" w:lineRule="auto"/>
            </w:pPr>
            <w:r>
              <w:rPr>
                <w:rFonts w:ascii="Times New Roman" w:hAnsi="Times New Roman"/>
                <w:b w:val="0"/>
                <w:sz w:val="21"/>
              </w:rPr>
              <w:t>Apply the two documented 2017 averages.</w:t>
            </w:r>
          </w:p>
        </w:tc>
        <w:tc>
          <w:tcPr>
            <w:tcW w:type="dxa" w:w="3888"/>
            <w:tcMar>
              <w:top w:w="65" w:type="dxa"/>
              <w:bottom w:w="65" w:type="dxa"/>
              <w:left w:w="80" w:type="dxa"/>
              <w:right w:w="80" w:type="dxa"/>
            </w:tcMar>
          </w:tcPr>
          <w:p>
            <w:pPr>
              <w:keepNext w:val="0"/>
              <w:keepLines/>
              <w:spacing w:after="0" w:line="240" w:lineRule="auto"/>
            </w:pPr>
            <w:r>
              <w:rPr>
                <w:rFonts w:ascii="Times New Roman" w:hAnsi="Times New Roman"/>
                <w:b w:val="0"/>
                <w:sz w:val="21"/>
              </w:rPr>
              <w:t>Original and prepared values</w:t>
            </w:r>
          </w:p>
        </w:tc>
      </w:tr>
      <w:tr>
        <w:trPr>
          <w:cantSplit/>
        </w:trPr>
        <w:tc>
          <w:tcPr>
            <w:tcW w:type="dxa" w:w="648"/>
            <w:tcMar>
              <w:top w:w="65" w:type="dxa"/>
              <w:bottom w:w="65" w:type="dxa"/>
              <w:left w:w="80" w:type="dxa"/>
              <w:right w:w="80" w:type="dxa"/>
            </w:tcMar>
          </w:tcPr>
          <w:p>
            <w:pPr>
              <w:keepNext w:val="0"/>
              <w:keepLines/>
              <w:spacing w:after="0" w:line="240" w:lineRule="auto"/>
            </w:pPr>
            <w:r>
              <w:rPr>
                <w:rFonts w:ascii="Times New Roman" w:hAnsi="Times New Roman"/>
                <w:b w:val="0"/>
                <w:sz w:val="21"/>
              </w:rPr>
              <w:t>4</w:t>
            </w:r>
          </w:p>
        </w:tc>
        <w:tc>
          <w:tcPr>
            <w:tcW w:type="dxa" w:w="5544"/>
            <w:tcMar>
              <w:top w:w="65" w:type="dxa"/>
              <w:bottom w:w="65" w:type="dxa"/>
              <w:left w:w="80" w:type="dxa"/>
              <w:right w:w="80" w:type="dxa"/>
            </w:tcMar>
          </w:tcPr>
          <w:p>
            <w:pPr>
              <w:keepNext w:val="0"/>
              <w:keepLines/>
              <w:spacing w:after="0" w:line="240" w:lineRule="auto"/>
            </w:pPr>
            <w:r>
              <w:rPr>
                <w:rFonts w:ascii="Times New Roman" w:hAnsi="Times New Roman"/>
                <w:b w:val="0"/>
                <w:sz w:val="21"/>
              </w:rPr>
              <w:t>Calculate t, D and D × t on the full calendar.</w:t>
            </w:r>
          </w:p>
        </w:tc>
        <w:tc>
          <w:tcPr>
            <w:tcW w:type="dxa" w:w="3888"/>
            <w:tcMar>
              <w:top w:w="65" w:type="dxa"/>
              <w:bottom w:w="65" w:type="dxa"/>
              <w:left w:w="80" w:type="dxa"/>
              <w:right w:w="80" w:type="dxa"/>
            </w:tcMar>
          </w:tcPr>
          <w:p>
            <w:pPr>
              <w:keepNext w:val="0"/>
              <w:keepLines/>
              <w:spacing w:after="0" w:line="240" w:lineRule="auto"/>
            </w:pPr>
            <w:r>
              <w:rPr>
                <w:rFonts w:ascii="Times New Roman" w:hAnsi="Times New Roman"/>
                <w:b w:val="0"/>
                <w:sz w:val="21"/>
              </w:rPr>
              <w:t>Prepared model inputs</w:t>
            </w:r>
          </w:p>
        </w:tc>
      </w:tr>
      <w:tr>
        <w:trPr>
          <w:cantSplit/>
        </w:trPr>
        <w:tc>
          <w:tcPr>
            <w:tcW w:type="dxa" w:w="648"/>
            <w:tcMar>
              <w:top w:w="65" w:type="dxa"/>
              <w:bottom w:w="65" w:type="dxa"/>
              <w:left w:w="80" w:type="dxa"/>
              <w:right w:w="80" w:type="dxa"/>
            </w:tcMar>
          </w:tcPr>
          <w:p>
            <w:pPr>
              <w:keepNext w:val="0"/>
              <w:keepLines/>
              <w:spacing w:after="0" w:line="240" w:lineRule="auto"/>
            </w:pPr>
            <w:r>
              <w:rPr>
                <w:rFonts w:ascii="Times New Roman" w:hAnsi="Times New Roman"/>
                <w:b w:val="0"/>
                <w:sz w:val="21"/>
              </w:rPr>
              <w:t>5</w:t>
            </w:r>
          </w:p>
        </w:tc>
        <w:tc>
          <w:tcPr>
            <w:tcW w:type="dxa" w:w="5544"/>
            <w:tcMar>
              <w:top w:w="65" w:type="dxa"/>
              <w:bottom w:w="65" w:type="dxa"/>
              <w:left w:w="80" w:type="dxa"/>
              <w:right w:w="80" w:type="dxa"/>
            </w:tcMar>
          </w:tcPr>
          <w:p>
            <w:pPr>
              <w:keepNext w:val="0"/>
              <w:keepLines/>
              <w:spacing w:after="0" w:line="240" w:lineRule="auto"/>
            </w:pPr>
            <w:r>
              <w:rPr>
                <w:rFonts w:ascii="Times New Roman" w:hAnsi="Times New Roman"/>
                <w:b w:val="0"/>
                <w:sz w:val="21"/>
              </w:rPr>
              <w:t>Fit OLS to the 51-quarter and 60-quarter samples.</w:t>
            </w:r>
          </w:p>
        </w:tc>
        <w:tc>
          <w:tcPr>
            <w:tcW w:type="dxa" w:w="3888"/>
            <w:tcMar>
              <w:top w:w="65" w:type="dxa"/>
              <w:bottom w:w="65" w:type="dxa"/>
              <w:left w:w="80" w:type="dxa"/>
              <w:right w:w="80" w:type="dxa"/>
            </w:tcMar>
          </w:tcPr>
          <w:p>
            <w:pPr>
              <w:keepNext w:val="0"/>
              <w:keepLines/>
              <w:spacing w:after="0" w:line="240" w:lineRule="auto"/>
            </w:pPr>
            <w:r>
              <w:rPr>
                <w:rFonts w:ascii="Times New Roman" w:hAnsi="Times New Roman"/>
                <w:b w:val="0"/>
                <w:sz w:val="21"/>
              </w:rPr>
              <w:t>Unrounded estimates and uncertainty calculations</w:t>
            </w:r>
          </w:p>
        </w:tc>
      </w:tr>
      <w:tr>
        <w:trPr>
          <w:cantSplit/>
        </w:trPr>
        <w:tc>
          <w:tcPr>
            <w:tcW w:type="dxa" w:w="648"/>
            <w:tcMar>
              <w:top w:w="65" w:type="dxa"/>
              <w:bottom w:w="65" w:type="dxa"/>
              <w:left w:w="80" w:type="dxa"/>
              <w:right w:w="80" w:type="dxa"/>
            </w:tcMar>
          </w:tcPr>
          <w:p>
            <w:pPr>
              <w:keepNext w:val="0"/>
              <w:keepLines/>
              <w:spacing w:after="0" w:line="240" w:lineRule="auto"/>
            </w:pPr>
            <w:r>
              <w:rPr>
                <w:rFonts w:ascii="Times New Roman" w:hAnsi="Times New Roman"/>
                <w:b w:val="0"/>
                <w:sz w:val="21"/>
              </w:rPr>
              <w:t>6</w:t>
            </w:r>
          </w:p>
        </w:tc>
        <w:tc>
          <w:tcPr>
            <w:tcW w:type="dxa" w:w="5544"/>
            <w:tcMar>
              <w:top w:w="65" w:type="dxa"/>
              <w:bottom w:w="65" w:type="dxa"/>
              <w:left w:w="80" w:type="dxa"/>
              <w:right w:w="80" w:type="dxa"/>
            </w:tcMar>
          </w:tcPr>
          <w:p>
            <w:pPr>
              <w:keepNext w:val="0"/>
              <w:keepLines/>
              <w:spacing w:after="0" w:line="240" w:lineRule="auto"/>
            </w:pPr>
            <w:r>
              <w:rPr>
                <w:rFonts w:ascii="Times New Roman" w:hAnsi="Times New Roman"/>
                <w:b w:val="0"/>
                <w:sz w:val="21"/>
              </w:rPr>
              <w:t>Calculate fitted values, errors, slopes and the gap at the break.</w:t>
            </w:r>
          </w:p>
        </w:tc>
        <w:tc>
          <w:tcPr>
            <w:tcW w:type="dxa" w:w="3888"/>
            <w:tcMar>
              <w:top w:w="65" w:type="dxa"/>
              <w:bottom w:w="65" w:type="dxa"/>
              <w:left w:w="80" w:type="dxa"/>
              <w:right w:w="80" w:type="dxa"/>
            </w:tcMar>
          </w:tcPr>
          <w:p>
            <w:pPr>
              <w:keepNext w:val="0"/>
              <w:keepLines/>
              <w:spacing w:after="0" w:line="240" w:lineRule="auto"/>
            </w:pPr>
            <w:r>
              <w:rPr>
                <w:rFonts w:ascii="Times New Roman" w:hAnsi="Times New Roman"/>
                <w:b w:val="0"/>
                <w:sz w:val="21"/>
              </w:rPr>
              <w:t>Fit scores and calculated results</w:t>
            </w:r>
          </w:p>
        </w:tc>
      </w:tr>
      <w:tr>
        <w:trPr>
          <w:cantSplit/>
        </w:trPr>
        <w:tc>
          <w:tcPr>
            <w:tcW w:type="dxa" w:w="648"/>
            <w:tcMar>
              <w:top w:w="65" w:type="dxa"/>
              <w:bottom w:w="65" w:type="dxa"/>
              <w:left w:w="80" w:type="dxa"/>
              <w:right w:w="80" w:type="dxa"/>
            </w:tcMar>
          </w:tcPr>
          <w:p>
            <w:pPr>
              <w:keepNext w:val="0"/>
              <w:keepLines/>
              <w:spacing w:after="0" w:line="240" w:lineRule="auto"/>
            </w:pPr>
            <w:r>
              <w:rPr>
                <w:rFonts w:ascii="Times New Roman" w:hAnsi="Times New Roman"/>
                <w:b w:val="0"/>
                <w:sz w:val="21"/>
              </w:rPr>
              <w:t>7</w:t>
            </w:r>
          </w:p>
        </w:tc>
        <w:tc>
          <w:tcPr>
            <w:tcW w:type="dxa" w:w="5544"/>
            <w:tcMar>
              <w:top w:w="65" w:type="dxa"/>
              <w:bottom w:w="65" w:type="dxa"/>
              <w:left w:w="80" w:type="dxa"/>
              <w:right w:w="80" w:type="dxa"/>
            </w:tcMar>
          </w:tcPr>
          <w:p>
            <w:pPr>
              <w:keepNext w:val="0"/>
              <w:keepLines/>
              <w:spacing w:after="0" w:line="240" w:lineRule="auto"/>
            </w:pPr>
            <w:r>
              <w:rPr>
                <w:rFonts w:ascii="Times New Roman" w:hAnsi="Times New Roman"/>
                <w:b w:val="0"/>
                <w:sz w:val="21"/>
              </w:rPr>
              <w:t>Run the stated tests and review the limits.</w:t>
            </w:r>
          </w:p>
        </w:tc>
        <w:tc>
          <w:tcPr>
            <w:tcW w:type="dxa" w:w="3888"/>
            <w:tcMar>
              <w:top w:w="65" w:type="dxa"/>
              <w:bottom w:w="65" w:type="dxa"/>
              <w:left w:w="80" w:type="dxa"/>
              <w:right w:w="80" w:type="dxa"/>
            </w:tcMar>
          </w:tcPr>
          <w:p>
            <w:pPr>
              <w:keepNext w:val="0"/>
              <w:keepLines/>
              <w:spacing w:after="0" w:line="240" w:lineRule="auto"/>
            </w:pPr>
            <w:r>
              <w:rPr>
                <w:rFonts w:ascii="Times New Roman" w:hAnsi="Times New Roman"/>
                <w:b w:val="0"/>
                <w:sz w:val="21"/>
              </w:rPr>
              <w:t>Test settings, results and explanations</w:t>
            </w:r>
          </w:p>
        </w:tc>
      </w:tr>
      <w:tr>
        <w:trPr>
          <w:cantSplit/>
        </w:trPr>
        <w:tc>
          <w:tcPr>
            <w:tcW w:type="dxa" w:w="648"/>
            <w:tcMar>
              <w:top w:w="65" w:type="dxa"/>
              <w:bottom w:w="65" w:type="dxa"/>
              <w:left w:w="80" w:type="dxa"/>
              <w:right w:w="80" w:type="dxa"/>
            </w:tcMar>
          </w:tcPr>
          <w:p>
            <w:pPr>
              <w:keepNext w:val="0"/>
              <w:keepLines/>
              <w:spacing w:after="0" w:line="240" w:lineRule="auto"/>
            </w:pPr>
            <w:r>
              <w:rPr>
                <w:rFonts w:ascii="Times New Roman" w:hAnsi="Times New Roman"/>
                <w:b w:val="0"/>
                <w:sz w:val="21"/>
              </w:rPr>
              <w:t>8</w:t>
            </w:r>
          </w:p>
        </w:tc>
        <w:tc>
          <w:tcPr>
            <w:tcW w:type="dxa" w:w="5544"/>
            <w:tcMar>
              <w:top w:w="65" w:type="dxa"/>
              <w:bottom w:w="65" w:type="dxa"/>
              <w:left w:w="80" w:type="dxa"/>
              <w:right w:w="80" w:type="dxa"/>
            </w:tcMar>
          </w:tcPr>
          <w:p>
            <w:pPr>
              <w:keepNext w:val="0"/>
              <w:keepLines/>
              <w:spacing w:after="0" w:line="240" w:lineRule="auto"/>
            </w:pPr>
            <w:r>
              <w:rPr>
                <w:rFonts w:ascii="Times New Roman" w:hAnsi="Times New Roman"/>
                <w:b w:val="0"/>
                <w:sz w:val="21"/>
              </w:rPr>
              <w:t>Compare with the previous version and obtain review.</w:t>
            </w:r>
          </w:p>
        </w:tc>
        <w:tc>
          <w:tcPr>
            <w:tcW w:type="dxa" w:w="3888"/>
            <w:tcMar>
              <w:top w:w="65" w:type="dxa"/>
              <w:bottom w:w="65" w:type="dxa"/>
              <w:left w:w="80" w:type="dxa"/>
              <w:right w:w="80" w:type="dxa"/>
            </w:tcMar>
          </w:tcPr>
          <w:p>
            <w:pPr>
              <w:keepNext w:val="0"/>
              <w:keepLines/>
              <w:spacing w:after="0" w:line="240" w:lineRule="auto"/>
            </w:pPr>
            <w:r>
              <w:rPr>
                <w:rFonts w:ascii="Times New Roman" w:hAnsi="Times New Roman"/>
                <w:b w:val="0"/>
                <w:sz w:val="21"/>
              </w:rPr>
              <w:t>Changes in results and review record</w:t>
            </w:r>
          </w:p>
        </w:tc>
      </w:tr>
    </w:tbl>
    <w:p>
      <w:pPr>
        <w:keepNext w:val="0"/>
        <w:keepLines w:val="0"/>
        <w:spacing w:line="254" w:lineRule="auto" w:after="120"/>
      </w:pPr>
      <w:r>
        <w:rPr>
          <w:sz w:val="21"/>
        </w:rPr>
        <w:t>These steps reproduce the latest historical trend analysis. A separate approved equation is needed to run updated economic forecasts. Source: [S1–S3] and proposed controls.</w:t>
      </w:r>
    </w:p>
    <w:p>
      <w:pPr>
        <w:pStyle w:val="Heading2"/>
        <w:keepNext/>
        <w:pageBreakBefore w:val="0"/>
        <w:spacing w:before="200" w:after="140"/>
      </w:pPr>
      <w:r>
        <w:rPr>
          <w:rFonts w:ascii="Arial" w:hAnsi="Arial"/>
          <w:b/>
          <w:color w:val="000000"/>
        </w:rPr>
        <w:t>9.2 Refreshing an approved forecast</w:t>
      </w:r>
    </w:p>
    <w:p>
      <w:pPr>
        <w:keepNext w:val="0"/>
        <w:keepLines w:val="0"/>
        <w:spacing w:line="254" w:lineRule="auto" w:after="120"/>
      </w:pPr>
      <w:r>
        <w:rPr>
          <w:sz w:val="23"/>
        </w:rPr>
        <w:t>Save the approved coefficients and economic assumptions before each run. Calculate quarterly changes on a continuous calendar. Start the forecast from the agreed latest EF observation. Check the timing of each input. Save the original model output and any approved manual adjustment separately. Check the expense-dollar calculations before release.</w:t>
      </w:r>
    </w:p>
    <w:p>
      <w:pPr>
        <w:pStyle w:val="Heading2"/>
        <w:keepNext/>
        <w:pageBreakBefore w:val="0"/>
        <w:spacing w:before="200" w:after="140"/>
      </w:pPr>
      <w:r>
        <w:rPr>
          <w:rFonts w:ascii="Arial" w:hAnsi="Arial"/>
          <w:b/>
          <w:color w:val="000000"/>
        </w:rPr>
        <w:t>9.3 Updating the model</w:t>
      </w:r>
    </w:p>
    <w:p>
      <w:pPr>
        <w:keepNext w:val="0"/>
        <w:keepLines w:val="0"/>
        <w:spacing w:line="254" w:lineRule="auto" w:after="120"/>
      </w:pPr>
      <w:r>
        <w:rPr>
          <w:sz w:val="23"/>
        </w:rPr>
        <w:t>Repeat data checks and forecast tests when updating the model. Estimate the revised trend together with the chosen forecasting terms. Compare models using consistent data periods. Identify tests that reuse development data and tests on new quarters. Record changes in coefficients, errors and scenario paths. Explain what those changes mean for users.</w:t>
      </w:r>
    </w:p>
    <w:p>
      <w:pPr>
        <w:pStyle w:val="Heading2"/>
        <w:keepNext/>
        <w:pageBreakBefore w:val="0"/>
        <w:spacing w:before="200" w:after="140"/>
      </w:pPr>
      <w:r>
        <w:rPr>
          <w:rFonts w:ascii="Arial" w:hAnsi="Arial"/>
          <w:b/>
          <w:color w:val="000000"/>
        </w:rPr>
        <w:t>9.4 Keeping a reproducible record</w:t>
      </w:r>
    </w:p>
    <w:p>
      <w:pPr>
        <w:keepNext w:val="0"/>
        <w:keepLines w:val="0"/>
        <w:spacing w:line="254" w:lineRule="auto" w:after="120"/>
      </w:pPr>
      <w:r>
        <w:rPr>
          <w:sz w:val="23"/>
        </w:rPr>
        <w:t>Keep the inputs, preparation code, coefficients and outputs together. Save test settings and review records. Record software versions and manual changes. A reviewer should be able to recreate each reported table and figure from these files. Use full-precision results for calculations.</w:t>
      </w:r>
    </w:p>
    <w:p>
      <w:pPr>
        <w:pStyle w:val="Heading1"/>
        <w:keepNext/>
        <w:pageBreakBefore/>
        <w:spacing w:before="0" w:after="140"/>
      </w:pPr>
      <w:r>
        <w:rPr>
          <w:rFonts w:ascii="Arial" w:hAnsi="Arial"/>
          <w:b/>
          <w:color w:val="000000"/>
        </w:rPr>
        <w:t>10. Governance</w:t>
      </w:r>
    </w:p>
    <w:p>
      <w:pPr>
        <w:pStyle w:val="Heading2"/>
        <w:keepNext/>
        <w:pageBreakBefore w:val="0"/>
        <w:spacing w:before="200" w:after="140"/>
      </w:pPr>
      <w:r>
        <w:rPr>
          <w:rFonts w:ascii="Arial" w:hAnsi="Arial"/>
          <w:b/>
          <w:color w:val="000000"/>
        </w:rPr>
        <w:t>10.1 Purpose and 10.2 responsibilities</w:t>
      </w:r>
    </w:p>
    <w:p>
      <w:pPr>
        <w:keepNext w:val="0"/>
        <w:keepLines w:val="0"/>
        <w:spacing w:line="254" w:lineRule="auto" w:after="120"/>
      </w:pPr>
      <w:r>
        <w:rPr>
          <w:sz w:val="23"/>
        </w:rPr>
        <w:t>The owner is responsible for the model’s use and monitoring. The developer maintains the method and calculations. Finance reviews the expense definitions and business use. Model Risk Management (MRM) or an independent reviewer checks the method, tests and limits. These roles should follow the agreed internal process.</w:t>
      </w:r>
    </w:p>
    <w:p>
      <w:pPr>
        <w:pStyle w:val="Heading2"/>
        <w:keepNext/>
        <w:pageBreakBefore w:val="0"/>
        <w:spacing w:before="200" w:after="140"/>
      </w:pPr>
      <w:r>
        <w:rPr>
          <w:rFonts w:ascii="Arial" w:hAnsi="Arial"/>
          <w:b/>
          <w:color w:val="000000"/>
        </w:rPr>
        <w:t>10.3 Review, validation and audit</w:t>
      </w:r>
    </w:p>
    <w:p>
      <w:pPr>
        <w:keepNext w:val="0"/>
        <w:keepLines w:val="0"/>
        <w:spacing w:line="254" w:lineRule="auto" w:after="120"/>
      </w:pPr>
      <w:r>
        <w:rPr>
          <w:sz w:val="23"/>
        </w:rPr>
        <w:t>This document remains a development draft. The team needs records of validation, management approval, user testing and production release. Review should cover the EF definition, trend change, linked errors and forecast performance. It should also cover the expense-dollar calculation. Internal Audit may review whether the agreed governance process was followed.</w:t>
      </w:r>
    </w:p>
    <w:p>
      <w:pPr>
        <w:pStyle w:val="Heading2"/>
        <w:keepNext/>
        <w:pageBreakBefore w:val="0"/>
        <w:spacing w:before="200" w:after="140"/>
      </w:pPr>
      <w:r>
        <w:rPr>
          <w:rFonts w:ascii="Arial" w:hAnsi="Arial"/>
          <w:b/>
          <w:color w:val="000000"/>
        </w:rPr>
        <w:t>10.4 Change control</w:t>
      </w:r>
    </w:p>
    <w:p>
      <w:pPr>
        <w:keepNext/>
        <w:keepLines w:val="0"/>
        <w:spacing w:line="254" w:lineRule="auto" w:after="120"/>
      </w:pPr>
      <w:r>
        <w:rPr>
          <w:b/>
          <w:sz w:val="23"/>
        </w:rPr>
        <w:t>Table 10.1. Changes requiring documented impact review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4464"/>
        <w:gridCol w:w="5616"/>
      </w:tblGrid>
      <w:tr>
        <w:trPr>
          <w:cantSplit/>
          <w:tblHeader/>
        </w:trPr>
        <w:tc>
          <w:tcPr>
            <w:tcW w:type="dxa" w:w="4464"/>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Change</w:t>
            </w:r>
          </w:p>
        </w:tc>
        <w:tc>
          <w:tcPr>
            <w:tcW w:type="dxa" w:w="5616"/>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Reason</w:t>
            </w:r>
          </w:p>
        </w:tc>
      </w:tr>
      <w:tr>
        <w:trPr>
          <w:cantSplit/>
        </w:trPr>
        <w:tc>
          <w:tcPr>
            <w:tcW w:type="dxa" w:w="4464"/>
            <w:tcMar>
              <w:top w:w="65" w:type="dxa"/>
              <w:bottom w:w="65" w:type="dxa"/>
              <w:left w:w="80" w:type="dxa"/>
              <w:right w:w="80" w:type="dxa"/>
            </w:tcMar>
          </w:tcPr>
          <w:p>
            <w:pPr>
              <w:keepNext w:val="0"/>
              <w:keepLines/>
              <w:spacing w:after="0" w:line="240" w:lineRule="auto"/>
            </w:pPr>
            <w:r>
              <w:rPr>
                <w:rFonts w:ascii="Times New Roman" w:hAnsi="Times New Roman"/>
                <w:b w:val="0"/>
                <w:sz w:val="21"/>
              </w:rPr>
              <w:t>EF definition or reporting entities</w:t>
            </w:r>
          </w:p>
        </w:tc>
        <w:tc>
          <w:tcPr>
            <w:tcW w:type="dxa" w:w="5616"/>
            <w:tcMar>
              <w:top w:w="65" w:type="dxa"/>
              <w:bottom w:w="65" w:type="dxa"/>
              <w:left w:w="80" w:type="dxa"/>
              <w:right w:w="80" w:type="dxa"/>
            </w:tcMar>
          </w:tcPr>
          <w:p>
            <w:pPr>
              <w:keepNext w:val="0"/>
              <w:keepLines/>
              <w:spacing w:after="0" w:line="240" w:lineRule="auto"/>
            </w:pPr>
            <w:r>
              <w:rPr>
                <w:rFonts w:ascii="Times New Roman" w:hAnsi="Times New Roman"/>
                <w:b w:val="0"/>
                <w:sz w:val="21"/>
              </w:rPr>
              <w:t>Changes what EF measures and whether quarters are comparable.</w:t>
            </w:r>
          </w:p>
        </w:tc>
      </w:tr>
      <w:tr>
        <w:trPr>
          <w:cantSplit/>
        </w:trPr>
        <w:tc>
          <w:tcPr>
            <w:tcW w:type="dxa" w:w="4464"/>
            <w:tcMar>
              <w:top w:w="65" w:type="dxa"/>
              <w:bottom w:w="65" w:type="dxa"/>
              <w:left w:w="80" w:type="dxa"/>
              <w:right w:w="80" w:type="dxa"/>
            </w:tcMar>
          </w:tcPr>
          <w:p>
            <w:pPr>
              <w:keepNext w:val="0"/>
              <w:keepLines/>
              <w:spacing w:after="0" w:line="240" w:lineRule="auto"/>
            </w:pPr>
            <w:r>
              <w:rPr>
                <w:rFonts w:ascii="Times New Roman" w:hAnsi="Times New Roman"/>
                <w:b w:val="0"/>
                <w:sz w:val="21"/>
              </w:rPr>
              <w:t>Averaging or excluding observations</w:t>
            </w:r>
          </w:p>
        </w:tc>
        <w:tc>
          <w:tcPr>
            <w:tcW w:type="dxa" w:w="5616"/>
            <w:tcMar>
              <w:top w:w="65" w:type="dxa"/>
              <w:bottom w:w="65" w:type="dxa"/>
              <w:left w:w="80" w:type="dxa"/>
              <w:right w:w="80" w:type="dxa"/>
            </w:tcMar>
          </w:tcPr>
          <w:p>
            <w:pPr>
              <w:keepNext w:val="0"/>
              <w:keepLines/>
              <w:spacing w:after="0" w:line="240" w:lineRule="auto"/>
            </w:pPr>
            <w:r>
              <w:rPr>
                <w:rFonts w:ascii="Times New Roman" w:hAnsi="Times New Roman"/>
                <w:b w:val="0"/>
                <w:sz w:val="21"/>
              </w:rPr>
              <w:t>Changes the EF values or quarters used.</w:t>
            </w:r>
          </w:p>
        </w:tc>
      </w:tr>
      <w:tr>
        <w:trPr>
          <w:cantSplit/>
        </w:trPr>
        <w:tc>
          <w:tcPr>
            <w:tcW w:type="dxa" w:w="4464"/>
            <w:tcMar>
              <w:top w:w="65" w:type="dxa"/>
              <w:bottom w:w="65" w:type="dxa"/>
              <w:left w:w="80" w:type="dxa"/>
              <w:right w:w="80" w:type="dxa"/>
            </w:tcMar>
          </w:tcPr>
          <w:p>
            <w:pPr>
              <w:keepNext w:val="0"/>
              <w:keepLines/>
              <w:spacing w:after="0" w:line="240" w:lineRule="auto"/>
            </w:pPr>
            <w:r>
              <w:rPr>
                <w:rFonts w:ascii="Times New Roman" w:hAnsi="Times New Roman"/>
                <w:b w:val="0"/>
                <w:sz w:val="21"/>
              </w:rPr>
              <w:t>Break date, indicator or slope-change term</w:t>
            </w:r>
          </w:p>
        </w:tc>
        <w:tc>
          <w:tcPr>
            <w:tcW w:type="dxa" w:w="5616"/>
            <w:tcMar>
              <w:top w:w="65" w:type="dxa"/>
              <w:bottom w:w="65" w:type="dxa"/>
              <w:left w:w="80" w:type="dxa"/>
              <w:right w:w="80" w:type="dxa"/>
            </w:tcMar>
          </w:tcPr>
          <w:p>
            <w:pPr>
              <w:keepNext w:val="0"/>
              <w:keepLines/>
              <w:spacing w:after="0" w:line="240" w:lineRule="auto"/>
            </w:pPr>
            <w:r>
              <w:rPr>
                <w:rFonts w:ascii="Times New Roman" w:hAnsi="Times New Roman"/>
                <w:b w:val="0"/>
                <w:sz w:val="21"/>
              </w:rPr>
              <w:t>Changes the fitted trend and its meaning.</w:t>
            </w:r>
          </w:p>
        </w:tc>
      </w:tr>
      <w:tr>
        <w:trPr>
          <w:cantSplit/>
        </w:trPr>
        <w:tc>
          <w:tcPr>
            <w:tcW w:type="dxa" w:w="4464"/>
            <w:tcMar>
              <w:top w:w="65" w:type="dxa"/>
              <w:bottom w:w="65" w:type="dxa"/>
              <w:left w:w="80" w:type="dxa"/>
              <w:right w:w="80" w:type="dxa"/>
            </w:tcMar>
          </w:tcPr>
          <w:p>
            <w:pPr>
              <w:keepNext w:val="0"/>
              <w:keepLines/>
              <w:spacing w:after="0" w:line="240" w:lineRule="auto"/>
            </w:pPr>
            <w:r>
              <w:rPr>
                <w:rFonts w:ascii="Times New Roman" w:hAnsi="Times New Roman"/>
                <w:b w:val="0"/>
                <w:sz w:val="21"/>
              </w:rPr>
              <w:t>Past-quarter terms or economic inputs</w:t>
            </w:r>
          </w:p>
        </w:tc>
        <w:tc>
          <w:tcPr>
            <w:tcW w:type="dxa" w:w="5616"/>
            <w:tcMar>
              <w:top w:w="65" w:type="dxa"/>
              <w:bottom w:w="65" w:type="dxa"/>
              <w:left w:w="80" w:type="dxa"/>
              <w:right w:w="80" w:type="dxa"/>
            </w:tcMar>
          </w:tcPr>
          <w:p>
            <w:pPr>
              <w:keepNext w:val="0"/>
              <w:keepLines/>
              <w:spacing w:after="0" w:line="240" w:lineRule="auto"/>
            </w:pPr>
            <w:r>
              <w:rPr>
                <w:rFonts w:ascii="Times New Roman" w:hAnsi="Times New Roman"/>
                <w:b w:val="0"/>
                <w:sz w:val="21"/>
              </w:rPr>
              <w:t>Changes how past EF and economic conditions affect forecasts.</w:t>
            </w:r>
          </w:p>
        </w:tc>
      </w:tr>
      <w:tr>
        <w:trPr>
          <w:cantSplit/>
        </w:trPr>
        <w:tc>
          <w:tcPr>
            <w:tcW w:type="dxa" w:w="4464"/>
            <w:tcMar>
              <w:top w:w="65" w:type="dxa"/>
              <w:bottom w:w="65" w:type="dxa"/>
              <w:left w:w="80" w:type="dxa"/>
              <w:right w:w="80" w:type="dxa"/>
            </w:tcMar>
          </w:tcPr>
          <w:p>
            <w:pPr>
              <w:keepNext w:val="0"/>
              <w:keepLines/>
              <w:spacing w:after="0" w:line="240" w:lineRule="auto"/>
            </w:pPr>
            <w:r>
              <w:rPr>
                <w:rFonts w:ascii="Times New Roman" w:hAnsi="Times New Roman"/>
                <w:b w:val="0"/>
                <w:sz w:val="21"/>
              </w:rPr>
              <w:t>Coefficients or data version</w:t>
            </w:r>
          </w:p>
        </w:tc>
        <w:tc>
          <w:tcPr>
            <w:tcW w:type="dxa" w:w="5616"/>
            <w:tcMar>
              <w:top w:w="65" w:type="dxa"/>
              <w:bottom w:w="65" w:type="dxa"/>
              <w:left w:w="80" w:type="dxa"/>
              <w:right w:w="80" w:type="dxa"/>
            </w:tcMar>
          </w:tcPr>
          <w:p>
            <w:pPr>
              <w:keepNext w:val="0"/>
              <w:keepLines/>
              <w:spacing w:after="0" w:line="240" w:lineRule="auto"/>
            </w:pPr>
            <w:r>
              <w:rPr>
                <w:rFonts w:ascii="Times New Roman" w:hAnsi="Times New Roman"/>
                <w:b w:val="0"/>
                <w:sz w:val="21"/>
              </w:rPr>
              <w:t>Changes the fitted or forecast path.</w:t>
            </w:r>
          </w:p>
        </w:tc>
      </w:tr>
      <w:tr>
        <w:trPr>
          <w:cantSplit/>
        </w:trPr>
        <w:tc>
          <w:tcPr>
            <w:tcW w:type="dxa" w:w="4464"/>
            <w:tcMar>
              <w:top w:w="65" w:type="dxa"/>
              <w:bottom w:w="65" w:type="dxa"/>
              <w:left w:w="80" w:type="dxa"/>
              <w:right w:w="80" w:type="dxa"/>
            </w:tcMar>
          </w:tcPr>
          <w:p>
            <w:pPr>
              <w:keepNext w:val="0"/>
              <w:keepLines/>
              <w:spacing w:after="0" w:line="240" w:lineRule="auto"/>
            </w:pPr>
            <w:r>
              <w:rPr>
                <w:rFonts w:ascii="Times New Roman" w:hAnsi="Times New Roman"/>
                <w:b w:val="0"/>
                <w:sz w:val="21"/>
              </w:rPr>
              <w:t>Expense calculation, horizon or intended use</w:t>
            </w:r>
          </w:p>
        </w:tc>
        <w:tc>
          <w:tcPr>
            <w:tcW w:type="dxa" w:w="5616"/>
            <w:tcMar>
              <w:top w:w="65" w:type="dxa"/>
              <w:bottom w:w="65" w:type="dxa"/>
              <w:left w:w="80" w:type="dxa"/>
              <w:right w:w="80" w:type="dxa"/>
            </w:tcMar>
          </w:tcPr>
          <w:p>
            <w:pPr>
              <w:keepNext w:val="0"/>
              <w:keepLines/>
              <w:spacing w:after="0" w:line="240" w:lineRule="auto"/>
            </w:pPr>
            <w:r>
              <w:rPr>
                <w:rFonts w:ascii="Times New Roman" w:hAnsi="Times New Roman"/>
                <w:b w:val="0"/>
                <w:sz w:val="21"/>
              </w:rPr>
              <w:t>Changes the financial impact and the evidence needed.</w:t>
            </w:r>
          </w:p>
        </w:tc>
      </w:tr>
      <w:tr>
        <w:trPr>
          <w:cantSplit/>
        </w:trPr>
        <w:tc>
          <w:tcPr>
            <w:tcW w:type="dxa" w:w="4464"/>
            <w:tcMar>
              <w:top w:w="65" w:type="dxa"/>
              <w:bottom w:w="65" w:type="dxa"/>
              <w:left w:w="80" w:type="dxa"/>
              <w:right w:w="80" w:type="dxa"/>
            </w:tcMar>
          </w:tcPr>
          <w:p>
            <w:pPr>
              <w:keepNext w:val="0"/>
              <w:keepLines/>
              <w:spacing w:after="0" w:line="240" w:lineRule="auto"/>
            </w:pPr>
            <w:r>
              <w:rPr>
                <w:rFonts w:ascii="Times New Roman" w:hAnsi="Times New Roman"/>
                <w:b w:val="0"/>
                <w:sz w:val="21"/>
              </w:rPr>
              <w:t>Manual adjustments or monitoring limits</w:t>
            </w:r>
          </w:p>
        </w:tc>
        <w:tc>
          <w:tcPr>
            <w:tcW w:type="dxa" w:w="5616"/>
            <w:tcMar>
              <w:top w:w="65" w:type="dxa"/>
              <w:bottom w:w="65" w:type="dxa"/>
              <w:left w:w="80" w:type="dxa"/>
              <w:right w:w="80" w:type="dxa"/>
            </w:tcMar>
          </w:tcPr>
          <w:p>
            <w:pPr>
              <w:keepNext w:val="0"/>
              <w:keepLines/>
              <w:spacing w:after="0" w:line="240" w:lineRule="auto"/>
            </w:pPr>
            <w:r>
              <w:rPr>
                <w:rFonts w:ascii="Times New Roman" w:hAnsi="Times New Roman"/>
                <w:b w:val="0"/>
                <w:sz w:val="21"/>
              </w:rPr>
              <w:t>Changes how users adjust or judge the output.</w:t>
            </w:r>
          </w:p>
        </w:tc>
      </w:tr>
    </w:tbl>
    <w:p>
      <w:pPr>
        <w:keepNext w:val="0"/>
        <w:keepLines w:val="0"/>
        <w:spacing w:line="254" w:lineRule="auto" w:after="120"/>
      </w:pPr>
      <w:r>
        <w:rPr>
          <w:sz w:val="21"/>
        </w:rPr>
        <w:t>Compare each change with the approved version and keep the earlier files. Use the confirmed internal policy to decide the level of review and approval. Source: Proposed controls; INFO-04.</w:t>
      </w:r>
    </w:p>
    <w:p>
      <w:pPr>
        <w:pStyle w:val="Heading2"/>
        <w:keepNext/>
        <w:pageBreakBefore w:val="0"/>
        <w:spacing w:before="200" w:after="140"/>
      </w:pPr>
      <w:r>
        <w:rPr>
          <w:rFonts w:ascii="Arial" w:hAnsi="Arial"/>
          <w:b/>
          <w:color w:val="000000"/>
        </w:rPr>
        <w:t>10.5 Latest change and release requirements</w:t>
      </w:r>
    </w:p>
    <w:p>
      <w:pPr>
        <w:keepNext w:val="0"/>
        <w:keepLines w:val="0"/>
        <w:spacing w:line="254" w:lineRule="auto" w:after="120"/>
      </w:pPr>
      <w:r>
        <w:rPr>
          <w:sz w:val="23"/>
        </w:rPr>
        <w:t>The latest change adds D × t and keeps the two historical EF adjustments. It also uses one for the post-break period. The earlier indicator used one before the break. Before releasing an updated forecast, select the equation and complete its tests. Confirm the expense mapping, responsible staff and approvals. Update the model inventory and change log.</w:t>
      </w:r>
    </w:p>
    <w:p>
      <w:pPr>
        <w:pStyle w:val="Heading2"/>
        <w:keepNext/>
        <w:pageBreakBefore w:val="0"/>
        <w:spacing w:before="200" w:after="140"/>
      </w:pPr>
      <w:r>
        <w:rPr>
          <w:rFonts w:ascii="Arial" w:hAnsi="Arial"/>
          <w:b/>
          <w:color w:val="000000"/>
        </w:rPr>
        <w:t>10.6 Governance conclusion</w:t>
      </w:r>
    </w:p>
    <w:p>
      <w:pPr>
        <w:keepNext w:val="0"/>
        <w:keepLines w:val="0"/>
        <w:spacing w:line="254" w:lineRule="auto" w:after="120"/>
      </w:pPr>
      <w:r>
        <w:rPr>
          <w:sz w:val="23"/>
        </w:rPr>
        <w:t>This document records the latest trend results and the earlier forecast tests. Section 11.5 lists the work and information still needed before an updated forecast can be released.</w:t>
      </w:r>
    </w:p>
    <w:p>
      <w:pPr>
        <w:pStyle w:val="Heading1"/>
        <w:keepNext/>
        <w:pageBreakBefore/>
        <w:spacing w:before="0" w:after="140"/>
      </w:pPr>
      <w:r>
        <w:rPr>
          <w:rFonts w:ascii="Arial" w:hAnsi="Arial"/>
          <w:b/>
          <w:color w:val="000000"/>
        </w:rPr>
        <w:t>11. Appendix Information</w:t>
      </w:r>
    </w:p>
    <w:p>
      <w:pPr>
        <w:pStyle w:val="Heading2"/>
        <w:keepNext/>
        <w:pageBreakBefore w:val="0"/>
        <w:spacing w:before="200" w:after="140"/>
      </w:pPr>
      <w:r>
        <w:rPr>
          <w:rFonts w:ascii="Arial" w:hAnsi="Arial"/>
          <w:b/>
          <w:color w:val="000000"/>
        </w:rPr>
        <w:t>11.1 Variables and equivalent equations</w:t>
      </w:r>
    </w:p>
    <w:p>
      <w:pPr>
        <w:keepNext/>
        <w:keepLines w:val="0"/>
        <w:spacing w:line="254" w:lineRule="auto" w:after="120"/>
      </w:pPr>
      <w:r>
        <w:rPr>
          <w:b/>
          <w:sz w:val="23"/>
        </w:rPr>
        <w:t>Table 11.1. Current and prior-model symbols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1440"/>
        <w:gridCol w:w="5976"/>
        <w:gridCol w:w="2664"/>
      </w:tblGrid>
      <w:tr>
        <w:trPr>
          <w:cantSplit/>
          <w:tblHeader/>
        </w:trPr>
        <w:tc>
          <w:tcPr>
            <w:tcW w:type="dxa" w:w="1440"/>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Symbol</w:t>
            </w:r>
          </w:p>
        </w:tc>
        <w:tc>
          <w:tcPr>
            <w:tcW w:type="dxa" w:w="5976"/>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Definition</w:t>
            </w:r>
          </w:p>
        </w:tc>
        <w:tc>
          <w:tcPr>
            <w:tcW w:type="dxa" w:w="2664"/>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Applies to</w:t>
            </w:r>
          </w:p>
        </w:tc>
      </w:tr>
      <w:tr>
        <w:trPr>
          <w:cantSplit/>
        </w:trPr>
        <w:tc>
          <w:tcPr>
            <w:tcW w:type="dxa" w:w="1440"/>
            <w:tcMar>
              <w:top w:w="65" w:type="dxa"/>
              <w:bottom w:w="65" w:type="dxa"/>
              <w:left w:w="80" w:type="dxa"/>
              <w:right w:w="80" w:type="dxa"/>
            </w:tcMar>
          </w:tcPr>
          <w:p>
            <w:pPr>
              <w:keepNext w:val="0"/>
              <w:keepLines/>
              <w:spacing w:after="0" w:line="240" w:lineRule="auto"/>
            </w:pPr>
            <w:r>
              <w:rPr>
                <w:rFonts w:ascii="Times New Roman" w:hAnsi="Times New Roman"/>
                <w:b w:val="0"/>
                <w:sz w:val="21"/>
              </w:rPr>
              <w:t>EFₜ</w:t>
            </w:r>
          </w:p>
        </w:tc>
        <w:tc>
          <w:tcPr>
            <w:tcW w:type="dxa" w:w="5976"/>
            <w:tcMar>
              <w:top w:w="65" w:type="dxa"/>
              <w:bottom w:w="65" w:type="dxa"/>
              <w:left w:w="80" w:type="dxa"/>
              <w:right w:w="80" w:type="dxa"/>
            </w:tcMar>
          </w:tcPr>
          <w:p>
            <w:pPr>
              <w:keepNext w:val="0"/>
              <w:keepLines/>
              <w:spacing w:after="0" w:line="240" w:lineRule="auto"/>
            </w:pPr>
            <w:r>
              <w:rPr>
                <w:rFonts w:ascii="Times New Roman" w:hAnsi="Times New Roman"/>
                <w:b w:val="0"/>
                <w:sz w:val="21"/>
              </w:rPr>
              <w:t>Prepared quarterly EF, stored as a decimal</w:t>
            </w:r>
          </w:p>
        </w:tc>
        <w:tc>
          <w:tcPr>
            <w:tcW w:type="dxa" w:w="2664"/>
            <w:tcMar>
              <w:top w:w="65" w:type="dxa"/>
              <w:bottom w:w="65" w:type="dxa"/>
              <w:left w:w="80" w:type="dxa"/>
              <w:right w:w="80" w:type="dxa"/>
            </w:tcMar>
          </w:tcPr>
          <w:p>
            <w:pPr>
              <w:keepNext w:val="0"/>
              <w:keepLines/>
              <w:spacing w:after="0" w:line="240" w:lineRule="auto"/>
            </w:pPr>
            <w:r>
              <w:rPr>
                <w:rFonts w:ascii="Times New Roman" w:hAnsi="Times New Roman"/>
                <w:b w:val="0"/>
                <w:sz w:val="21"/>
              </w:rPr>
              <w:t>Both</w:t>
            </w:r>
          </w:p>
        </w:tc>
      </w:tr>
      <w:tr>
        <w:trPr>
          <w:cantSplit/>
        </w:trPr>
        <w:tc>
          <w:tcPr>
            <w:tcW w:type="dxa" w:w="1440"/>
            <w:tcMar>
              <w:top w:w="65" w:type="dxa"/>
              <w:bottom w:w="65" w:type="dxa"/>
              <w:left w:w="80" w:type="dxa"/>
              <w:right w:w="80" w:type="dxa"/>
            </w:tcMar>
          </w:tcPr>
          <w:p>
            <w:pPr>
              <w:keepNext w:val="0"/>
              <w:keepLines/>
              <w:spacing w:after="0" w:line="240" w:lineRule="auto"/>
            </w:pPr>
            <w:r>
              <w:rPr>
                <w:rFonts w:ascii="Times New Roman" w:hAnsi="Times New Roman"/>
                <w:b w:val="0"/>
                <w:sz w:val="21"/>
              </w:rPr>
              <w:t>t</w:t>
            </w:r>
          </w:p>
        </w:tc>
        <w:tc>
          <w:tcPr>
            <w:tcW w:type="dxa" w:w="5976"/>
            <w:tcMar>
              <w:top w:w="65" w:type="dxa"/>
              <w:bottom w:w="65" w:type="dxa"/>
              <w:left w:w="80" w:type="dxa"/>
              <w:right w:w="80" w:type="dxa"/>
            </w:tcMar>
          </w:tcPr>
          <w:p>
            <w:pPr>
              <w:keepNext w:val="0"/>
              <w:keepLines/>
              <w:spacing w:after="0" w:line="240" w:lineRule="auto"/>
            </w:pPr>
            <w:r>
              <w:rPr>
                <w:rFonts w:ascii="Times New Roman" w:hAnsi="Times New Roman"/>
                <w:b w:val="0"/>
                <w:sz w:val="21"/>
              </w:rPr>
              <w:t>Continuous quarter counter. 2011Q1 = 1.</w:t>
            </w:r>
          </w:p>
        </w:tc>
        <w:tc>
          <w:tcPr>
            <w:tcW w:type="dxa" w:w="2664"/>
            <w:tcMar>
              <w:top w:w="65" w:type="dxa"/>
              <w:bottom w:w="65" w:type="dxa"/>
              <w:left w:w="80" w:type="dxa"/>
              <w:right w:w="80" w:type="dxa"/>
            </w:tcMar>
          </w:tcPr>
          <w:p>
            <w:pPr>
              <w:keepNext w:val="0"/>
              <w:keepLines/>
              <w:spacing w:after="0" w:line="240" w:lineRule="auto"/>
            </w:pPr>
            <w:r>
              <w:rPr>
                <w:rFonts w:ascii="Times New Roman" w:hAnsi="Times New Roman"/>
                <w:b w:val="0"/>
                <w:sz w:val="21"/>
              </w:rPr>
              <w:t>Models that include a trend</w:t>
            </w:r>
          </w:p>
        </w:tc>
      </w:tr>
      <w:tr>
        <w:trPr>
          <w:cantSplit/>
        </w:trPr>
        <w:tc>
          <w:tcPr>
            <w:tcW w:type="dxa" w:w="1440"/>
            <w:tcMar>
              <w:top w:w="65" w:type="dxa"/>
              <w:bottom w:w="65" w:type="dxa"/>
              <w:left w:w="80" w:type="dxa"/>
              <w:right w:w="80" w:type="dxa"/>
            </w:tcMar>
          </w:tcPr>
          <w:p>
            <w:pPr>
              <w:keepNext w:val="0"/>
              <w:keepLines/>
              <w:spacing w:after="0" w:line="240" w:lineRule="auto"/>
            </w:pPr>
            <w:r>
              <w:rPr>
                <w:rFonts w:ascii="Times New Roman" w:hAnsi="Times New Roman"/>
                <w:b w:val="0"/>
                <w:sz w:val="21"/>
              </w:rPr>
              <w:t>Dₜ</w:t>
            </w:r>
          </w:p>
        </w:tc>
        <w:tc>
          <w:tcPr>
            <w:tcW w:type="dxa" w:w="5976"/>
            <w:tcMar>
              <w:top w:w="65" w:type="dxa"/>
              <w:bottom w:w="65" w:type="dxa"/>
              <w:left w:w="80" w:type="dxa"/>
              <w:right w:w="80" w:type="dxa"/>
            </w:tcMar>
          </w:tcPr>
          <w:p>
            <w:pPr>
              <w:keepNext w:val="0"/>
              <w:keepLines/>
              <w:spacing w:after="0" w:line="240" w:lineRule="auto"/>
            </w:pPr>
            <w:r>
              <w:rPr>
                <w:rFonts w:ascii="Times New Roman" w:hAnsi="Times New Roman"/>
                <w:b w:val="0"/>
                <w:sz w:val="21"/>
              </w:rPr>
              <w:t>Indicator: 0 before 2014Q1 and 1 from that quarter onward</w:t>
            </w:r>
          </w:p>
        </w:tc>
        <w:tc>
          <w:tcPr>
            <w:tcW w:type="dxa" w:w="2664"/>
            <w:tcMar>
              <w:top w:w="65" w:type="dxa"/>
              <w:bottom w:w="65" w:type="dxa"/>
              <w:left w:w="80" w:type="dxa"/>
              <w:right w:w="80" w:type="dxa"/>
            </w:tcMar>
          </w:tcPr>
          <w:p>
            <w:pPr>
              <w:keepNext w:val="0"/>
              <w:keepLines/>
              <w:spacing w:after="0" w:line="240" w:lineRule="auto"/>
            </w:pPr>
            <w:r>
              <w:rPr>
                <w:rFonts w:ascii="Times New Roman" w:hAnsi="Times New Roman"/>
                <w:b w:val="0"/>
                <w:sz w:val="21"/>
              </w:rPr>
              <w:t>Current structural model</w:t>
            </w:r>
          </w:p>
        </w:tc>
      </w:tr>
      <w:tr>
        <w:trPr>
          <w:cantSplit/>
        </w:trPr>
        <w:tc>
          <w:tcPr>
            <w:tcW w:type="dxa" w:w="1440"/>
            <w:tcMar>
              <w:top w:w="65" w:type="dxa"/>
              <w:bottom w:w="65" w:type="dxa"/>
              <w:left w:w="80" w:type="dxa"/>
              <w:right w:w="80" w:type="dxa"/>
            </w:tcMar>
          </w:tcPr>
          <w:p>
            <w:pPr>
              <w:keepNext w:val="0"/>
              <w:keepLines/>
              <w:spacing w:after="0" w:line="240" w:lineRule="auto"/>
            </w:pPr>
            <w:r>
              <w:rPr>
                <w:rFonts w:ascii="Times New Roman" w:hAnsi="Times New Roman"/>
                <w:b w:val="0"/>
                <w:sz w:val="21"/>
              </w:rPr>
              <w:t>Dₜ × t</w:t>
            </w:r>
          </w:p>
        </w:tc>
        <w:tc>
          <w:tcPr>
            <w:tcW w:type="dxa" w:w="5976"/>
            <w:tcMar>
              <w:top w:w="65" w:type="dxa"/>
              <w:bottom w:w="65" w:type="dxa"/>
              <w:left w:w="80" w:type="dxa"/>
              <w:right w:w="80" w:type="dxa"/>
            </w:tcMar>
          </w:tcPr>
          <w:p>
            <w:pPr>
              <w:keepNext w:val="0"/>
              <w:keepLines/>
              <w:spacing w:after="0" w:line="240" w:lineRule="auto"/>
            </w:pPr>
            <w:r>
              <w:rPr>
                <w:rFonts w:ascii="Times New Roman" w:hAnsi="Times New Roman"/>
                <w:b w:val="0"/>
                <w:sz w:val="21"/>
              </w:rPr>
              <w:t>0 before 2014Q1 and t from that quarter onward</w:t>
            </w:r>
          </w:p>
        </w:tc>
        <w:tc>
          <w:tcPr>
            <w:tcW w:type="dxa" w:w="2664"/>
            <w:tcMar>
              <w:top w:w="65" w:type="dxa"/>
              <w:bottom w:w="65" w:type="dxa"/>
              <w:left w:w="80" w:type="dxa"/>
              <w:right w:w="80" w:type="dxa"/>
            </w:tcMar>
          </w:tcPr>
          <w:p>
            <w:pPr>
              <w:keepNext w:val="0"/>
              <w:keepLines/>
              <w:spacing w:after="0" w:line="240" w:lineRule="auto"/>
            </w:pPr>
            <w:r>
              <w:rPr>
                <w:rFonts w:ascii="Times New Roman" w:hAnsi="Times New Roman"/>
                <w:b w:val="0"/>
                <w:sz w:val="21"/>
              </w:rPr>
              <w:t>Current structural model</w:t>
            </w:r>
          </w:p>
        </w:tc>
      </w:tr>
      <w:tr>
        <w:trPr>
          <w:cantSplit/>
        </w:trPr>
        <w:tc>
          <w:tcPr>
            <w:tcW w:type="dxa" w:w="1440"/>
            <w:tcMar>
              <w:top w:w="65" w:type="dxa"/>
              <w:bottom w:w="65" w:type="dxa"/>
              <w:left w:w="80" w:type="dxa"/>
              <w:right w:w="80" w:type="dxa"/>
            </w:tcMar>
          </w:tcPr>
          <w:p>
            <w:pPr>
              <w:keepNext w:val="0"/>
              <w:keepLines/>
              <w:spacing w:after="0" w:line="240" w:lineRule="auto"/>
            </w:pPr>
            <w:r>
              <w:rPr>
                <w:rFonts w:ascii="Times New Roman" w:hAnsi="Times New Roman"/>
                <w:b w:val="0"/>
                <w:sz w:val="21"/>
              </w:rPr>
              <w:t>β + γ</w:t>
            </w:r>
          </w:p>
        </w:tc>
        <w:tc>
          <w:tcPr>
            <w:tcW w:type="dxa" w:w="5976"/>
            <w:tcMar>
              <w:top w:w="65" w:type="dxa"/>
              <w:bottom w:w="65" w:type="dxa"/>
              <w:left w:w="80" w:type="dxa"/>
              <w:right w:w="80" w:type="dxa"/>
            </w:tcMar>
          </w:tcPr>
          <w:p>
            <w:pPr>
              <w:keepNext w:val="0"/>
              <w:keepLines/>
              <w:spacing w:after="0" w:line="240" w:lineRule="auto"/>
            </w:pPr>
            <w:r>
              <w:rPr>
                <w:rFonts w:ascii="Times New Roman" w:hAnsi="Times New Roman"/>
                <w:b w:val="0"/>
                <w:sz w:val="21"/>
              </w:rPr>
              <w:t>Post-break rate of change in ratio units per quarter</w:t>
            </w:r>
          </w:p>
        </w:tc>
        <w:tc>
          <w:tcPr>
            <w:tcW w:type="dxa" w:w="2664"/>
            <w:tcMar>
              <w:top w:w="65" w:type="dxa"/>
              <w:bottom w:w="65" w:type="dxa"/>
              <w:left w:w="80" w:type="dxa"/>
              <w:right w:w="80" w:type="dxa"/>
            </w:tcMar>
          </w:tcPr>
          <w:p>
            <w:pPr>
              <w:keepNext w:val="0"/>
              <w:keepLines/>
              <w:spacing w:after="0" w:line="240" w:lineRule="auto"/>
            </w:pPr>
            <w:r>
              <w:rPr>
                <w:rFonts w:ascii="Times New Roman" w:hAnsi="Times New Roman"/>
                <w:b w:val="0"/>
                <w:sz w:val="21"/>
              </w:rPr>
              <w:t>Current structural model</w:t>
            </w:r>
          </w:p>
        </w:tc>
      </w:tr>
      <w:tr>
        <w:trPr>
          <w:cantSplit/>
        </w:trPr>
        <w:tc>
          <w:tcPr>
            <w:tcW w:type="dxa" w:w="1440"/>
            <w:tcMar>
              <w:top w:w="65" w:type="dxa"/>
              <w:bottom w:w="65" w:type="dxa"/>
              <w:left w:w="80" w:type="dxa"/>
              <w:right w:w="80" w:type="dxa"/>
            </w:tcMar>
          </w:tcPr>
          <w:p>
            <w:pPr>
              <w:keepNext w:val="0"/>
              <w:keepLines/>
              <w:spacing w:after="0" w:line="240" w:lineRule="auto"/>
            </w:pPr>
            <w:r>
              <w:rPr>
                <w:rFonts w:ascii="Times New Roman" w:hAnsi="Times New Roman"/>
                <w:b w:val="0"/>
                <w:sz w:val="21"/>
              </w:rPr>
              <w:t>θ + 13γ</w:t>
            </w:r>
          </w:p>
        </w:tc>
        <w:tc>
          <w:tcPr>
            <w:tcW w:type="dxa" w:w="5976"/>
            <w:tcMar>
              <w:top w:w="65" w:type="dxa"/>
              <w:bottom w:w="65" w:type="dxa"/>
              <w:left w:w="80" w:type="dxa"/>
              <w:right w:w="80" w:type="dxa"/>
            </w:tcMar>
          </w:tcPr>
          <w:p>
            <w:pPr>
              <w:keepNext w:val="0"/>
              <w:keepLines/>
              <w:spacing w:after="0" w:line="240" w:lineRule="auto"/>
            </w:pPr>
            <w:r>
              <w:rPr>
                <w:rFonts w:ascii="Times New Roman" w:hAnsi="Times New Roman"/>
                <w:b w:val="0"/>
                <w:sz w:val="21"/>
              </w:rPr>
              <w:t>Gap between the two fitted lines at 2014Q1</w:t>
            </w:r>
          </w:p>
        </w:tc>
        <w:tc>
          <w:tcPr>
            <w:tcW w:type="dxa" w:w="2664"/>
            <w:tcMar>
              <w:top w:w="65" w:type="dxa"/>
              <w:bottom w:w="65" w:type="dxa"/>
              <w:left w:w="80" w:type="dxa"/>
              <w:right w:w="80" w:type="dxa"/>
            </w:tcMar>
          </w:tcPr>
          <w:p>
            <w:pPr>
              <w:keepNext w:val="0"/>
              <w:keepLines/>
              <w:spacing w:after="0" w:line="240" w:lineRule="auto"/>
            </w:pPr>
            <w:r>
              <w:rPr>
                <w:rFonts w:ascii="Times New Roman" w:hAnsi="Times New Roman"/>
                <w:b w:val="0"/>
                <w:sz w:val="21"/>
              </w:rPr>
              <w:t>Current structural model</w:t>
            </w:r>
          </w:p>
        </w:tc>
      </w:tr>
      <w:tr>
        <w:trPr>
          <w:cantSplit/>
        </w:trPr>
        <w:tc>
          <w:tcPr>
            <w:tcW w:type="dxa" w:w="1440"/>
            <w:tcMar>
              <w:top w:w="65" w:type="dxa"/>
              <w:bottom w:w="65" w:type="dxa"/>
              <w:left w:w="80" w:type="dxa"/>
              <w:right w:w="80" w:type="dxa"/>
            </w:tcMar>
          </w:tcPr>
          <w:p>
            <w:pPr>
              <w:keepNext w:val="0"/>
              <w:keepLines/>
              <w:spacing w:after="0" w:line="240" w:lineRule="auto"/>
            </w:pPr>
            <w:r>
              <w:rPr>
                <w:rFonts w:ascii="Times New Roman" w:hAnsi="Times New Roman"/>
                <w:b w:val="0"/>
                <w:sz w:val="21"/>
              </w:rPr>
              <w:t>Lₜ</w:t>
            </w:r>
          </w:p>
        </w:tc>
        <w:tc>
          <w:tcPr>
            <w:tcW w:type="dxa" w:w="5976"/>
            <w:tcMar>
              <w:top w:w="65" w:type="dxa"/>
              <w:bottom w:w="65" w:type="dxa"/>
              <w:left w:w="80" w:type="dxa"/>
              <w:right w:w="80" w:type="dxa"/>
            </w:tcMar>
          </w:tcPr>
          <w:p>
            <w:pPr>
              <w:keepNext w:val="0"/>
              <w:keepLines/>
              <w:spacing w:after="0" w:line="240" w:lineRule="auto"/>
            </w:pPr>
            <w:r>
              <w:rPr>
                <w:rFonts w:ascii="Times New Roman" w:hAnsi="Times New Roman"/>
                <w:b w:val="0"/>
                <w:sz w:val="21"/>
              </w:rPr>
              <w:t>Pre-break indicator. L = 1 − D.</w:t>
            </w:r>
          </w:p>
        </w:tc>
        <w:tc>
          <w:tcPr>
            <w:tcW w:type="dxa" w:w="2664"/>
            <w:tcMar>
              <w:top w:w="65" w:type="dxa"/>
              <w:bottom w:w="65" w:type="dxa"/>
              <w:left w:w="80" w:type="dxa"/>
              <w:right w:w="80" w:type="dxa"/>
            </w:tcMar>
          </w:tcPr>
          <w:p>
            <w:pPr>
              <w:keepNext w:val="0"/>
              <w:keepLines/>
              <w:spacing w:after="0" w:line="240" w:lineRule="auto"/>
            </w:pPr>
            <w:r>
              <w:rPr>
                <w:rFonts w:ascii="Times New Roman" w:hAnsi="Times New Roman"/>
                <w:b w:val="0"/>
                <w:sz w:val="21"/>
              </w:rPr>
              <w:t>Prior ARDL models</w:t>
            </w:r>
          </w:p>
        </w:tc>
      </w:tr>
      <w:tr>
        <w:trPr>
          <w:cantSplit/>
        </w:trPr>
        <w:tc>
          <w:tcPr>
            <w:tcW w:type="dxa" w:w="1440"/>
            <w:tcMar>
              <w:top w:w="65" w:type="dxa"/>
              <w:bottom w:w="65" w:type="dxa"/>
              <w:left w:w="80" w:type="dxa"/>
              <w:right w:w="80" w:type="dxa"/>
            </w:tcMar>
          </w:tcPr>
          <w:p>
            <w:pPr>
              <w:keepNext w:val="0"/>
              <w:keepLines/>
              <w:spacing w:after="0" w:line="240" w:lineRule="auto"/>
            </w:pPr>
            <w:r>
              <w:rPr>
                <w:rFonts w:ascii="Times New Roman" w:hAnsi="Times New Roman"/>
                <w:b w:val="0"/>
                <w:sz w:val="21"/>
              </w:rPr>
              <w:t>Pₜ</w:t>
            </w:r>
          </w:p>
        </w:tc>
        <w:tc>
          <w:tcPr>
            <w:tcW w:type="dxa" w:w="5976"/>
            <w:tcMar>
              <w:top w:w="65" w:type="dxa"/>
              <w:bottom w:w="65" w:type="dxa"/>
              <w:left w:w="80" w:type="dxa"/>
              <w:right w:w="80" w:type="dxa"/>
            </w:tcMar>
          </w:tcPr>
          <w:p>
            <w:pPr>
              <w:keepNext w:val="0"/>
              <w:keepLines/>
              <w:spacing w:after="0" w:line="240" w:lineRule="auto"/>
            </w:pPr>
            <w:r>
              <w:rPr>
                <w:rFonts w:ascii="Times New Roman" w:hAnsi="Times New Roman"/>
                <w:b w:val="0"/>
                <w:sz w:val="21"/>
              </w:rPr>
              <w:t>Special term equal to 1 only in 2014Q1</w:t>
            </w:r>
          </w:p>
        </w:tc>
        <w:tc>
          <w:tcPr>
            <w:tcW w:type="dxa" w:w="2664"/>
            <w:tcMar>
              <w:top w:w="65" w:type="dxa"/>
              <w:bottom w:w="65" w:type="dxa"/>
              <w:left w:w="80" w:type="dxa"/>
              <w:right w:w="80" w:type="dxa"/>
            </w:tcMar>
          </w:tcPr>
          <w:p>
            <w:pPr>
              <w:keepNext w:val="0"/>
              <w:keepLines/>
              <w:spacing w:after="0" w:line="240" w:lineRule="auto"/>
            </w:pPr>
            <w:r>
              <w:rPr>
                <w:rFonts w:ascii="Times New Roman" w:hAnsi="Times New Roman"/>
                <w:b w:val="0"/>
                <w:sz w:val="21"/>
              </w:rPr>
              <w:t>Prior full ARDL</w:t>
            </w:r>
          </w:p>
        </w:tc>
      </w:tr>
      <w:tr>
        <w:trPr>
          <w:cantSplit/>
        </w:trPr>
        <w:tc>
          <w:tcPr>
            <w:tcW w:type="dxa" w:w="1440"/>
            <w:tcMar>
              <w:top w:w="65" w:type="dxa"/>
              <w:bottom w:w="65" w:type="dxa"/>
              <w:left w:w="80" w:type="dxa"/>
              <w:right w:w="80" w:type="dxa"/>
            </w:tcMar>
          </w:tcPr>
          <w:p>
            <w:pPr>
              <w:keepNext w:val="0"/>
              <w:keepLines/>
              <w:spacing w:after="0" w:line="240" w:lineRule="auto"/>
            </w:pPr>
            <w:r>
              <w:rPr>
                <w:rFonts w:ascii="Times New Roman" w:hAnsi="Times New Roman"/>
                <w:b w:val="0"/>
                <w:sz w:val="21"/>
              </w:rPr>
              <w:t>EFₜ₋₁</w:t>
            </w:r>
          </w:p>
        </w:tc>
        <w:tc>
          <w:tcPr>
            <w:tcW w:type="dxa" w:w="5976"/>
            <w:tcMar>
              <w:top w:w="65" w:type="dxa"/>
              <w:bottom w:w="65" w:type="dxa"/>
              <w:left w:w="80" w:type="dxa"/>
              <w:right w:w="80" w:type="dxa"/>
            </w:tcMar>
          </w:tcPr>
          <w:p>
            <w:pPr>
              <w:keepNext w:val="0"/>
              <w:keepLines/>
              <w:spacing w:after="0" w:line="240" w:lineRule="auto"/>
            </w:pPr>
            <w:r>
              <w:rPr>
                <w:rFonts w:ascii="Times New Roman" w:hAnsi="Times New Roman"/>
                <w:b w:val="0"/>
                <w:sz w:val="21"/>
              </w:rPr>
              <w:t>Prepared EF from the previous calendar quarter</w:t>
            </w:r>
          </w:p>
        </w:tc>
        <w:tc>
          <w:tcPr>
            <w:tcW w:type="dxa" w:w="2664"/>
            <w:tcMar>
              <w:top w:w="65" w:type="dxa"/>
              <w:bottom w:w="65" w:type="dxa"/>
              <w:left w:w="80" w:type="dxa"/>
              <w:right w:w="80" w:type="dxa"/>
            </w:tcMar>
          </w:tcPr>
          <w:p>
            <w:pPr>
              <w:keepNext w:val="0"/>
              <w:keepLines/>
              <w:spacing w:after="0" w:line="240" w:lineRule="auto"/>
            </w:pPr>
            <w:r>
              <w:rPr>
                <w:rFonts w:ascii="Times New Roman" w:hAnsi="Times New Roman"/>
                <w:b w:val="0"/>
                <w:sz w:val="21"/>
              </w:rPr>
              <w:t>Prior ARDL models</w:t>
            </w:r>
          </w:p>
        </w:tc>
      </w:tr>
      <w:tr>
        <w:trPr>
          <w:cantSplit/>
        </w:trPr>
        <w:tc>
          <w:tcPr>
            <w:tcW w:type="dxa" w:w="1440"/>
            <w:tcMar>
              <w:top w:w="65" w:type="dxa"/>
              <w:bottom w:w="65" w:type="dxa"/>
              <w:left w:w="80" w:type="dxa"/>
              <w:right w:w="80" w:type="dxa"/>
            </w:tcMar>
          </w:tcPr>
          <w:p>
            <w:pPr>
              <w:keepNext w:val="0"/>
              <w:keepLines/>
              <w:spacing w:after="0" w:line="240" w:lineRule="auto"/>
            </w:pPr>
            <w:r>
              <w:rPr>
                <w:rFonts w:ascii="Times New Roman" w:hAnsi="Times New Roman"/>
                <w:b w:val="0"/>
                <w:sz w:val="21"/>
              </w:rPr>
              <w:t>ΔUₜ₋₁</w:t>
            </w:r>
          </w:p>
        </w:tc>
        <w:tc>
          <w:tcPr>
            <w:tcW w:type="dxa" w:w="5976"/>
            <w:tcMar>
              <w:top w:w="65" w:type="dxa"/>
              <w:bottom w:w="65" w:type="dxa"/>
              <w:left w:w="80" w:type="dxa"/>
              <w:right w:w="80" w:type="dxa"/>
            </w:tcMar>
          </w:tcPr>
          <w:p>
            <w:pPr>
              <w:keepNext w:val="0"/>
              <w:keepLines/>
              <w:spacing w:after="0" w:line="240" w:lineRule="auto"/>
            </w:pPr>
            <w:r>
              <w:rPr>
                <w:rFonts w:ascii="Times New Roman" w:hAnsi="Times New Roman"/>
                <w:b w:val="0"/>
                <w:sz w:val="21"/>
              </w:rPr>
              <w:t>Uₜ₋₁ − Uₜ₋₂. Previous-quarter unemployment change, in percentage points.</w:t>
            </w:r>
          </w:p>
        </w:tc>
        <w:tc>
          <w:tcPr>
            <w:tcW w:type="dxa" w:w="2664"/>
            <w:tcMar>
              <w:top w:w="65" w:type="dxa"/>
              <w:bottom w:w="65" w:type="dxa"/>
              <w:left w:w="80" w:type="dxa"/>
              <w:right w:w="80" w:type="dxa"/>
            </w:tcMar>
          </w:tcPr>
          <w:p>
            <w:pPr>
              <w:keepNext w:val="0"/>
              <w:keepLines/>
              <w:spacing w:after="0" w:line="240" w:lineRule="auto"/>
            </w:pPr>
            <w:r>
              <w:rPr>
                <w:rFonts w:ascii="Times New Roman" w:hAnsi="Times New Roman"/>
                <w:b w:val="0"/>
                <w:sz w:val="21"/>
              </w:rPr>
              <w:t>Prior ARDL models</w:t>
            </w:r>
          </w:p>
        </w:tc>
      </w:tr>
    </w:tbl>
    <w:p>
      <w:pPr>
        <w:keepNext w:val="0"/>
        <w:keepLines w:val="0"/>
        <w:spacing w:line="254" w:lineRule="auto" w:after="120"/>
      </w:pPr>
      <w:r>
        <w:rPr>
          <w:sz w:val="21"/>
        </w:rPr>
        <w:t>The symbols identify which terms belong to each model. Multiply a change in ratio units by 100 to express it in percentage points. Source: [S1–S4].</w:t>
      </w:r>
    </w:p>
    <w:p>
      <w:pPr>
        <w:keepNext w:val="0"/>
        <w:keepLines w:val="0"/>
        <w:spacing w:line="254" w:lineRule="auto" w:after="120"/>
      </w:pPr>
      <w:r>
        <w:rPr>
          <w:sz w:val="23"/>
        </w:rPr>
        <w:t>The same equation can use time since the break. Define Hₜ = Dₜ(t − 13). Then Dₜt = Hₜ + 13Dₜ. In this form, the step coefficient becomes θ* = θ + 13γ. The slope change stays γ. Both forms give the same fitted values and errors. This connects the current results to the serial-correlation test in [S3].</w:t>
      </w:r>
    </w:p>
    <w:p>
      <w:pPr>
        <w:pStyle w:val="Heading2"/>
        <w:keepNext/>
        <w:pageBreakBefore w:val="0"/>
        <w:spacing w:before="200" w:after="140"/>
      </w:pPr>
      <w:r>
        <w:rPr>
          <w:rFonts w:ascii="Arial" w:hAnsi="Arial"/>
          <w:b/>
          <w:color w:val="000000"/>
        </w:rPr>
        <w:t>11.1.1 Reproduction checks</w:t>
      </w:r>
    </w:p>
    <w:p>
      <w:pPr>
        <w:keepNext w:val="0"/>
        <w:keepLines w:val="0"/>
        <w:spacing w:line="254" w:lineRule="auto" w:after="120"/>
      </w:pPr>
      <w:r>
        <w:rPr>
          <w:sz w:val="23"/>
        </w:rPr>
        <w:t>The samples contain 51 and 60 quarters. Both start in 2011Q1 and end at their stated cutoffs. The adjusted 2017Q3 and 2017Q4 values are 0.586 and 0.5796666666667. The two equivalent equations agree within 7 × 10⁻¹⁵ in their fitted values [S2]. Derived results use unrounded coefficients.</w:t>
      </w:r>
    </w:p>
    <w:p>
      <w:pPr>
        <w:pStyle w:val="Heading2"/>
        <w:keepNext/>
        <w:pageBreakBefore/>
        <w:spacing w:before="200" w:after="140"/>
      </w:pPr>
      <w:r>
        <w:rPr>
          <w:rFonts w:ascii="Arial" w:hAnsi="Arial"/>
          <w:b/>
          <w:color w:val="000000"/>
        </w:rPr>
        <w:t>11.2 Earlier ARDL estimates and checks</w:t>
      </w:r>
    </w:p>
    <w:p>
      <w:pPr>
        <w:keepNext/>
        <w:keepLines w:val="0"/>
        <w:spacing w:line="254" w:lineRule="auto" w:after="120"/>
      </w:pPr>
      <w:r>
        <w:rPr>
          <w:b/>
          <w:sz w:val="23"/>
        </w:rPr>
        <w:t>Table 11.2. Prior ARDL coefficients (p-values in parentheses)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4032"/>
        <w:gridCol w:w="2016"/>
        <w:gridCol w:w="2016"/>
        <w:gridCol w:w="2016"/>
      </w:tblGrid>
      <w:tr>
        <w:trPr>
          <w:cantSplit/>
          <w:tblHeader/>
        </w:trPr>
        <w:tc>
          <w:tcPr>
            <w:tcW w:type="dxa" w:w="4032"/>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Term</w:t>
            </w:r>
          </w:p>
        </w:tc>
        <w:tc>
          <w:tcPr>
            <w:tcW w:type="dxa" w:w="2016"/>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Full</w:t>
            </w:r>
          </w:p>
        </w:tc>
        <w:tc>
          <w:tcPr>
            <w:tcW w:type="dxa" w:w="2016"/>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Trend-only</w:t>
            </w:r>
          </w:p>
        </w:tc>
        <w:tc>
          <w:tcPr>
            <w:tcW w:type="dxa" w:w="2016"/>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Reduced</w:t>
            </w:r>
          </w:p>
        </w:tc>
      </w:tr>
      <w:tr>
        <w:trPr>
          <w:cantSplit/>
        </w:trPr>
        <w:tc>
          <w:tcPr>
            <w:tcW w:type="dxa" w:w="4032"/>
            <w:tcMar>
              <w:top w:w="65" w:type="dxa"/>
              <w:bottom w:w="65" w:type="dxa"/>
              <w:left w:w="80" w:type="dxa"/>
              <w:right w:w="80" w:type="dxa"/>
            </w:tcMar>
          </w:tcPr>
          <w:p>
            <w:pPr>
              <w:keepNext w:val="0"/>
              <w:keepLines/>
              <w:spacing w:after="0" w:line="240" w:lineRule="auto"/>
            </w:pPr>
            <w:r>
              <w:rPr>
                <w:rFonts w:ascii="Times New Roman" w:hAnsi="Times New Roman"/>
                <w:b w:val="0"/>
                <w:sz w:val="21"/>
              </w:rPr>
              <w:t>Constant</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0.197857</w:t>
              <w:br/>
              <w:t>(0.0147)</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0.220238</w:t>
              <w:br/>
              <w:t>(0.0052)</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0.146773</w:t>
              <w:br/>
              <w:t>(0.0020)</w:t>
            </w:r>
          </w:p>
        </w:tc>
      </w:tr>
      <w:tr>
        <w:trPr>
          <w:cantSplit/>
        </w:trPr>
        <w:tc>
          <w:tcPr>
            <w:tcW w:type="dxa" w:w="4032"/>
            <w:tcMar>
              <w:top w:w="65" w:type="dxa"/>
              <w:bottom w:w="65" w:type="dxa"/>
              <w:left w:w="80" w:type="dxa"/>
              <w:right w:w="80" w:type="dxa"/>
            </w:tcMar>
          </w:tcPr>
          <w:p>
            <w:pPr>
              <w:keepNext w:val="0"/>
              <w:keepLines/>
              <w:spacing w:after="0" w:line="240" w:lineRule="auto"/>
            </w:pPr>
            <w:r>
              <w:rPr>
                <w:rFonts w:ascii="Times New Roman" w:hAnsi="Times New Roman"/>
                <w:b w:val="0"/>
                <w:sz w:val="21"/>
              </w:rPr>
              <w:t>Pre-break indicator L</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0.028203</w:t>
              <w:br/>
              <w:t>(0.0692)</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0.032658</w:t>
              <w:br/>
              <w:t>(0.0298)</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0.041366</w:t>
              <w:br/>
              <w:t>(0.0022)</w:t>
            </w:r>
          </w:p>
        </w:tc>
      </w:tr>
      <w:tr>
        <w:trPr>
          <w:cantSplit/>
        </w:trPr>
        <w:tc>
          <w:tcPr>
            <w:tcW w:type="dxa" w:w="4032"/>
            <w:tcMar>
              <w:top w:w="65" w:type="dxa"/>
              <w:bottom w:w="65" w:type="dxa"/>
              <w:left w:w="80" w:type="dxa"/>
              <w:right w:w="80" w:type="dxa"/>
            </w:tcMar>
          </w:tcPr>
          <w:p>
            <w:pPr>
              <w:keepNext w:val="0"/>
              <w:keepLines/>
              <w:spacing w:after="0" w:line="240" w:lineRule="auto"/>
            </w:pPr>
            <w:r>
              <w:rPr>
                <w:rFonts w:ascii="Times New Roman" w:hAnsi="Times New Roman"/>
                <w:b w:val="0"/>
                <w:sz w:val="21"/>
              </w:rPr>
              <w:t>Linear trend t</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−0.000682</w:t>
              <w:br/>
              <w:t>(0.2389)</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−0.000698</w:t>
              <w:br/>
              <w:t>(0.2287)</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Not included</w:t>
            </w:r>
          </w:p>
        </w:tc>
      </w:tr>
      <w:tr>
        <w:trPr>
          <w:cantSplit/>
        </w:trPr>
        <w:tc>
          <w:tcPr>
            <w:tcW w:type="dxa" w:w="4032"/>
            <w:tcMar>
              <w:top w:w="65" w:type="dxa"/>
              <w:bottom w:w="65" w:type="dxa"/>
              <w:left w:w="80" w:type="dxa"/>
              <w:right w:w="80" w:type="dxa"/>
            </w:tcMar>
          </w:tcPr>
          <w:p>
            <w:pPr>
              <w:keepNext w:val="0"/>
              <w:keepLines/>
              <w:spacing w:after="0" w:line="240" w:lineRule="auto"/>
            </w:pPr>
            <w:r>
              <w:rPr>
                <w:rFonts w:ascii="Times New Roman" w:hAnsi="Times New Roman"/>
                <w:b w:val="0"/>
                <w:sz w:val="21"/>
              </w:rPr>
              <w:t>2014Q1 pulse P</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−0.034565</w:t>
              <w:br/>
              <w:t>(0.3002)</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Not included</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Not included</w:t>
            </w:r>
          </w:p>
        </w:tc>
      </w:tr>
      <w:tr>
        <w:trPr>
          <w:cantSplit/>
        </w:trPr>
        <w:tc>
          <w:tcPr>
            <w:tcW w:type="dxa" w:w="4032"/>
            <w:tcMar>
              <w:top w:w="65" w:type="dxa"/>
              <w:bottom w:w="65" w:type="dxa"/>
              <w:left w:w="80" w:type="dxa"/>
              <w:right w:w="80" w:type="dxa"/>
            </w:tcMar>
          </w:tcPr>
          <w:p>
            <w:pPr>
              <w:keepNext w:val="0"/>
              <w:keepLines/>
              <w:spacing w:after="0" w:line="240" w:lineRule="auto"/>
            </w:pPr>
            <w:r>
              <w:rPr>
                <w:rFonts w:ascii="Times New Roman" w:hAnsi="Times New Roman"/>
                <w:b w:val="0"/>
                <w:sz w:val="21"/>
              </w:rPr>
              <w:t>Previous-quarter EF</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0.696127</w:t>
              <w:br/>
              <w:t>(&lt;0.001)</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0.657387</w:t>
              <w:br/>
              <w:t>(&lt;0.001)</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0.744191</w:t>
              <w:br/>
              <w:t>(&lt;0.001)</w:t>
            </w:r>
          </w:p>
        </w:tc>
      </w:tr>
      <w:tr>
        <w:trPr>
          <w:cantSplit/>
        </w:trPr>
        <w:tc>
          <w:tcPr>
            <w:tcW w:type="dxa" w:w="4032"/>
            <w:tcMar>
              <w:top w:w="65" w:type="dxa"/>
              <w:bottom w:w="65" w:type="dxa"/>
              <w:left w:w="80" w:type="dxa"/>
              <w:right w:w="80" w:type="dxa"/>
            </w:tcMar>
          </w:tcPr>
          <w:p>
            <w:pPr>
              <w:keepNext w:val="0"/>
              <w:keepLines/>
              <w:spacing w:after="0" w:line="240" w:lineRule="auto"/>
            </w:pPr>
            <w:r>
              <w:rPr>
                <w:rFonts w:ascii="Times New Roman" w:hAnsi="Times New Roman"/>
                <w:b w:val="0"/>
                <w:sz w:val="21"/>
              </w:rPr>
              <w:t>Previous-quarter unemployment change</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0.006364</w:t>
              <w:br/>
              <w:t>(0.0300)</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0.006324</w:t>
              <w:br/>
              <w:t>(0.0310)</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0.006477</w:t>
              <w:br/>
              <w:t>(0.0280)</w:t>
            </w:r>
          </w:p>
        </w:tc>
      </w:tr>
    </w:tbl>
    <w:p>
      <w:pPr>
        <w:keepNext w:val="0"/>
        <w:keepLines w:val="0"/>
        <w:spacing w:line="254" w:lineRule="auto" w:after="120"/>
      </w:pPr>
      <w:r>
        <w:rPr>
          <w:sz w:val="21"/>
        </w:rPr>
        <w:t>These coefficients belong to the earlier models, each fitted to 49 observations. L identifies the pre-break indicator. Values in parentheses are p-values under the original OLS method. The p-values leave out uncertainty caused by selecting inputs from many candidates. Source: [S4], coefficient comparison.</w:t>
      </w:r>
    </w:p>
    <w:p>
      <w:pPr>
        <w:keepNext/>
        <w:keepLines w:val="0"/>
        <w:spacing w:line="254" w:lineRule="auto" w:after="120"/>
      </w:pPr>
      <w:r>
        <w:rPr>
          <w:b/>
          <w:sz w:val="23"/>
        </w:rPr>
        <w:t>Table 11.3. Prior ARDL diagnostic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4032"/>
        <w:gridCol w:w="2016"/>
        <w:gridCol w:w="2016"/>
        <w:gridCol w:w="2016"/>
      </w:tblGrid>
      <w:tr>
        <w:trPr>
          <w:cantSplit/>
          <w:tblHeader/>
        </w:trPr>
        <w:tc>
          <w:tcPr>
            <w:tcW w:type="dxa" w:w="4032"/>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Check</w:t>
            </w:r>
          </w:p>
        </w:tc>
        <w:tc>
          <w:tcPr>
            <w:tcW w:type="dxa" w:w="2016"/>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Full</w:t>
            </w:r>
          </w:p>
        </w:tc>
        <w:tc>
          <w:tcPr>
            <w:tcW w:type="dxa" w:w="2016"/>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Trend-only</w:t>
            </w:r>
          </w:p>
        </w:tc>
        <w:tc>
          <w:tcPr>
            <w:tcW w:type="dxa" w:w="2016"/>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Reduced</w:t>
            </w:r>
          </w:p>
        </w:tc>
      </w:tr>
      <w:tr>
        <w:trPr>
          <w:cantSplit/>
        </w:trPr>
        <w:tc>
          <w:tcPr>
            <w:tcW w:type="dxa" w:w="4032"/>
            <w:tcMar>
              <w:top w:w="65" w:type="dxa"/>
              <w:bottom w:w="65" w:type="dxa"/>
              <w:left w:w="80" w:type="dxa"/>
              <w:right w:w="80" w:type="dxa"/>
            </w:tcMar>
          </w:tcPr>
          <w:p>
            <w:pPr>
              <w:keepNext w:val="0"/>
              <w:keepLines/>
              <w:spacing w:after="0" w:line="240" w:lineRule="auto"/>
            </w:pPr>
            <w:r>
              <w:rPr>
                <w:rFonts w:ascii="Times New Roman" w:hAnsi="Times New Roman"/>
                <w:b w:val="0"/>
                <w:sz w:val="21"/>
              </w:rPr>
              <w:t>Linked errors across four quarters, p-value</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0.2194</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0.4973</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0.3616</w:t>
            </w:r>
          </w:p>
        </w:tc>
      </w:tr>
      <w:tr>
        <w:trPr>
          <w:cantSplit/>
        </w:trPr>
        <w:tc>
          <w:tcPr>
            <w:tcW w:type="dxa" w:w="4032"/>
            <w:tcMar>
              <w:top w:w="65" w:type="dxa"/>
              <w:bottom w:w="65" w:type="dxa"/>
              <w:left w:w="80" w:type="dxa"/>
              <w:right w:w="80" w:type="dxa"/>
            </w:tcMar>
          </w:tcPr>
          <w:p>
            <w:pPr>
              <w:keepNext w:val="0"/>
              <w:keepLines/>
              <w:spacing w:after="0" w:line="240" w:lineRule="auto"/>
            </w:pPr>
            <w:r>
              <w:rPr>
                <w:rFonts w:ascii="Times New Roman" w:hAnsi="Times New Roman"/>
                <w:b w:val="0"/>
                <w:sz w:val="21"/>
              </w:rPr>
              <w:t>Uneven error spread, Breusch–Pagan p-value</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0.7025</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0.6028</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0.7076</w:t>
            </w:r>
          </w:p>
        </w:tc>
      </w:tr>
      <w:tr>
        <w:trPr>
          <w:cantSplit/>
        </w:trPr>
        <w:tc>
          <w:tcPr>
            <w:tcW w:type="dxa" w:w="4032"/>
            <w:tcMar>
              <w:top w:w="65" w:type="dxa"/>
              <w:bottom w:w="65" w:type="dxa"/>
              <w:left w:w="80" w:type="dxa"/>
              <w:right w:w="80" w:type="dxa"/>
            </w:tcMar>
          </w:tcPr>
          <w:p>
            <w:pPr>
              <w:keepNext w:val="0"/>
              <w:keepLines/>
              <w:spacing w:after="0" w:line="240" w:lineRule="auto"/>
            </w:pPr>
            <w:r>
              <w:rPr>
                <w:rFonts w:ascii="Times New Roman" w:hAnsi="Times New Roman"/>
                <w:b w:val="0"/>
                <w:sz w:val="21"/>
              </w:rPr>
              <w:t>Bell-shaped errors, Jarque–Bera p-value</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0.0447</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0.1130</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0.2008</w:t>
            </w:r>
          </w:p>
        </w:tc>
      </w:tr>
      <w:tr>
        <w:trPr>
          <w:cantSplit/>
        </w:trPr>
        <w:tc>
          <w:tcPr>
            <w:tcW w:type="dxa" w:w="4032"/>
            <w:tcMar>
              <w:top w:w="65" w:type="dxa"/>
              <w:bottom w:w="65" w:type="dxa"/>
              <w:left w:w="80" w:type="dxa"/>
              <w:right w:w="80" w:type="dxa"/>
            </w:tcMar>
          </w:tcPr>
          <w:p>
            <w:pPr>
              <w:keepNext w:val="0"/>
              <w:keepLines/>
              <w:spacing w:after="0" w:line="240" w:lineRule="auto"/>
            </w:pPr>
            <w:r>
              <w:rPr>
                <w:rFonts w:ascii="Times New Roman" w:hAnsi="Times New Roman"/>
                <w:b w:val="0"/>
                <w:sz w:val="21"/>
              </w:rPr>
              <w:t>Stability over time, CUSUM p-value</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0.8669</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0.8095</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0.7347</w:t>
            </w:r>
          </w:p>
        </w:tc>
      </w:tr>
      <w:tr>
        <w:trPr>
          <w:cantSplit/>
        </w:trPr>
        <w:tc>
          <w:tcPr>
            <w:tcW w:type="dxa" w:w="4032"/>
            <w:tcMar>
              <w:top w:w="65" w:type="dxa"/>
              <w:bottom w:w="65" w:type="dxa"/>
              <w:left w:w="80" w:type="dxa"/>
              <w:right w:w="80" w:type="dxa"/>
            </w:tcMar>
          </w:tcPr>
          <w:p>
            <w:pPr>
              <w:keepNext w:val="0"/>
              <w:keepLines/>
              <w:spacing w:after="0" w:line="240" w:lineRule="auto"/>
            </w:pPr>
            <w:r>
              <w:rPr>
                <w:rFonts w:ascii="Times New Roman" w:hAnsi="Times New Roman"/>
                <w:b w:val="0"/>
                <w:sz w:val="21"/>
              </w:rPr>
              <w:t>Related model inputs, maximum VIF</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3.9127</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3.9100</w:t>
            </w:r>
          </w:p>
        </w:tc>
        <w:tc>
          <w:tcPr>
            <w:tcW w:type="dxa" w:w="2016"/>
            <w:tcMar>
              <w:top w:w="65" w:type="dxa"/>
              <w:bottom w:w="65" w:type="dxa"/>
              <w:left w:w="80" w:type="dxa"/>
              <w:right w:w="80" w:type="dxa"/>
            </w:tcMar>
          </w:tcPr>
          <w:p>
            <w:pPr>
              <w:keepNext w:val="0"/>
              <w:keepLines/>
              <w:spacing w:after="0" w:line="240" w:lineRule="auto"/>
            </w:pPr>
            <w:r>
              <w:rPr>
                <w:rFonts w:ascii="Times New Roman" w:hAnsi="Times New Roman"/>
                <w:b w:val="0"/>
                <w:sz w:val="21"/>
              </w:rPr>
              <w:t>1.5817</w:t>
            </w:r>
          </w:p>
        </w:tc>
      </w:tr>
    </w:tbl>
    <w:p>
      <w:pPr>
        <w:keepNext w:val="0"/>
        <w:keepLines w:val="0"/>
        <w:spacing w:line="254" w:lineRule="auto" w:after="120"/>
      </w:pPr>
      <w:r>
        <w:rPr>
          <w:sz w:val="21"/>
        </w:rPr>
        <w:t>The normality test flags the full model at the 5% threshold. The other listed tests flag no issue at that level. VIF measures how closely model inputs are related to each other. These results apply to the earlier ARDL models. Source: [S4], diagnostic comparison.</w:t>
      </w:r>
    </w:p>
    <w:p>
      <w:pPr>
        <w:pStyle w:val="Heading2"/>
        <w:keepNext/>
        <w:pageBreakBefore w:val="0"/>
        <w:spacing w:before="200" w:after="140"/>
      </w:pPr>
      <w:r>
        <w:rPr>
          <w:rFonts w:ascii="Arial" w:hAnsi="Arial"/>
          <w:b/>
          <w:color w:val="000000"/>
        </w:rPr>
        <w:t>11.2.1 Forecast timing</w:t>
      </w:r>
    </w:p>
    <w:p>
      <w:pPr>
        <w:keepNext w:val="0"/>
        <w:keepLines w:val="0"/>
        <w:spacing w:line="254" w:lineRule="auto" w:after="120"/>
      </w:pPr>
      <w:r>
        <w:rPr>
          <w:sz w:val="23"/>
        </w:rPr>
        <w:t>The earlier scenarios start from EF of 0.548 in 2025Q4. Coefficients remain fixed at development values. The first forecast uses the observed 2025Q4 unemployment change. Baseline and S4 therefore give the same EF for 2026Q1. Their 2026Q1 unemployment difference affects EF in 2026Q2. Both the pre-break indicator and the 2014Q1 pulse are zero during these forecasts.</w:t>
      </w:r>
    </w:p>
    <w:p>
      <w:pPr>
        <w:pStyle w:val="Heading2"/>
        <w:keepNext/>
        <w:pageBreakBefore/>
        <w:spacing w:before="200" w:after="140"/>
      </w:pPr>
      <w:r>
        <w:rPr>
          <w:rFonts w:ascii="Arial" w:hAnsi="Arial"/>
          <w:b/>
          <w:color w:val="000000"/>
        </w:rPr>
        <w:t>11.3 Prior quarterly OOT results</w:t>
      </w:r>
    </w:p>
    <w:p>
      <w:pPr>
        <w:keepNext/>
        <w:keepLines w:val="0"/>
        <w:spacing w:line="254" w:lineRule="auto" w:after="120"/>
      </w:pPr>
      <w:r>
        <w:rPr>
          <w:b/>
          <w:sz w:val="23"/>
        </w:rPr>
        <w:t>Table 11.4. One-step OOT forecasts, ratio units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1800"/>
        <w:gridCol w:w="1584"/>
        <w:gridCol w:w="2232"/>
        <w:gridCol w:w="2232"/>
        <w:gridCol w:w="2232"/>
      </w:tblGrid>
      <w:tr>
        <w:trPr>
          <w:cantSplit/>
          <w:tblHeader/>
        </w:trPr>
        <w:tc>
          <w:tcPr>
            <w:tcW w:type="dxa" w:w="1800"/>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Quarter</w:t>
            </w:r>
          </w:p>
        </w:tc>
        <w:tc>
          <w:tcPr>
            <w:tcW w:type="dxa" w:w="1584"/>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Actual</w:t>
            </w:r>
          </w:p>
        </w:tc>
        <w:tc>
          <w:tcPr>
            <w:tcW w:type="dxa" w:w="2232"/>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Full</w:t>
            </w:r>
          </w:p>
        </w:tc>
        <w:tc>
          <w:tcPr>
            <w:tcW w:type="dxa" w:w="2232"/>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Trend-only</w:t>
            </w:r>
          </w:p>
        </w:tc>
        <w:tc>
          <w:tcPr>
            <w:tcW w:type="dxa" w:w="2232"/>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Reduced</w:t>
            </w:r>
          </w:p>
        </w:tc>
      </w:tr>
      <w:tr>
        <w:trPr>
          <w:cantSplit/>
        </w:trPr>
        <w:tc>
          <w:tcPr>
            <w:tcW w:type="dxa" w:w="1800"/>
            <w:tcMar>
              <w:top w:w="65" w:type="dxa"/>
              <w:bottom w:w="65" w:type="dxa"/>
              <w:left w:w="80" w:type="dxa"/>
              <w:right w:w="80" w:type="dxa"/>
            </w:tcMar>
          </w:tcPr>
          <w:p>
            <w:pPr>
              <w:keepNext w:val="0"/>
              <w:keepLines/>
              <w:spacing w:after="0" w:line="240" w:lineRule="auto"/>
            </w:pPr>
            <w:r>
              <w:rPr>
                <w:rFonts w:ascii="Times New Roman" w:hAnsi="Times New Roman"/>
                <w:b w:val="0"/>
                <w:sz w:val="21"/>
              </w:rPr>
              <w:t>2023Q4</w:t>
            </w:r>
          </w:p>
        </w:tc>
        <w:tc>
          <w:tcPr>
            <w:tcW w:type="dxa" w:w="1584"/>
            <w:tcMar>
              <w:top w:w="65" w:type="dxa"/>
              <w:bottom w:w="65" w:type="dxa"/>
              <w:left w:w="80" w:type="dxa"/>
              <w:right w:w="80" w:type="dxa"/>
            </w:tcMar>
          </w:tcPr>
          <w:p>
            <w:pPr>
              <w:keepNext w:val="0"/>
              <w:keepLines/>
              <w:spacing w:after="0" w:line="240" w:lineRule="auto"/>
            </w:pPr>
            <w:r>
              <w:rPr>
                <w:rFonts w:ascii="Times New Roman" w:hAnsi="Times New Roman"/>
                <w:b w:val="0"/>
                <w:sz w:val="21"/>
              </w:rPr>
              <w:t>0.617</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0.56677</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0.56586</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0.57905</w:t>
            </w:r>
          </w:p>
        </w:tc>
      </w:tr>
      <w:tr>
        <w:trPr>
          <w:cantSplit/>
        </w:trPr>
        <w:tc>
          <w:tcPr>
            <w:tcW w:type="dxa" w:w="1800"/>
            <w:tcMar>
              <w:top w:w="65" w:type="dxa"/>
              <w:bottom w:w="65" w:type="dxa"/>
              <w:left w:w="80" w:type="dxa"/>
              <w:right w:w="80" w:type="dxa"/>
            </w:tcMar>
          </w:tcPr>
          <w:p>
            <w:pPr>
              <w:keepNext w:val="0"/>
              <w:keepLines/>
              <w:spacing w:after="0" w:line="240" w:lineRule="auto"/>
            </w:pPr>
            <w:r>
              <w:rPr>
                <w:rFonts w:ascii="Times New Roman" w:hAnsi="Times New Roman"/>
                <w:b w:val="0"/>
                <w:sz w:val="21"/>
              </w:rPr>
              <w:t>2024Q1</w:t>
            </w:r>
          </w:p>
        </w:tc>
        <w:tc>
          <w:tcPr>
            <w:tcW w:type="dxa" w:w="1584"/>
            <w:tcMar>
              <w:top w:w="65" w:type="dxa"/>
              <w:bottom w:w="65" w:type="dxa"/>
              <w:left w:w="80" w:type="dxa"/>
              <w:right w:w="80" w:type="dxa"/>
            </w:tcMar>
          </w:tcPr>
          <w:p>
            <w:pPr>
              <w:keepNext w:val="0"/>
              <w:keepLines/>
              <w:spacing w:after="0" w:line="240" w:lineRule="auto"/>
            </w:pPr>
            <w:r>
              <w:rPr>
                <w:rFonts w:ascii="Times New Roman" w:hAnsi="Times New Roman"/>
                <w:b w:val="0"/>
                <w:sz w:val="21"/>
              </w:rPr>
              <w:t>0.593</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0.59226</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0.58991</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0.60702</w:t>
            </w:r>
          </w:p>
        </w:tc>
      </w:tr>
      <w:tr>
        <w:trPr>
          <w:cantSplit/>
        </w:trPr>
        <w:tc>
          <w:tcPr>
            <w:tcW w:type="dxa" w:w="1800"/>
            <w:tcMar>
              <w:top w:w="65" w:type="dxa"/>
              <w:bottom w:w="65" w:type="dxa"/>
              <w:left w:w="80" w:type="dxa"/>
              <w:right w:w="80" w:type="dxa"/>
            </w:tcMar>
          </w:tcPr>
          <w:p>
            <w:pPr>
              <w:keepNext w:val="0"/>
              <w:keepLines/>
              <w:spacing w:after="0" w:line="240" w:lineRule="auto"/>
            </w:pPr>
            <w:r>
              <w:rPr>
                <w:rFonts w:ascii="Times New Roman" w:hAnsi="Times New Roman"/>
                <w:b w:val="0"/>
                <w:sz w:val="21"/>
              </w:rPr>
              <w:t>2024Q2</w:t>
            </w:r>
          </w:p>
        </w:tc>
        <w:tc>
          <w:tcPr>
            <w:tcW w:type="dxa" w:w="1584"/>
            <w:tcMar>
              <w:top w:w="65" w:type="dxa"/>
              <w:bottom w:w="65" w:type="dxa"/>
              <w:left w:w="80" w:type="dxa"/>
              <w:right w:w="80" w:type="dxa"/>
            </w:tcMar>
          </w:tcPr>
          <w:p>
            <w:pPr>
              <w:keepNext w:val="0"/>
              <w:keepLines/>
              <w:spacing w:after="0" w:line="240" w:lineRule="auto"/>
            </w:pPr>
            <w:r>
              <w:rPr>
                <w:rFonts w:ascii="Times New Roman" w:hAnsi="Times New Roman"/>
                <w:b w:val="0"/>
                <w:sz w:val="21"/>
              </w:rPr>
              <w:t>0.531</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0.57403</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0.57259</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0.58829</w:t>
            </w:r>
          </w:p>
        </w:tc>
      </w:tr>
      <w:tr>
        <w:trPr>
          <w:cantSplit/>
        </w:trPr>
        <w:tc>
          <w:tcPr>
            <w:tcW w:type="dxa" w:w="1800"/>
            <w:tcMar>
              <w:top w:w="65" w:type="dxa"/>
              <w:bottom w:w="65" w:type="dxa"/>
              <w:left w:w="80" w:type="dxa"/>
              <w:right w:w="80" w:type="dxa"/>
            </w:tcMar>
          </w:tcPr>
          <w:p>
            <w:pPr>
              <w:keepNext w:val="0"/>
              <w:keepLines/>
              <w:spacing w:after="0" w:line="240" w:lineRule="auto"/>
            </w:pPr>
            <w:r>
              <w:rPr>
                <w:rFonts w:ascii="Times New Roman" w:hAnsi="Times New Roman"/>
                <w:b w:val="0"/>
                <w:sz w:val="21"/>
              </w:rPr>
              <w:t>2024Q3</w:t>
            </w:r>
          </w:p>
        </w:tc>
        <w:tc>
          <w:tcPr>
            <w:tcW w:type="dxa" w:w="1584"/>
            <w:tcMar>
              <w:top w:w="65" w:type="dxa"/>
              <w:bottom w:w="65" w:type="dxa"/>
              <w:left w:w="80" w:type="dxa"/>
              <w:right w:w="80" w:type="dxa"/>
            </w:tcMar>
          </w:tcPr>
          <w:p>
            <w:pPr>
              <w:keepNext w:val="0"/>
              <w:keepLines/>
              <w:spacing w:after="0" w:line="240" w:lineRule="auto"/>
            </w:pPr>
            <w:r>
              <w:rPr>
                <w:rFonts w:ascii="Times New Roman" w:hAnsi="Times New Roman"/>
                <w:b w:val="0"/>
                <w:sz w:val="21"/>
              </w:rPr>
              <w:t>0.549</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0.53082</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0.53177</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0.54280</w:t>
            </w:r>
          </w:p>
        </w:tc>
      </w:tr>
      <w:tr>
        <w:trPr>
          <w:cantSplit/>
        </w:trPr>
        <w:tc>
          <w:tcPr>
            <w:tcW w:type="dxa" w:w="1800"/>
            <w:tcMar>
              <w:top w:w="65" w:type="dxa"/>
              <w:bottom w:w="65" w:type="dxa"/>
              <w:left w:w="80" w:type="dxa"/>
              <w:right w:w="80" w:type="dxa"/>
            </w:tcMar>
          </w:tcPr>
          <w:p>
            <w:pPr>
              <w:keepNext w:val="0"/>
              <w:keepLines/>
              <w:spacing w:after="0" w:line="240" w:lineRule="auto"/>
            </w:pPr>
            <w:r>
              <w:rPr>
                <w:rFonts w:ascii="Times New Roman" w:hAnsi="Times New Roman"/>
                <w:b w:val="0"/>
                <w:sz w:val="21"/>
              </w:rPr>
              <w:t>2024Q4</w:t>
            </w:r>
          </w:p>
        </w:tc>
        <w:tc>
          <w:tcPr>
            <w:tcW w:type="dxa" w:w="1584"/>
            <w:tcMar>
              <w:top w:w="65" w:type="dxa"/>
              <w:bottom w:w="65" w:type="dxa"/>
              <w:left w:w="80" w:type="dxa"/>
              <w:right w:w="80" w:type="dxa"/>
            </w:tcMar>
          </w:tcPr>
          <w:p>
            <w:pPr>
              <w:keepNext w:val="0"/>
              <w:keepLines/>
              <w:spacing w:after="0" w:line="240" w:lineRule="auto"/>
            </w:pPr>
            <w:r>
              <w:rPr>
                <w:rFonts w:ascii="Times New Roman" w:hAnsi="Times New Roman"/>
                <w:b w:val="0"/>
                <w:sz w:val="21"/>
              </w:rPr>
              <w:t>0.527</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0.54309</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0.54332</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0.55663</w:t>
            </w:r>
          </w:p>
        </w:tc>
      </w:tr>
      <w:tr>
        <w:trPr>
          <w:cantSplit/>
        </w:trPr>
        <w:tc>
          <w:tcPr>
            <w:tcW w:type="dxa" w:w="1800"/>
            <w:tcMar>
              <w:top w:w="65" w:type="dxa"/>
              <w:bottom w:w="65" w:type="dxa"/>
              <w:left w:w="80" w:type="dxa"/>
              <w:right w:w="80" w:type="dxa"/>
            </w:tcMar>
          </w:tcPr>
          <w:p>
            <w:pPr>
              <w:keepNext w:val="0"/>
              <w:keepLines/>
              <w:spacing w:after="0" w:line="240" w:lineRule="auto"/>
            </w:pPr>
            <w:r>
              <w:rPr>
                <w:rFonts w:ascii="Times New Roman" w:hAnsi="Times New Roman"/>
                <w:b w:val="0"/>
                <w:sz w:val="21"/>
              </w:rPr>
              <w:t>2025Q1</w:t>
            </w:r>
          </w:p>
        </w:tc>
        <w:tc>
          <w:tcPr>
            <w:tcW w:type="dxa" w:w="1584"/>
            <w:tcMar>
              <w:top w:w="65" w:type="dxa"/>
              <w:bottom w:w="65" w:type="dxa"/>
              <w:left w:w="80" w:type="dxa"/>
              <w:right w:w="80" w:type="dxa"/>
            </w:tcMar>
          </w:tcPr>
          <w:p>
            <w:pPr>
              <w:keepNext w:val="0"/>
              <w:keepLines/>
              <w:spacing w:after="0" w:line="240" w:lineRule="auto"/>
            </w:pPr>
            <w:r>
              <w:rPr>
                <w:rFonts w:ascii="Times New Roman" w:hAnsi="Times New Roman"/>
                <w:b w:val="0"/>
                <w:sz w:val="21"/>
              </w:rPr>
              <w:t>0.534</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0.52561</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0.52669</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0.53875</w:t>
            </w:r>
          </w:p>
        </w:tc>
      </w:tr>
      <w:tr>
        <w:trPr>
          <w:cantSplit/>
        </w:trPr>
        <w:tc>
          <w:tcPr>
            <w:tcW w:type="dxa" w:w="1800"/>
            <w:tcMar>
              <w:top w:w="65" w:type="dxa"/>
              <w:bottom w:w="65" w:type="dxa"/>
              <w:left w:w="80" w:type="dxa"/>
              <w:right w:w="80" w:type="dxa"/>
            </w:tcMar>
          </w:tcPr>
          <w:p>
            <w:pPr>
              <w:keepNext w:val="0"/>
              <w:keepLines/>
              <w:spacing w:after="0" w:line="240" w:lineRule="auto"/>
            </w:pPr>
            <w:r>
              <w:rPr>
                <w:rFonts w:ascii="Times New Roman" w:hAnsi="Times New Roman"/>
                <w:b w:val="0"/>
                <w:sz w:val="21"/>
              </w:rPr>
              <w:t>2025Q2</w:t>
            </w:r>
          </w:p>
        </w:tc>
        <w:tc>
          <w:tcPr>
            <w:tcW w:type="dxa" w:w="1584"/>
            <w:tcMar>
              <w:top w:w="65" w:type="dxa"/>
              <w:bottom w:w="65" w:type="dxa"/>
              <w:left w:w="80" w:type="dxa"/>
              <w:right w:w="80" w:type="dxa"/>
            </w:tcMar>
          </w:tcPr>
          <w:p>
            <w:pPr>
              <w:keepNext w:val="0"/>
              <w:keepLines/>
              <w:spacing w:after="0" w:line="240" w:lineRule="auto"/>
            </w:pPr>
            <w:r>
              <w:rPr>
                <w:rFonts w:ascii="Times New Roman" w:hAnsi="Times New Roman"/>
                <w:b w:val="0"/>
                <w:sz w:val="21"/>
              </w:rPr>
              <w:t>0.526</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0.53001</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0.53080</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0.54417</w:t>
            </w:r>
          </w:p>
        </w:tc>
      </w:tr>
      <w:tr>
        <w:trPr>
          <w:cantSplit/>
        </w:trPr>
        <w:tc>
          <w:tcPr>
            <w:tcW w:type="dxa" w:w="1800"/>
            <w:tcMar>
              <w:top w:w="65" w:type="dxa"/>
              <w:bottom w:w="65" w:type="dxa"/>
              <w:left w:w="80" w:type="dxa"/>
              <w:right w:w="80" w:type="dxa"/>
            </w:tcMar>
          </w:tcPr>
          <w:p>
            <w:pPr>
              <w:keepNext w:val="0"/>
              <w:keepLines/>
              <w:spacing w:after="0" w:line="240" w:lineRule="auto"/>
            </w:pPr>
            <w:r>
              <w:rPr>
                <w:rFonts w:ascii="Times New Roman" w:hAnsi="Times New Roman"/>
                <w:b w:val="0"/>
                <w:sz w:val="21"/>
              </w:rPr>
              <w:t>2025Q3</w:t>
            </w:r>
          </w:p>
        </w:tc>
        <w:tc>
          <w:tcPr>
            <w:tcW w:type="dxa" w:w="1584"/>
            <w:tcMar>
              <w:top w:w="65" w:type="dxa"/>
              <w:bottom w:w="65" w:type="dxa"/>
              <w:left w:w="80" w:type="dxa"/>
              <w:right w:w="80" w:type="dxa"/>
            </w:tcMar>
          </w:tcPr>
          <w:p>
            <w:pPr>
              <w:keepNext w:val="0"/>
              <w:keepLines/>
              <w:spacing w:after="0" w:line="240" w:lineRule="auto"/>
            </w:pPr>
            <w:r>
              <w:rPr>
                <w:rFonts w:ascii="Times New Roman" w:hAnsi="Times New Roman"/>
                <w:b w:val="0"/>
                <w:sz w:val="21"/>
              </w:rPr>
              <w:t>0.561</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0.52419</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0.52527</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0.53865</w:t>
            </w:r>
          </w:p>
        </w:tc>
      </w:tr>
      <w:tr>
        <w:trPr>
          <w:cantSplit/>
        </w:trPr>
        <w:tc>
          <w:tcPr>
            <w:tcW w:type="dxa" w:w="1800"/>
            <w:tcMar>
              <w:top w:w="65" w:type="dxa"/>
              <w:bottom w:w="65" w:type="dxa"/>
              <w:left w:w="80" w:type="dxa"/>
              <w:right w:w="80" w:type="dxa"/>
            </w:tcMar>
          </w:tcPr>
          <w:p>
            <w:pPr>
              <w:keepNext w:val="0"/>
              <w:keepLines/>
              <w:spacing w:after="0" w:line="240" w:lineRule="auto"/>
            </w:pPr>
            <w:r>
              <w:rPr>
                <w:rFonts w:ascii="Times New Roman" w:hAnsi="Times New Roman"/>
                <w:b w:val="0"/>
                <w:sz w:val="21"/>
              </w:rPr>
              <w:t>2025Q4</w:t>
            </w:r>
          </w:p>
        </w:tc>
        <w:tc>
          <w:tcPr>
            <w:tcW w:type="dxa" w:w="1584"/>
            <w:tcMar>
              <w:top w:w="65" w:type="dxa"/>
              <w:bottom w:w="65" w:type="dxa"/>
              <w:left w:w="80" w:type="dxa"/>
              <w:right w:w="80" w:type="dxa"/>
            </w:tcMar>
          </w:tcPr>
          <w:p>
            <w:pPr>
              <w:keepNext w:val="0"/>
              <w:keepLines/>
              <w:spacing w:after="0" w:line="240" w:lineRule="auto"/>
            </w:pPr>
            <w:r>
              <w:rPr>
                <w:rFonts w:ascii="Times New Roman" w:hAnsi="Times New Roman"/>
                <w:b w:val="0"/>
                <w:sz w:val="21"/>
              </w:rPr>
              <w:t>0.548</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0.54829</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0.54800</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0.56513</w:t>
            </w:r>
          </w:p>
        </w:tc>
      </w:tr>
    </w:tbl>
    <w:p>
      <w:pPr>
        <w:keepNext w:val="0"/>
        <w:keepLines w:val="0"/>
        <w:spacing w:line="254" w:lineRule="auto" w:after="120"/>
      </w:pPr>
      <w:r>
        <w:rPr>
          <w:sz w:val="21"/>
        </w:rPr>
        <w:t>One-step forecasts use actual EF from the previous quarter. Coefficients stay fixed at the 2023Q3 cutoff. Source: [S4], one-step OOT table.</w:t>
      </w:r>
    </w:p>
    <w:p>
      <w:pPr>
        <w:keepNext/>
        <w:keepLines w:val="0"/>
        <w:spacing w:line="254" w:lineRule="auto" w:after="120"/>
      </w:pPr>
      <w:r>
        <w:rPr>
          <w:b/>
          <w:sz w:val="23"/>
        </w:rPr>
        <w:t>Table 11.5. Recursive OOT forecasts, ratio units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1800"/>
        <w:gridCol w:w="1584"/>
        <w:gridCol w:w="2232"/>
        <w:gridCol w:w="2232"/>
        <w:gridCol w:w="2232"/>
      </w:tblGrid>
      <w:tr>
        <w:trPr>
          <w:cantSplit/>
          <w:tblHeader/>
        </w:trPr>
        <w:tc>
          <w:tcPr>
            <w:tcW w:type="dxa" w:w="1800"/>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Quarter</w:t>
            </w:r>
          </w:p>
        </w:tc>
        <w:tc>
          <w:tcPr>
            <w:tcW w:type="dxa" w:w="1584"/>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Actual</w:t>
            </w:r>
          </w:p>
        </w:tc>
        <w:tc>
          <w:tcPr>
            <w:tcW w:type="dxa" w:w="2232"/>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Full</w:t>
            </w:r>
          </w:p>
        </w:tc>
        <w:tc>
          <w:tcPr>
            <w:tcW w:type="dxa" w:w="2232"/>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Trend-only</w:t>
            </w:r>
          </w:p>
        </w:tc>
        <w:tc>
          <w:tcPr>
            <w:tcW w:type="dxa" w:w="2232"/>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Reduced</w:t>
            </w:r>
          </w:p>
        </w:tc>
      </w:tr>
      <w:tr>
        <w:trPr>
          <w:cantSplit/>
        </w:trPr>
        <w:tc>
          <w:tcPr>
            <w:tcW w:type="dxa" w:w="1800"/>
            <w:tcMar>
              <w:top w:w="65" w:type="dxa"/>
              <w:bottom w:w="65" w:type="dxa"/>
              <w:left w:w="80" w:type="dxa"/>
              <w:right w:w="80" w:type="dxa"/>
            </w:tcMar>
          </w:tcPr>
          <w:p>
            <w:pPr>
              <w:keepNext w:val="0"/>
              <w:keepLines/>
              <w:spacing w:after="0" w:line="240" w:lineRule="auto"/>
            </w:pPr>
            <w:r>
              <w:rPr>
                <w:rFonts w:ascii="Times New Roman" w:hAnsi="Times New Roman"/>
                <w:b w:val="0"/>
                <w:sz w:val="21"/>
              </w:rPr>
              <w:t>2023Q4</w:t>
            </w:r>
          </w:p>
        </w:tc>
        <w:tc>
          <w:tcPr>
            <w:tcW w:type="dxa" w:w="1584"/>
            <w:tcMar>
              <w:top w:w="65" w:type="dxa"/>
              <w:bottom w:w="65" w:type="dxa"/>
              <w:left w:w="80" w:type="dxa"/>
              <w:right w:w="80" w:type="dxa"/>
            </w:tcMar>
          </w:tcPr>
          <w:p>
            <w:pPr>
              <w:keepNext w:val="0"/>
              <w:keepLines/>
              <w:spacing w:after="0" w:line="240" w:lineRule="auto"/>
            </w:pPr>
            <w:r>
              <w:rPr>
                <w:rFonts w:ascii="Times New Roman" w:hAnsi="Times New Roman"/>
                <w:b w:val="0"/>
                <w:sz w:val="21"/>
              </w:rPr>
              <w:t>0.617</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0.56677</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0.56586</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0.57905</w:t>
            </w:r>
          </w:p>
        </w:tc>
      </w:tr>
      <w:tr>
        <w:trPr>
          <w:cantSplit/>
        </w:trPr>
        <w:tc>
          <w:tcPr>
            <w:tcW w:type="dxa" w:w="1800"/>
            <w:tcMar>
              <w:top w:w="65" w:type="dxa"/>
              <w:bottom w:w="65" w:type="dxa"/>
              <w:left w:w="80" w:type="dxa"/>
              <w:right w:w="80" w:type="dxa"/>
            </w:tcMar>
          </w:tcPr>
          <w:p>
            <w:pPr>
              <w:keepNext w:val="0"/>
              <w:keepLines/>
              <w:spacing w:after="0" w:line="240" w:lineRule="auto"/>
            </w:pPr>
            <w:r>
              <w:rPr>
                <w:rFonts w:ascii="Times New Roman" w:hAnsi="Times New Roman"/>
                <w:b w:val="0"/>
                <w:sz w:val="21"/>
              </w:rPr>
              <w:t>2024Q1</w:t>
            </w:r>
          </w:p>
        </w:tc>
        <w:tc>
          <w:tcPr>
            <w:tcW w:type="dxa" w:w="1584"/>
            <w:tcMar>
              <w:top w:w="65" w:type="dxa"/>
              <w:bottom w:w="65" w:type="dxa"/>
              <w:left w:w="80" w:type="dxa"/>
              <w:right w:w="80" w:type="dxa"/>
            </w:tcMar>
          </w:tcPr>
          <w:p>
            <w:pPr>
              <w:keepNext w:val="0"/>
              <w:keepLines/>
              <w:spacing w:after="0" w:line="240" w:lineRule="auto"/>
            </w:pPr>
            <w:r>
              <w:rPr>
                <w:rFonts w:ascii="Times New Roman" w:hAnsi="Times New Roman"/>
                <w:b w:val="0"/>
                <w:sz w:val="21"/>
              </w:rPr>
              <w:t>0.593</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0.55730</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0.55629</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0.57878</w:t>
            </w:r>
          </w:p>
        </w:tc>
      </w:tr>
      <w:tr>
        <w:trPr>
          <w:cantSplit/>
        </w:trPr>
        <w:tc>
          <w:tcPr>
            <w:tcW w:type="dxa" w:w="1800"/>
            <w:tcMar>
              <w:top w:w="65" w:type="dxa"/>
              <w:bottom w:w="65" w:type="dxa"/>
              <w:left w:w="80" w:type="dxa"/>
              <w:right w:w="80" w:type="dxa"/>
            </w:tcMar>
          </w:tcPr>
          <w:p>
            <w:pPr>
              <w:keepNext w:val="0"/>
              <w:keepLines/>
              <w:spacing w:after="0" w:line="240" w:lineRule="auto"/>
            </w:pPr>
            <w:r>
              <w:rPr>
                <w:rFonts w:ascii="Times New Roman" w:hAnsi="Times New Roman"/>
                <w:b w:val="0"/>
                <w:sz w:val="21"/>
              </w:rPr>
              <w:t>2024Q2</w:t>
            </w:r>
          </w:p>
        </w:tc>
        <w:tc>
          <w:tcPr>
            <w:tcW w:type="dxa" w:w="1584"/>
            <w:tcMar>
              <w:top w:w="65" w:type="dxa"/>
              <w:bottom w:w="65" w:type="dxa"/>
              <w:left w:w="80" w:type="dxa"/>
              <w:right w:w="80" w:type="dxa"/>
            </w:tcMar>
          </w:tcPr>
          <w:p>
            <w:pPr>
              <w:keepNext w:val="0"/>
              <w:keepLines/>
              <w:spacing w:after="0" w:line="240" w:lineRule="auto"/>
            </w:pPr>
            <w:r>
              <w:rPr>
                <w:rFonts w:ascii="Times New Roman" w:hAnsi="Times New Roman"/>
                <w:b w:val="0"/>
                <w:sz w:val="21"/>
              </w:rPr>
              <w:t>0.531</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0.54917</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0.54846</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0.57771</w:t>
            </w:r>
          </w:p>
        </w:tc>
      </w:tr>
      <w:tr>
        <w:trPr>
          <w:cantSplit/>
        </w:trPr>
        <w:tc>
          <w:tcPr>
            <w:tcW w:type="dxa" w:w="1800"/>
            <w:tcMar>
              <w:top w:w="65" w:type="dxa"/>
              <w:bottom w:w="65" w:type="dxa"/>
              <w:left w:w="80" w:type="dxa"/>
              <w:right w:w="80" w:type="dxa"/>
            </w:tcMar>
          </w:tcPr>
          <w:p>
            <w:pPr>
              <w:keepNext w:val="0"/>
              <w:keepLines/>
              <w:spacing w:after="0" w:line="240" w:lineRule="auto"/>
            </w:pPr>
            <w:r>
              <w:rPr>
                <w:rFonts w:ascii="Times New Roman" w:hAnsi="Times New Roman"/>
                <w:b w:val="0"/>
                <w:sz w:val="21"/>
              </w:rPr>
              <w:t>2024Q3</w:t>
            </w:r>
          </w:p>
        </w:tc>
        <w:tc>
          <w:tcPr>
            <w:tcW w:type="dxa" w:w="1584"/>
            <w:tcMar>
              <w:top w:w="65" w:type="dxa"/>
              <w:bottom w:w="65" w:type="dxa"/>
              <w:left w:w="80" w:type="dxa"/>
              <w:right w:w="80" w:type="dxa"/>
            </w:tcMar>
          </w:tcPr>
          <w:p>
            <w:pPr>
              <w:keepNext w:val="0"/>
              <w:keepLines/>
              <w:spacing w:after="0" w:line="240" w:lineRule="auto"/>
            </w:pPr>
            <w:r>
              <w:rPr>
                <w:rFonts w:ascii="Times New Roman" w:hAnsi="Times New Roman"/>
                <w:b w:val="0"/>
                <w:sz w:val="21"/>
              </w:rPr>
              <w:t>0.549</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0.54347</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0.54324</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0.57756</w:t>
            </w:r>
          </w:p>
        </w:tc>
      </w:tr>
      <w:tr>
        <w:trPr>
          <w:cantSplit/>
        </w:trPr>
        <w:tc>
          <w:tcPr>
            <w:tcW w:type="dxa" w:w="1800"/>
            <w:tcMar>
              <w:top w:w="65" w:type="dxa"/>
              <w:bottom w:w="65" w:type="dxa"/>
              <w:left w:w="80" w:type="dxa"/>
              <w:right w:w="80" w:type="dxa"/>
            </w:tcMar>
          </w:tcPr>
          <w:p>
            <w:pPr>
              <w:keepNext w:val="0"/>
              <w:keepLines/>
              <w:spacing w:after="0" w:line="240" w:lineRule="auto"/>
            </w:pPr>
            <w:r>
              <w:rPr>
                <w:rFonts w:ascii="Times New Roman" w:hAnsi="Times New Roman"/>
                <w:b w:val="0"/>
                <w:sz w:val="21"/>
              </w:rPr>
              <w:t>2024Q4</w:t>
            </w:r>
          </w:p>
        </w:tc>
        <w:tc>
          <w:tcPr>
            <w:tcW w:type="dxa" w:w="1584"/>
            <w:tcMar>
              <w:top w:w="65" w:type="dxa"/>
              <w:bottom w:w="65" w:type="dxa"/>
              <w:left w:w="80" w:type="dxa"/>
              <w:right w:w="80" w:type="dxa"/>
            </w:tcMar>
          </w:tcPr>
          <w:p>
            <w:pPr>
              <w:keepNext w:val="0"/>
              <w:keepLines/>
              <w:spacing w:after="0" w:line="240" w:lineRule="auto"/>
            </w:pPr>
            <w:r>
              <w:rPr>
                <w:rFonts w:ascii="Times New Roman" w:hAnsi="Times New Roman"/>
                <w:b w:val="0"/>
                <w:sz w:val="21"/>
              </w:rPr>
              <w:t>0.527</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0.53924</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0.53954</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0.57789</w:t>
            </w:r>
          </w:p>
        </w:tc>
      </w:tr>
      <w:tr>
        <w:trPr>
          <w:cantSplit/>
        </w:trPr>
        <w:tc>
          <w:tcPr>
            <w:tcW w:type="dxa" w:w="1800"/>
            <w:tcMar>
              <w:top w:w="65" w:type="dxa"/>
              <w:bottom w:w="65" w:type="dxa"/>
              <w:left w:w="80" w:type="dxa"/>
              <w:right w:w="80" w:type="dxa"/>
            </w:tcMar>
          </w:tcPr>
          <w:p>
            <w:pPr>
              <w:keepNext w:val="0"/>
              <w:keepLines/>
              <w:spacing w:after="0" w:line="240" w:lineRule="auto"/>
            </w:pPr>
            <w:r>
              <w:rPr>
                <w:rFonts w:ascii="Times New Roman" w:hAnsi="Times New Roman"/>
                <w:b w:val="0"/>
                <w:sz w:val="21"/>
              </w:rPr>
              <w:t>2025Q1</w:t>
            </w:r>
          </w:p>
        </w:tc>
        <w:tc>
          <w:tcPr>
            <w:tcW w:type="dxa" w:w="1584"/>
            <w:tcMar>
              <w:top w:w="65" w:type="dxa"/>
              <w:bottom w:w="65" w:type="dxa"/>
              <w:left w:w="80" w:type="dxa"/>
              <w:right w:w="80" w:type="dxa"/>
            </w:tcMar>
          </w:tcPr>
          <w:p>
            <w:pPr>
              <w:keepNext w:val="0"/>
              <w:keepLines/>
              <w:spacing w:after="0" w:line="240" w:lineRule="auto"/>
            </w:pPr>
            <w:r>
              <w:rPr>
                <w:rFonts w:ascii="Times New Roman" w:hAnsi="Times New Roman"/>
                <w:b w:val="0"/>
                <w:sz w:val="21"/>
              </w:rPr>
              <w:t>0.534</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0.53413</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0.53493</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0.57661</w:t>
            </w:r>
          </w:p>
        </w:tc>
      </w:tr>
      <w:tr>
        <w:trPr>
          <w:cantSplit/>
        </w:trPr>
        <w:tc>
          <w:tcPr>
            <w:tcW w:type="dxa" w:w="1800"/>
            <w:tcMar>
              <w:top w:w="65" w:type="dxa"/>
              <w:bottom w:w="65" w:type="dxa"/>
              <w:left w:w="80" w:type="dxa"/>
              <w:right w:w="80" w:type="dxa"/>
            </w:tcMar>
          </w:tcPr>
          <w:p>
            <w:pPr>
              <w:keepNext w:val="0"/>
              <w:keepLines/>
              <w:spacing w:after="0" w:line="240" w:lineRule="auto"/>
            </w:pPr>
            <w:r>
              <w:rPr>
                <w:rFonts w:ascii="Times New Roman" w:hAnsi="Times New Roman"/>
                <w:b w:val="0"/>
                <w:sz w:val="21"/>
              </w:rPr>
              <w:t>2025Q2</w:t>
            </w:r>
          </w:p>
        </w:tc>
        <w:tc>
          <w:tcPr>
            <w:tcW w:type="dxa" w:w="1584"/>
            <w:tcMar>
              <w:top w:w="65" w:type="dxa"/>
              <w:bottom w:w="65" w:type="dxa"/>
              <w:left w:w="80" w:type="dxa"/>
              <w:right w:w="80" w:type="dxa"/>
            </w:tcMar>
          </w:tcPr>
          <w:p>
            <w:pPr>
              <w:keepNext w:val="0"/>
              <w:keepLines/>
              <w:spacing w:after="0" w:line="240" w:lineRule="auto"/>
            </w:pPr>
            <w:r>
              <w:rPr>
                <w:rFonts w:ascii="Times New Roman" w:hAnsi="Times New Roman"/>
                <w:b w:val="0"/>
                <w:sz w:val="21"/>
              </w:rPr>
              <w:t>0.526</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0.53011</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0.53141</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0.57588</w:t>
            </w:r>
          </w:p>
        </w:tc>
      </w:tr>
      <w:tr>
        <w:trPr>
          <w:cantSplit/>
        </w:trPr>
        <w:tc>
          <w:tcPr>
            <w:tcW w:type="dxa" w:w="1800"/>
            <w:tcMar>
              <w:top w:w="65" w:type="dxa"/>
              <w:bottom w:w="65" w:type="dxa"/>
              <w:left w:w="80" w:type="dxa"/>
              <w:right w:w="80" w:type="dxa"/>
            </w:tcMar>
          </w:tcPr>
          <w:p>
            <w:pPr>
              <w:keepNext w:val="0"/>
              <w:keepLines/>
              <w:spacing w:after="0" w:line="240" w:lineRule="auto"/>
            </w:pPr>
            <w:r>
              <w:rPr>
                <w:rFonts w:ascii="Times New Roman" w:hAnsi="Times New Roman"/>
                <w:b w:val="0"/>
                <w:sz w:val="21"/>
              </w:rPr>
              <w:t>2025Q3</w:t>
            </w:r>
          </w:p>
        </w:tc>
        <w:tc>
          <w:tcPr>
            <w:tcW w:type="dxa" w:w="1584"/>
            <w:tcMar>
              <w:top w:w="65" w:type="dxa"/>
              <w:bottom w:w="65" w:type="dxa"/>
              <w:left w:w="80" w:type="dxa"/>
              <w:right w:w="80" w:type="dxa"/>
            </w:tcMar>
          </w:tcPr>
          <w:p>
            <w:pPr>
              <w:keepNext w:val="0"/>
              <w:keepLines/>
              <w:spacing w:after="0" w:line="240" w:lineRule="auto"/>
            </w:pPr>
            <w:r>
              <w:rPr>
                <w:rFonts w:ascii="Times New Roman" w:hAnsi="Times New Roman"/>
                <w:b w:val="0"/>
                <w:sz w:val="21"/>
              </w:rPr>
              <w:t>0.561</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0.52705</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0.52883</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0.57577</w:t>
            </w:r>
          </w:p>
        </w:tc>
      </w:tr>
      <w:tr>
        <w:trPr>
          <w:cantSplit/>
        </w:trPr>
        <w:tc>
          <w:tcPr>
            <w:tcW w:type="dxa" w:w="1800"/>
            <w:tcMar>
              <w:top w:w="65" w:type="dxa"/>
              <w:bottom w:w="65" w:type="dxa"/>
              <w:left w:w="80" w:type="dxa"/>
              <w:right w:w="80" w:type="dxa"/>
            </w:tcMar>
          </w:tcPr>
          <w:p>
            <w:pPr>
              <w:keepNext w:val="0"/>
              <w:keepLines/>
              <w:spacing w:after="0" w:line="240" w:lineRule="auto"/>
            </w:pPr>
            <w:r>
              <w:rPr>
                <w:rFonts w:ascii="Times New Roman" w:hAnsi="Times New Roman"/>
                <w:b w:val="0"/>
                <w:sz w:val="21"/>
              </w:rPr>
              <w:t>2025Q4</w:t>
            </w:r>
          </w:p>
        </w:tc>
        <w:tc>
          <w:tcPr>
            <w:tcW w:type="dxa" w:w="1584"/>
            <w:tcMar>
              <w:top w:w="65" w:type="dxa"/>
              <w:bottom w:w="65" w:type="dxa"/>
              <w:left w:w="80" w:type="dxa"/>
              <w:right w:w="80" w:type="dxa"/>
            </w:tcMar>
          </w:tcPr>
          <w:p>
            <w:pPr>
              <w:keepNext w:val="0"/>
              <w:keepLines/>
              <w:spacing w:after="0" w:line="240" w:lineRule="auto"/>
            </w:pPr>
            <w:r>
              <w:rPr>
                <w:rFonts w:ascii="Times New Roman" w:hAnsi="Times New Roman"/>
                <w:b w:val="0"/>
                <w:sz w:val="21"/>
              </w:rPr>
              <w:t>0.548</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0.52466</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0.52685</w:t>
            </w:r>
          </w:p>
        </w:tc>
        <w:tc>
          <w:tcPr>
            <w:tcW w:type="dxa" w:w="2232"/>
            <w:tcMar>
              <w:top w:w="65" w:type="dxa"/>
              <w:bottom w:w="65" w:type="dxa"/>
              <w:left w:w="80" w:type="dxa"/>
              <w:right w:w="80" w:type="dxa"/>
            </w:tcMar>
          </w:tcPr>
          <w:p>
            <w:pPr>
              <w:keepNext w:val="0"/>
              <w:keepLines/>
              <w:spacing w:after="0" w:line="240" w:lineRule="auto"/>
            </w:pPr>
            <w:r>
              <w:rPr>
                <w:rFonts w:ascii="Times New Roman" w:hAnsi="Times New Roman"/>
                <w:b w:val="0"/>
                <w:sz w:val="21"/>
              </w:rPr>
              <w:t>0.57612</w:t>
            </w:r>
          </w:p>
        </w:tc>
      </w:tr>
    </w:tbl>
    <w:p>
      <w:pPr>
        <w:keepNext w:val="0"/>
        <w:keepLines w:val="0"/>
        <w:spacing w:line="254" w:lineRule="auto" w:after="120"/>
      </w:pPr>
      <w:r>
        <w:rPr>
          <w:sz w:val="21"/>
        </w:rPr>
        <w:t>Recursive forecasts use the previous forecast after the first quarter. Errors can therefore carry into later quarters. These values underlie Figure 6.3 and the recursive RMSE comparison. Source: [S4], recursive OOT table.</w:t>
      </w:r>
    </w:p>
    <w:p>
      <w:pPr>
        <w:keepNext w:val="0"/>
        <w:keepLines w:val="0"/>
        <w:spacing w:line="254" w:lineRule="auto" w:after="120"/>
      </w:pPr>
      <w:r>
        <w:rPr>
          <w:sz w:val="21"/>
        </w:rPr>
        <w:t>“Full” identifies the earlier full ARDL model. The longer-history trend analysis is listed separately in Sections 3 and 6.</w:t>
      </w:r>
    </w:p>
    <w:p>
      <w:pPr>
        <w:pStyle w:val="Heading2"/>
        <w:keepNext/>
        <w:pageBreakBefore/>
        <w:spacing w:before="200" w:after="140"/>
      </w:pPr>
      <w:r>
        <w:rPr>
          <w:rFonts w:ascii="Arial" w:hAnsi="Arial"/>
          <w:b/>
          <w:color w:val="000000"/>
        </w:rPr>
        <w:t>11.4 Source inventory and methodological references</w:t>
      </w:r>
    </w:p>
    <w:p>
      <w:pPr>
        <w:keepNext w:val="0"/>
        <w:keepLines w:val="0"/>
        <w:spacing w:line="254" w:lineRule="auto" w:after="120"/>
      </w:pPr>
      <w:r>
        <w:rPr>
          <w:sz w:val="21"/>
        </w:rPr>
        <w:t>[S1] EF_Trend_Break.docx. Latest user-supplied specification, coefficient tables and residual diagnostics. Location: /Users/hyx/Desktop/EF_Trend_Break.docx.</w:t>
      </w:r>
    </w:p>
    <w:p>
      <w:pPr>
        <w:keepNext w:val="0"/>
        <w:keepLines w:val="0"/>
        <w:spacing w:line="254" w:lineRule="auto" w:after="120"/>
      </w:pPr>
      <w:r>
        <w:rPr>
          <w:sz w:val="21"/>
        </w:rPr>
        <w:t>[S2] work/ef_dt_interaction_update_20261016/results.json. Unrounded estimates and model results supporting [S1]. It includes fitted values, errors, model comparisons and checks of equivalent equations.</w:t>
      </w:r>
    </w:p>
    <w:p>
      <w:pPr>
        <w:keepNext w:val="0"/>
        <w:keepLines w:val="0"/>
        <w:spacing w:line="254" w:lineRule="auto" w:after="120"/>
      </w:pPr>
      <w:r>
        <w:rPr>
          <w:sz w:val="21"/>
        </w:rPr>
        <w:t>[S3] work/ef_level_slope_break_20261016/report_results.json. Results from the equivalent equation using time since the break. It includes the serial-correlation test under residual_bg4_f_p.</w:t>
      </w:r>
    </w:p>
    <w:p>
      <w:pPr>
        <w:keepNext w:val="0"/>
        <w:keepLines w:val="0"/>
        <w:spacing w:line="254" w:lineRule="auto" w:after="120"/>
      </w:pPr>
      <w:r>
        <w:rPr>
          <w:sz w:val="21"/>
        </w:rPr>
        <w:t>[S4] Noncomp_EF_OLS_Perron_ARDL_Comparison_Report_EN_v4.docx. Prior full, trend-only and reduced ARDL comparisons, coefficients, diagnostics, selection results, OOT values and scenarios.</w:t>
      </w:r>
    </w:p>
    <w:p>
      <w:pPr>
        <w:keepNext w:val="0"/>
        <w:keepLines w:val="0"/>
        <w:spacing w:line="254" w:lineRule="auto" w:after="120"/>
      </w:pPr>
      <w:r>
        <w:rPr>
          <w:sz w:val="21"/>
        </w:rPr>
        <w:t>[S5] Noncomp_EF_Model_Development_Documentation_EN.docx, October 15, 2026; work/noncomp_mdd_20261015/analysis.json and related records. These provide earlier development results and document design. [S1] governs the latest method.</w:t>
      </w:r>
    </w:p>
    <w:p>
      <w:pPr>
        <w:keepNext w:val="0"/>
        <w:keepLines w:val="0"/>
        <w:spacing w:line="254" w:lineRule="auto" w:after="120"/>
      </w:pPr>
      <w:r>
        <w:rPr>
          <w:sz w:val="21"/>
        </w:rPr>
        <w:t>[S6] Deposit_Model_Development_Documentation.docx and the associated Cardfee writing discussion. These guide the section structure and writing style. File location: /Users/hyx/Documents/ChatGPT/Cardfee/output/.</w:t>
      </w:r>
    </w:p>
    <w:p>
      <w:pPr>
        <w:keepNext w:val="0"/>
        <w:keepLines w:val="0"/>
        <w:spacing w:line="254" w:lineRule="auto" w:after="120"/>
      </w:pPr>
      <w:r>
        <w:rPr>
          <w:sz w:val="21"/>
        </w:rPr>
        <w:t>Relative work paths above are rooted at /Users/hyx/Documents/ChatGPT/Comp/. The [S4] and [S5] Word files are in outputs/01a1116d-79ff-71f2-90ac-49290fc9bd2e/. Earlier input data are retained in the Bank_ER_ARDL_Outlier_Sensitivity_2017Q3_Q4 package in that output directory. Source hashes and artifact checks are recorded in the accompanying build audit.</w:t>
      </w:r>
    </w:p>
    <w:p>
      <w:pPr>
        <w:pStyle w:val="Heading2"/>
        <w:keepNext/>
        <w:pageBreakBefore w:val="0"/>
        <w:spacing w:before="200" w:after="140"/>
      </w:pPr>
      <w:r>
        <w:rPr>
          <w:rFonts w:ascii="Arial" w:hAnsi="Arial"/>
          <w:b/>
          <w:color w:val="000000"/>
        </w:rPr>
        <w:t>Methodological references</w:t>
      </w:r>
    </w:p>
    <w:p>
      <w:pPr>
        <w:keepNext w:val="0"/>
        <w:keepLines w:val="0"/>
        <w:spacing w:line="254" w:lineRule="auto" w:after="120"/>
      </w:pPr>
      <w:r>
        <w:rPr>
          <w:sz w:val="21"/>
        </w:rPr>
        <w:t>[M1] statsmodels. adfuller documentation. Test specification, AIC lag selection and ordinary ADF reference results. https://www.statsmodels.org/stable/generated/statsmodels.tsa.stattools.adfuller.html</w:t>
      </w:r>
    </w:p>
    <w:p>
      <w:pPr>
        <w:keepNext w:val="0"/>
        <w:keepLines w:val="0"/>
        <w:spacing w:line="254" w:lineRule="auto" w:after="120"/>
      </w:pPr>
      <w:r>
        <w:rPr>
          <w:sz w:val="21"/>
        </w:rPr>
        <w:t>[M2] statsmodels. kpss documentation. Constant specification, automatic bandwidth and boundary p-value interpretation. https://www.statsmodels.org/stable/generated/statsmodels.tsa.stattools.kpss.html</w:t>
      </w:r>
    </w:p>
    <w:p>
      <w:pPr>
        <w:keepNext w:val="0"/>
        <w:keepLines w:val="0"/>
        <w:spacing w:line="254" w:lineRule="auto" w:after="120"/>
      </w:pPr>
      <w:r>
        <w:rPr>
          <w:sz w:val="21"/>
        </w:rPr>
        <w:t>[M3] EViews. Unit Root Tests with a Breakpoint. Break specifications, lag selection and breakpoint-specific testing framework. https://www.eviews.com/help/content/advtimeser-Unit_Root_Tests_with_a_Breakpoint.html</w:t>
      </w:r>
    </w:p>
    <w:p>
      <w:pPr>
        <w:keepNext w:val="0"/>
        <w:keepLines w:val="0"/>
        <w:spacing w:line="254" w:lineRule="auto" w:after="120"/>
      </w:pPr>
      <w:r>
        <w:rPr>
          <w:sz w:val="21"/>
        </w:rPr>
        <w:t>Method references reviewed October 19, 2026. They explain how the statistical checks work. Bank data and approval records come from the separate project sources.</w:t>
      </w:r>
    </w:p>
    <w:p>
      <w:pPr>
        <w:pStyle w:val="Heading2"/>
        <w:keepNext/>
        <w:pageBreakBefore/>
        <w:spacing w:before="200" w:after="140"/>
      </w:pPr>
      <w:r>
        <w:rPr>
          <w:rFonts w:ascii="Arial" w:hAnsi="Arial"/>
          <w:b/>
          <w:color w:val="000000"/>
        </w:rPr>
        <w:t>11.5 Open questions and release requirements</w:t>
      </w:r>
    </w:p>
    <w:p>
      <w:pPr>
        <w:keepNext w:val="0"/>
        <w:keepLines w:val="0"/>
        <w:spacing w:line="254" w:lineRule="auto" w:after="120"/>
      </w:pPr>
      <w:r>
        <w:rPr>
          <w:sz w:val="23"/>
        </w:rPr>
        <w:t>The table lists the information and work still needed before release. The suggested roles show who could help resolve each item. Named staff should be confirmed.</w:t>
      </w:r>
    </w:p>
    <w:p>
      <w:pPr>
        <w:keepNext/>
        <w:keepLines w:val="0"/>
        <w:spacing w:line="254" w:lineRule="auto" w:after="120"/>
      </w:pPr>
      <w:r>
        <w:rPr>
          <w:b/>
          <w:sz w:val="23"/>
        </w:rPr>
        <w:t>Table 11.6. Open items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1224"/>
        <w:gridCol w:w="6336"/>
        <w:gridCol w:w="2520"/>
      </w:tblGrid>
      <w:tr>
        <w:trPr>
          <w:cantSplit/>
          <w:tblHeader/>
        </w:trPr>
        <w:tc>
          <w:tcPr>
            <w:tcW w:type="dxa" w:w="1224"/>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ID</w:t>
            </w:r>
          </w:p>
        </w:tc>
        <w:tc>
          <w:tcPr>
            <w:tcW w:type="dxa" w:w="6336"/>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Information or work needed</w:t>
            </w:r>
          </w:p>
        </w:tc>
        <w:tc>
          <w:tcPr>
            <w:tcW w:type="dxa" w:w="2520"/>
            <w:tcMar>
              <w:top w:w="65" w:type="dxa"/>
              <w:bottom w:w="65" w:type="dxa"/>
              <w:left w:w="80" w:type="dxa"/>
              <w:right w:w="80" w:type="dxa"/>
            </w:tcMar>
            <w:shd w:fill="E7E6E6"/>
          </w:tcPr>
          <w:p>
            <w:pPr>
              <w:keepNext w:val="0"/>
              <w:keepLines/>
              <w:spacing w:after="0" w:line="240" w:lineRule="auto"/>
            </w:pPr>
            <w:r>
              <w:rPr>
                <w:rFonts w:ascii="Times New Roman" w:hAnsi="Times New Roman"/>
                <w:b/>
                <w:sz w:val="21"/>
              </w:rPr>
              <w:t>Suggested role</w:t>
            </w:r>
          </w:p>
        </w:tc>
      </w:tr>
      <w:tr>
        <w:trPr>
          <w:cantSplit/>
        </w:trPr>
        <w:tc>
          <w:tcPr>
            <w:tcW w:type="dxa" w:w="1224"/>
            <w:tcMar>
              <w:top w:w="65" w:type="dxa"/>
              <w:bottom w:w="65" w:type="dxa"/>
              <w:left w:w="80" w:type="dxa"/>
              <w:right w:w="80" w:type="dxa"/>
            </w:tcMar>
          </w:tcPr>
          <w:p>
            <w:pPr>
              <w:keepNext w:val="0"/>
              <w:keepLines/>
              <w:spacing w:after="0" w:line="240" w:lineRule="auto"/>
            </w:pPr>
            <w:r>
              <w:rPr>
                <w:rFonts w:ascii="Times New Roman" w:hAnsi="Times New Roman"/>
                <w:b w:val="0"/>
                <w:sz w:val="21"/>
              </w:rPr>
              <w:t>INFO-01</w:t>
            </w:r>
          </w:p>
        </w:tc>
        <w:tc>
          <w:tcPr>
            <w:tcW w:type="dxa" w:w="6336"/>
            <w:tcMar>
              <w:top w:w="65" w:type="dxa"/>
              <w:bottom w:w="65" w:type="dxa"/>
              <w:left w:w="80" w:type="dxa"/>
              <w:right w:w="80" w:type="dxa"/>
            </w:tcMar>
          </w:tcPr>
          <w:p>
            <w:pPr>
              <w:keepNext w:val="0"/>
              <w:keepLines/>
              <w:spacing w:after="0" w:line="240" w:lineRule="auto"/>
            </w:pPr>
            <w:r>
              <w:rPr>
                <w:rFonts w:ascii="Times New Roman" w:hAnsi="Times New Roman"/>
                <w:b w:val="0"/>
                <w:sz w:val="21"/>
              </w:rPr>
              <w:t>Confirm the expenses, revenue and reporting entities covered by EF. Agree how to calculate Noncomp dollars.</w:t>
            </w:r>
          </w:p>
        </w:tc>
        <w:tc>
          <w:tcPr>
            <w:tcW w:type="dxa" w:w="2520"/>
            <w:tcMar>
              <w:top w:w="65" w:type="dxa"/>
              <w:bottom w:w="65" w:type="dxa"/>
              <w:left w:w="80" w:type="dxa"/>
              <w:right w:w="80" w:type="dxa"/>
            </w:tcMar>
          </w:tcPr>
          <w:p>
            <w:pPr>
              <w:keepNext w:val="0"/>
              <w:keepLines/>
              <w:spacing w:after="0" w:line="240" w:lineRule="auto"/>
            </w:pPr>
            <w:r>
              <w:rPr>
                <w:rFonts w:ascii="Times New Roman" w:hAnsi="Times New Roman"/>
                <w:b w:val="0"/>
                <w:sz w:val="21"/>
              </w:rPr>
              <w:t>Finance / model owner</w:t>
            </w:r>
          </w:p>
        </w:tc>
      </w:tr>
      <w:tr>
        <w:trPr>
          <w:cantSplit/>
        </w:trPr>
        <w:tc>
          <w:tcPr>
            <w:tcW w:type="dxa" w:w="1224"/>
            <w:tcMar>
              <w:top w:w="65" w:type="dxa"/>
              <w:bottom w:w="65" w:type="dxa"/>
              <w:left w:w="80" w:type="dxa"/>
              <w:right w:w="80" w:type="dxa"/>
            </w:tcMar>
          </w:tcPr>
          <w:p>
            <w:pPr>
              <w:keepNext w:val="0"/>
              <w:keepLines/>
              <w:spacing w:after="0" w:line="240" w:lineRule="auto"/>
            </w:pPr>
            <w:r>
              <w:rPr>
                <w:rFonts w:ascii="Times New Roman" w:hAnsi="Times New Roman"/>
                <w:b w:val="0"/>
                <w:sz w:val="21"/>
              </w:rPr>
              <w:t>INFO-02</w:t>
            </w:r>
          </w:p>
        </w:tc>
        <w:tc>
          <w:tcPr>
            <w:tcW w:type="dxa" w:w="6336"/>
            <w:tcMar>
              <w:top w:w="65" w:type="dxa"/>
              <w:bottom w:w="65" w:type="dxa"/>
              <w:left w:w="80" w:type="dxa"/>
              <w:right w:w="80" w:type="dxa"/>
            </w:tcMar>
          </w:tcPr>
          <w:p>
            <w:pPr>
              <w:keepNext w:val="0"/>
              <w:keepLines/>
              <w:spacing w:after="0" w:line="240" w:lineRule="auto"/>
            </w:pPr>
            <w:r>
              <w:rPr>
                <w:rFonts w:ascii="Times New Roman" w:hAnsi="Times New Roman"/>
                <w:b w:val="0"/>
                <w:sz w:val="21"/>
              </w:rPr>
              <w:t>Confirm source systems, input definitions and data versions. Match history to accounting records. Confirm approval of the 2017 treatment.</w:t>
            </w:r>
          </w:p>
        </w:tc>
        <w:tc>
          <w:tcPr>
            <w:tcW w:type="dxa" w:w="2520"/>
            <w:tcMar>
              <w:top w:w="65" w:type="dxa"/>
              <w:bottom w:w="65" w:type="dxa"/>
              <w:left w:w="80" w:type="dxa"/>
              <w:right w:w="80" w:type="dxa"/>
            </w:tcMar>
          </w:tcPr>
          <w:p>
            <w:pPr>
              <w:keepNext w:val="0"/>
              <w:keepLines/>
              <w:spacing w:after="0" w:line="240" w:lineRule="auto"/>
            </w:pPr>
            <w:r>
              <w:rPr>
                <w:rFonts w:ascii="Times New Roman" w:hAnsi="Times New Roman"/>
                <w:b w:val="0"/>
                <w:sz w:val="21"/>
              </w:rPr>
              <w:t>Data owner / developer</w:t>
            </w:r>
          </w:p>
        </w:tc>
      </w:tr>
      <w:tr>
        <w:trPr>
          <w:cantSplit/>
        </w:trPr>
        <w:tc>
          <w:tcPr>
            <w:tcW w:type="dxa" w:w="1224"/>
            <w:tcMar>
              <w:top w:w="65" w:type="dxa"/>
              <w:bottom w:w="65" w:type="dxa"/>
              <w:left w:w="80" w:type="dxa"/>
              <w:right w:w="80" w:type="dxa"/>
            </w:tcMar>
          </w:tcPr>
          <w:p>
            <w:pPr>
              <w:keepNext w:val="0"/>
              <w:keepLines/>
              <w:spacing w:after="0" w:line="240" w:lineRule="auto"/>
            </w:pPr>
            <w:r>
              <w:rPr>
                <w:rFonts w:ascii="Times New Roman" w:hAnsi="Times New Roman"/>
                <w:b w:val="0"/>
                <w:sz w:val="21"/>
              </w:rPr>
              <w:t>INFO-03</w:t>
            </w:r>
          </w:p>
        </w:tc>
        <w:tc>
          <w:tcPr>
            <w:tcW w:type="dxa" w:w="6336"/>
            <w:tcMar>
              <w:top w:w="65" w:type="dxa"/>
              <w:bottom w:w="65" w:type="dxa"/>
              <w:left w:w="80" w:type="dxa"/>
              <w:right w:w="80" w:type="dxa"/>
            </w:tcMar>
          </w:tcPr>
          <w:p>
            <w:pPr>
              <w:keepNext w:val="0"/>
              <w:keepLines/>
              <w:spacing w:after="0" w:line="240" w:lineRule="auto"/>
            </w:pPr>
            <w:r>
              <w:rPr>
                <w:rFonts w:ascii="Times New Roman" w:hAnsi="Times New Roman"/>
                <w:b w:val="0"/>
                <w:sz w:val="21"/>
              </w:rPr>
              <w:t>Estimate the revised forecast equation. Address linked errors. Repeat input selection, OOT tests and scenarios. Add a formal break test if required.</w:t>
            </w:r>
          </w:p>
        </w:tc>
        <w:tc>
          <w:tcPr>
            <w:tcW w:type="dxa" w:w="2520"/>
            <w:tcMar>
              <w:top w:w="65" w:type="dxa"/>
              <w:bottom w:w="65" w:type="dxa"/>
              <w:left w:w="80" w:type="dxa"/>
              <w:right w:w="80" w:type="dxa"/>
            </w:tcMar>
          </w:tcPr>
          <w:p>
            <w:pPr>
              <w:keepNext w:val="0"/>
              <w:keepLines/>
              <w:spacing w:after="0" w:line="240" w:lineRule="auto"/>
            </w:pPr>
            <w:r>
              <w:rPr>
                <w:rFonts w:ascii="Times New Roman" w:hAnsi="Times New Roman"/>
                <w:b w:val="0"/>
                <w:sz w:val="21"/>
              </w:rPr>
              <w:t>Developer / independent reviewer</w:t>
            </w:r>
          </w:p>
        </w:tc>
      </w:tr>
      <w:tr>
        <w:trPr>
          <w:cantSplit/>
        </w:trPr>
        <w:tc>
          <w:tcPr>
            <w:tcW w:type="dxa" w:w="1224"/>
            <w:tcMar>
              <w:top w:w="65" w:type="dxa"/>
              <w:bottom w:w="65" w:type="dxa"/>
              <w:left w:w="80" w:type="dxa"/>
              <w:right w:w="80" w:type="dxa"/>
            </w:tcMar>
          </w:tcPr>
          <w:p>
            <w:pPr>
              <w:keepNext w:val="0"/>
              <w:keepLines/>
              <w:spacing w:after="0" w:line="240" w:lineRule="auto"/>
            </w:pPr>
            <w:r>
              <w:rPr>
                <w:rFonts w:ascii="Times New Roman" w:hAnsi="Times New Roman"/>
                <w:b w:val="0"/>
                <w:sz w:val="21"/>
              </w:rPr>
              <w:t>INFO-04</w:t>
            </w:r>
          </w:p>
        </w:tc>
        <w:tc>
          <w:tcPr>
            <w:tcW w:type="dxa" w:w="6336"/>
            <w:tcMar>
              <w:top w:w="65" w:type="dxa"/>
              <w:bottom w:w="65" w:type="dxa"/>
              <w:left w:w="80" w:type="dxa"/>
              <w:right w:w="80" w:type="dxa"/>
            </w:tcMar>
          </w:tcPr>
          <w:p>
            <w:pPr>
              <w:keepNext w:val="0"/>
              <w:keepLines/>
              <w:spacing w:after="0" w:line="240" w:lineRule="auto"/>
            </w:pPr>
            <w:r>
              <w:rPr>
                <w:rFonts w:ascii="Times New Roman" w:hAnsi="Times New Roman"/>
                <w:b w:val="0"/>
                <w:sz w:val="21"/>
              </w:rPr>
              <w:t>Name the owners. Record the model ID, intended use, review schedule, monitoring limits and approval process.</w:t>
            </w:r>
          </w:p>
        </w:tc>
        <w:tc>
          <w:tcPr>
            <w:tcW w:type="dxa" w:w="2520"/>
            <w:tcMar>
              <w:top w:w="65" w:type="dxa"/>
              <w:bottom w:w="65" w:type="dxa"/>
              <w:left w:w="80" w:type="dxa"/>
              <w:right w:w="80" w:type="dxa"/>
            </w:tcMar>
          </w:tcPr>
          <w:p>
            <w:pPr>
              <w:keepNext w:val="0"/>
              <w:keepLines/>
              <w:spacing w:after="0" w:line="240" w:lineRule="auto"/>
            </w:pPr>
            <w:r>
              <w:rPr>
                <w:rFonts w:ascii="Times New Roman" w:hAnsi="Times New Roman"/>
                <w:b w:val="0"/>
                <w:sz w:val="21"/>
              </w:rPr>
              <w:t>Model owner / MRM</w:t>
            </w:r>
          </w:p>
        </w:tc>
      </w:tr>
      <w:tr>
        <w:trPr>
          <w:cantSplit/>
        </w:trPr>
        <w:tc>
          <w:tcPr>
            <w:tcW w:type="dxa" w:w="1224"/>
            <w:tcMar>
              <w:top w:w="65" w:type="dxa"/>
              <w:bottom w:w="65" w:type="dxa"/>
              <w:left w:w="80" w:type="dxa"/>
              <w:right w:w="80" w:type="dxa"/>
            </w:tcMar>
          </w:tcPr>
          <w:p>
            <w:pPr>
              <w:keepNext w:val="0"/>
              <w:keepLines/>
              <w:spacing w:after="0" w:line="240" w:lineRule="auto"/>
            </w:pPr>
            <w:r>
              <w:rPr>
                <w:rFonts w:ascii="Times New Roman" w:hAnsi="Times New Roman"/>
                <w:b w:val="0"/>
                <w:sz w:val="21"/>
              </w:rPr>
              <w:t>INFO-05</w:t>
            </w:r>
          </w:p>
        </w:tc>
        <w:tc>
          <w:tcPr>
            <w:tcW w:type="dxa" w:w="6336"/>
            <w:tcMar>
              <w:top w:w="65" w:type="dxa"/>
              <w:bottom w:w="65" w:type="dxa"/>
              <w:left w:w="80" w:type="dxa"/>
              <w:right w:w="80" w:type="dxa"/>
            </w:tcMar>
          </w:tcPr>
          <w:p>
            <w:pPr>
              <w:keepNext w:val="0"/>
              <w:keepLines/>
              <w:spacing w:after="0" w:line="240" w:lineRule="auto"/>
            </w:pPr>
            <w:r>
              <w:rPr>
                <w:rFonts w:ascii="Times New Roman" w:hAnsi="Times New Roman"/>
                <w:b w:val="0"/>
                <w:sz w:val="21"/>
              </w:rPr>
              <w:t>Match implementation results to development results. Complete user testing, independent review and approval. Record use limits and manual adjustments.</w:t>
            </w:r>
          </w:p>
        </w:tc>
        <w:tc>
          <w:tcPr>
            <w:tcW w:type="dxa" w:w="2520"/>
            <w:tcMar>
              <w:top w:w="65" w:type="dxa"/>
              <w:bottom w:w="65" w:type="dxa"/>
              <w:left w:w="80" w:type="dxa"/>
              <w:right w:w="80" w:type="dxa"/>
            </w:tcMar>
          </w:tcPr>
          <w:p>
            <w:pPr>
              <w:keepNext w:val="0"/>
              <w:keepLines/>
              <w:spacing w:after="0" w:line="240" w:lineRule="auto"/>
            </w:pPr>
            <w:r>
              <w:rPr>
                <w:rFonts w:ascii="Times New Roman" w:hAnsi="Times New Roman"/>
                <w:b w:val="0"/>
                <w:sz w:val="21"/>
              </w:rPr>
              <w:t>Implementation owner / Finance / reviewer</w:t>
            </w:r>
          </w:p>
        </w:tc>
      </w:tr>
    </w:tbl>
    <w:p>
      <w:pPr>
        <w:keepNext w:val="0"/>
        <w:keepLines w:val="0"/>
        <w:spacing w:line="254" w:lineRule="auto" w:after="120"/>
      </w:pPr>
      <w:r>
        <w:rPr>
          <w:sz w:val="21"/>
        </w:rPr>
        <w:t>Close each item with supporting records and a named reviewer. Record the completion and approval dates when available. Source: Review of [S1–S5].</w:t>
      </w:r>
    </w:p>
    <w:p>
      <w:pPr>
        <w:pStyle w:val="Heading2"/>
        <w:keepNext/>
        <w:pageBreakBefore w:val="0"/>
        <w:spacing w:before="200" w:after="140"/>
      </w:pPr>
      <w:r>
        <w:rPr>
          <w:rFonts w:ascii="Arial" w:hAnsi="Arial"/>
          <w:b/>
          <w:color w:val="000000"/>
        </w:rPr>
        <w:t>11.6 Documentation status</w:t>
      </w:r>
    </w:p>
    <w:p>
      <w:pPr>
        <w:keepNext w:val="0"/>
        <w:keepLines w:val="0"/>
        <w:spacing w:line="254" w:lineRule="auto" w:after="120"/>
      </w:pPr>
      <w:r>
        <w:rPr>
          <w:sz w:val="23"/>
        </w:rPr>
        <w:t>This MDD uses the latest EF trend analysis and keeps the earlier forecast results clearly labeled. Its section structure follows the Deposit MDD. The next update should add the agreed forecasting method and close the items above.</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Noncomp Efficiency Ratio Model Development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288" w:hanging="173"/>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80"/>
    </w:pPr>
    <w:rPr>
      <w:rFonts w:ascii="Times New Roman" w:hAnsi="Times New Roman"/>
      <w:b/>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Noncomp Efficiency Ratio Model Development Documentation</dc:title>
  <dc:subject>2014Q1 level and trend-slope break; updated development evidence</dc:subject>
  <dc:creator/>
  <cp:keywords>Noncomp; EF; MDD; level and slope break</cp:keywords>
  <dc:description/>
  <cp:lastModifiedBy/>
  <cp:revision>1</cp:revision>
  <dcterms:created xsi:type="dcterms:W3CDTF">2013-12-23T23:15:00Z</dcterms:created>
  <dcterms:modified xsi:type="dcterms:W3CDTF">2013-12-23T23:15:00Z</dcterms:modified>
  <cp:category/>
</cp:coreProperties>
</file>