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7F208" w14:textId="77777777" w:rsidR="00416E13" w:rsidRDefault="00000000">
      <w:pPr>
        <w:pStyle w:val="aa"/>
      </w:pPr>
      <w:r>
        <w:t>PNFP Bonus Ratio ARDL Model Report</w:t>
      </w:r>
    </w:p>
    <w:p w14:paraId="18CCEAFC" w14:textId="77777777" w:rsidR="00416E13" w:rsidRDefault="00000000">
      <w:pPr>
        <w:pStyle w:val="ac"/>
      </w:pPr>
      <w:r>
        <w:t>Updated Macro Screening and Rolling Coefficient Diagnostics</w:t>
      </w:r>
    </w:p>
    <w:p w14:paraId="4093157F" w14:textId="77777777" w:rsidR="00416E13" w:rsidRDefault="00000000">
      <w:pPr>
        <w:keepLines/>
      </w:pPr>
      <w:r>
        <w:t>In-sample: 2012Q2 to 2022Q4. Out-of-time: 2023Q1 to 2025Q4. Updated 5 October 2026.</w:t>
      </w:r>
    </w:p>
    <w:p w14:paraId="533F5B01" w14:textId="77777777" w:rsidR="00416E13" w:rsidRDefault="00000000">
      <w:pPr>
        <w:pStyle w:val="1"/>
      </w:pPr>
      <w:r>
        <w:t>Executive Summary</w:t>
      </w:r>
    </w:p>
    <w:p w14:paraId="4093157F" w14:textId="77777777" w:rsidR="00416E13" w:rsidRDefault="00000000">
      <w:pPr>
        <w:keepLines/>
      </w:pPr>
      <w:r>
        <w:t>Lagged unemployment is the sole selected macro variable after HY is excluded from modeling. The complete macro inventory retains all 22 series; 21 enter transformation screening and 17 become regression candidates. The default model includes an intercept, the first lag of the bonus ratio and a fixed pandemic dummy for 2020Q1 through 2021Q1. No acquisition split or acquisition dummy is applied.</w:t>
      </w:r>
    </w:p>
    <w:p w14:paraId="4093157F" w14:textId="77777777" w:rsidR="00416E13" w:rsidRDefault="00000000">
      <w:pPr>
        <w:keepLines/>
      </w:pPr>
      <w:r>
        <w:t>Training adjusted R² is 0.278. OOT one-step RMSE is 4.360 percentage points, versus 5.056 for AR(1) with the same dummy. Unemployment is positive in all 32 six-year rolling windows and significant in 27. However, its significance disappears when the five pandemic-response quarters are removed. This supports a conditional historical association, not a fully stable causal relationship.</w:t>
      </w:r>
    </w:p>
    <w:p w14:paraId="533F5B01" w14:textId="77777777" w:rsidR="00416E13" w:rsidRDefault="00000000">
      <w:pPr>
        <w:pStyle w:val="1"/>
      </w:pPr>
      <w:r>
        <w:t>Data and Target Definition</w:t>
      </w:r>
    </w:p>
    <w:tbl>
      <w:tblPr>
        <w:tblW w:w="0" w:type="auto"/>
        <w:jc w:val="center"/>
        <w:tblLayout w:type="fixed"/>
        <w:tblLook w:val="04A0" w:firstRow="1" w:lastRow="0" w:firstColumn="1" w:lastColumn="0" w:noHBand="0" w:noVBand="1"/>
      </w:tblPr>
      <w:tblGrid>
        <w:gridCol w:w="4031"/>
        <w:gridCol w:w="3887"/>
        <w:gridCol w:w="2074"/>
      </w:tblGrid>
      <w:tr w:rsidR="00416E13" w14:paraId="2F5CD14D" w14:textId="77777777">
        <w:trPr>
          <w:cantSplit/>
          <w:tblHeader/>
          <w:jc w:val="center"/>
        </w:trPr>
        <w:tc>
          <w:tcPr>
            <w:tcW w:w="403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Sample</w:t>
            </w:r>
          </w:p>
        </w:tc>
        <w:tc>
          <w:tcPr>
            <w:tcW w:w="388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Dates</w:t>
            </w:r>
          </w:p>
        </w:tc>
        <w:tc>
          <w:tcPr>
            <w:tcW w:w="207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Quarters</w:t>
            </w:r>
          </w:p>
        </w:tc>
      </w:tr>
      <w:tr w:rsidR="00416E13" w14:paraId="036867E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Raw PNFP history</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2011Q1 to 2025Q4</w:t>
            </w:r>
          </w:p>
        </w:tc>
        <w:tc>
          <w:tcPr>
            <w:tcW w:w="20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60</w:t>
            </w:r>
          </w:p>
        </w:tc>
      </w:tr>
      <w:tr w:rsidR="00416E13" w14:paraId="036867E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Common training estimation</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2012Q2 to 2022Q4</w:t>
            </w:r>
          </w:p>
        </w:tc>
        <w:tc>
          <w:tcPr>
            <w:tcW w:w="20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w:t>
            </w:r>
          </w:p>
        </w:tc>
      </w:tr>
      <w:tr w:rsidR="00416E13" w14:paraId="036867E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OOT backtest</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2023Q1 to 2025Q4</w:t>
            </w:r>
          </w:p>
        </w:tc>
        <w:tc>
          <w:tcPr>
            <w:tcW w:w="20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w:t>
            </w:r>
          </w:p>
        </w:tc>
      </w:tr>
      <w:tr w:rsidR="00416E13" w14:paraId="036867E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Fixed structure full refit</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2012Q2 to 2025Q4</w:t>
            </w:r>
          </w:p>
        </w:tc>
        <w:tc>
          <w:tcPr>
            <w:tcW w:w="20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55</w:t>
            </w:r>
          </w:p>
        </w:tc>
      </w:tr>
    </w:tbl>
    <w:p w14:paraId="4093157F" w14:textId="77777777" w:rsidR="00416E13" w:rsidRDefault="00000000">
      <w:pPr>
        <w:keepLines/>
        <w:spacing w:after="40" w:line="80" w:lineRule="exact"/>
      </w:pPr>
      <w:r>
        <w:t/>
      </w:r>
    </w:p>
    <w:p w14:paraId="0A15D4FD" w14:textId="77777777" w:rsidR="00416E13" w:rsidRDefault="00000000">
      <w:pPr>
        <w:pStyle w:val="Formula"/>
        <w:keepLines/>
        <w:spacing w:before="0" w:after="70"/>
        <w:jc w:val="center"/>
      </w:pPr>
      <m:oMath>
        <m:r>
          <m:rPr>
            <m:sty m:val="p"/>
          </m:rPr>
          <w:rPr>
            <w:rFonts w:ascii="Cambria Math" w:hAnsi="Cambria Math"/>
          </w:rPr>
          <m:t xml:space="preserve">R(t) = </m:t>
        </m:r>
        <m:f>
          <m:num>
            <m:r>
              <m:rPr>
                <m:sty m:val="p"/>
              </m:rPr>
              <w:rPr>
                <w:rFonts w:ascii="Cambria Math" w:hAnsi="Cambria Math"/>
              </w:rPr>
              <m:t xml:space="preserve">Bonus(t)</m:t>
            </m:r>
          </m:num>
          <m:den>
            <m:r>
              <m:rPr>
                <m:sty m:val="p"/>
              </m:rPr>
              <w:rPr>
                <w:rFonts w:ascii="Cambria Math" w:hAnsi="Cambria Math"/>
              </w:rPr>
              <m:t xml:space="preserve">Compensation(t) − Bonus(t)</m:t>
            </m:r>
          </m:den>
        </m:f>
        <m:r>
          <m:rPr>
            <m:sty m:val="p"/>
          </m:rPr>
          <w:rPr>
            <w:rFonts w:ascii="Cambria Math" w:hAnsi="Cambria Math"/>
          </w:rPr>
          <m:t xml:space="preserve">;     y(t) = 100 × R(t)</m:t>
        </m:r>
      </m:oMath>
    </w:p>
    <w:p w14:paraId="4093157F" w14:textId="77777777" w:rsidR="00416E13" w:rsidRDefault="00000000">
      <w:pPr>
        <w:keepLines/>
      </w:pPr>
      <w:r>
        <w:t>The target is a ratio level, not YoY growth or bonus divided by total compensation. All model errors are percentage points of this ratio. The common start accommodates the separate lagged bonus-growth challenge, which needs five prior quarters. Earlier observations are retained as lag inputs.</w:t>
      </w:r>
    </w:p>
    <w:p>
      <w:pPr>
        <w:keepNext/>
        <w:spacing w:after="43"/>
      </w:pPr>
      <w:r>
        <w:drawing>
          <wp:inline xmlns:a="http://schemas.openxmlformats.org/drawingml/2006/main" xmlns:pic="http://schemas.openxmlformats.org/drawingml/2006/picture">
            <wp:extent cx="6344920" cy="2150709"/>
            <wp:docPr id="1" name="Picture 1" descr="Figure 1  Quarterly bonus ratio. Tan marks the pandemic dummy period; blue marks OOT."/>
            <wp:cNvGraphicFramePr>
              <a:graphicFrameLocks noChangeAspect="1"/>
            </wp:cNvGraphicFramePr>
            <a:graphic>
              <a:graphicData uri="http://schemas.openxmlformats.org/drawingml/2006/picture">
                <pic:pic>
                  <pic:nvPicPr>
                    <pic:cNvPr id="0" name="history.png"/>
                    <pic:cNvPicPr/>
                  </pic:nvPicPr>
                  <pic:blipFill>
                    <a:blip r:embed="rId16"/>
                    <a:stretch>
                      <a:fillRect/>
                    </a:stretch>
                  </pic:blipFill>
                  <pic:spPr>
                    <a:xfrm>
                      <a:off x="0" y="0"/>
                      <a:ext cx="6344920" cy="2150709"/>
                    </a:xfrm>
                    <a:prstGeom prst="rect"/>
                  </pic:spPr>
                </pic:pic>
              </a:graphicData>
            </a:graphic>
          </wp:inline>
        </w:drawing>
      </w:r>
    </w:p>
    <w:p w14:paraId="342C4899" w14:textId="77777777" w:rsidR="00416E13" w:rsidRDefault="00000000">
      <w:pPr>
        <w:keepLines/>
      </w:pPr>
      <w:r>
        <w:rPr>
          <w:sz w:val="18"/>
        </w:rPr>
        <w:t>Figure 1  Quarterly bonus ratio. Tan marks the pandemic dummy period; blue marks OOT.</w:t>
      </w:r>
    </w:p>
    <w:p w14:paraId="533F5B01" w14:textId="77777777" w:rsidR="00416E13" w:rsidRDefault="00000000">
      <w:pPr>
        <w:pStyle w:val="1"/>
        <w:pageBreakBefore/>
      </w:pPr>
      <w:r>
        <w:t>Macro Inventory</w:t>
      </w:r>
    </w:p>
    <w:p w14:paraId="4093157F" w14:textId="77777777" w:rsidR="00416E13" w:rsidRDefault="00000000">
      <w:pPr>
        <w:keepLines/>
      </w:pPr>
      <w:r>
        <w:t>The updated inventory contains 22 quarterly macro series with August 2026 baseline definitions. HY remains listed but is excluded from the current screening and every model. All codes in the next two tables have the suffix _B.IUSA.</w:t>
      </w:r>
    </w:p>
    <w:tbl>
      <w:tblPr>
        <w:tblW w:w="0" w:type="auto"/>
        <w:jc w:val="center"/>
        <w:tblLayout w:type="fixed"/>
        <w:tblLook w:val="04A0" w:firstRow="1" w:lastRow="0" w:firstColumn="1" w:lastColumn="0" w:noHBand="0" w:noVBand="1"/>
      </w:tblPr>
      <w:tblGrid>
        <w:gridCol w:w="1771"/>
        <w:gridCol w:w="4535"/>
        <w:gridCol w:w="2376"/>
        <w:gridCol w:w="1310"/>
      </w:tblGrid>
      <w:tr w:rsidR="00416E13" w14:paraId="2F5CD14D" w14:textId="77777777">
        <w:trPr>
          <w:cantSplit/>
          <w:tblHeader/>
          <w:jc w:val="center"/>
        </w:trPr>
        <w:tc>
          <w:tcPr>
            <w:tcW w:w="177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Code</w:t>
            </w:r>
          </w:p>
        </w:tc>
        <w:tc>
          <w:tcPr>
            <w:tcW w:w="453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Variable definition</w:t>
            </w:r>
          </w:p>
        </w:tc>
        <w:tc>
          <w:tcPr>
            <w:tcW w:w="237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Unit and adjustment</w:t>
            </w:r>
          </w:p>
        </w:tc>
        <w:tc>
          <w:tcPr>
            <w:tcW w:w="131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Model pool</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FAHEFI</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Financial activities average hourly earnings</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USD per hour;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FPCNBULC</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Nonfarm business unit labor costs</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Index 2017=100;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FECICPQ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Private industry total compensation ECI</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Index Dec 2005=100;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FRFED</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Federal funds rate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Percent per annum;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FRGT2Y</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Two year Treasury constant maturity rate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Percent per annum;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FRGT10Y</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Ten year Treasury constant maturity rate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Percent per annum;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FLBR</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 rate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Percent;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FCBC</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Consumer confidence index</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Index 1985=100;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FSBINQ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Small business normalized optimism index</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Index 1986=100;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FGDP$</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Real gross domestic product</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Billion chained 2017 USD; SAAR</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FGAP</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Real GDP versus potential GDP output gap</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Percent;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FBBACBQ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Commercial banks total assets</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Billion USD;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FBBABLLCBQ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Commercial banks loans and leases in bank credit</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Billion USD;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FCBOEVIXQ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CBOE S&amp;P 500 volatility index period average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Index;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FIRHYBOASQ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High yield bond option adjusted spread</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Percentage points;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Excluded</w:t>
            </w:r>
          </w:p>
        </w:tc>
      </w:tr>
    </w:tbl>
    <w:p w14:paraId="4093157F" w14:textId="77777777" w:rsidR="00416E13" w:rsidRDefault="00000000">
      <w:pPr>
        <w:keepLines/>
        <w:spacing w:after="40" w:line="80" w:lineRule="exact"/>
      </w:pPr>
      <w:r>
        <w:t/>
      </w:r>
    </w:p>
    <w:p w14:paraId="7718CA2D" w14:textId="77777777" w:rsidR="00416E13" w:rsidRDefault="00000000">
      <w:pPr>
        <w:pStyle w:val="21"/>
      </w:pPr>
      <w:r>
        <w:t>Quarterly Source Basis</w:t>
      </w:r>
    </w:p>
    <w:p w14:paraId="4093157F" w14:textId="77777777" w:rsidR="00416E13" w:rsidRDefault="00000000">
      <w:pPr>
        <w:keepLines/>
      </w:pPr>
      <w:r>
        <w:t>The updated quarterly dataset supplies the macro levels used in this rerun. These values are used directly without monthly reaggregation, interpolation or further annualization. A quarterly log change or point difference is subsequently calculated for stationarity screening; that transformation is separate from the within-quarter aggregation used to construct a level.</w:t>
      </w:r>
    </w:p>
    <w:p w14:paraId="4093157F" w14:textId="77777777" w:rsidR="00416E13" w:rsidRDefault="00000000">
      <w:pPr>
        <w:keepLines/>
      </w:pPr>
      <w:r>
        <w:t>SA means seasonally adjusted; NSA means not seasonally adjusted; SAAR means seasonally adjusted at an annual rate. A percent rate and a percentage-point spread remain distinct from relative percentage growth.</w:t>
      </w:r>
    </w:p>
    <w:p w14:paraId="533F5B01" w14:textId="77777777" w:rsidR="00416E13" w:rsidRDefault="00000000">
      <w:pPr>
        <w:pStyle w:val="1"/>
        <w:pageBreakBefore/>
      </w:pPr>
      <w:r>
        <w:t>Additional Macro Definitions</w:t>
      </w:r>
    </w:p>
    <w:p w14:paraId="4093157F" w14:textId="77777777" w:rsidR="00416E13" w:rsidRDefault="00000000">
      <w:pPr>
        <w:keepLines/>
      </w:pPr>
      <w:r>
        <w:t>The following seven series complete the updated macro inventory. Their positive-valued amounts and indices use the growth-transformation policy below. Quarterly values are retained without averaging them again or applying an additional annualization factor.</w:t>
      </w:r>
    </w:p>
    <w:tbl>
      <w:tblPr>
        <w:tblW w:w="0" w:type="auto"/>
        <w:jc w:val="center"/>
        <w:tblLayout w:type="fixed"/>
        <w:tblLook w:val="04A0" w:firstRow="1" w:lastRow="0" w:firstColumn="1" w:lastColumn="0" w:noHBand="0" w:noVBand="1"/>
      </w:tblPr>
      <w:tblGrid>
        <w:gridCol w:w="1944"/>
        <w:gridCol w:w="5126"/>
        <w:gridCol w:w="2922"/>
      </w:tblGrid>
      <w:tr w:rsidR="00416E13" w14:paraId="2F5CD14D"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Code</w:t>
            </w:r>
          </w:p>
        </w:tc>
        <w:tc>
          <w:tcPr>
            <w:tcW w:w="512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Variable definition</w:t>
            </w:r>
          </w:p>
        </w:tc>
        <w:tc>
          <w:tcPr>
            <w:tcW w:w="292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Unit and adjustment</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FPCNBCPH</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Nonfarm business hourly compensation</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Index 2017=100; SA</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FLBOPQ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Total nonfarm job openings</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Million jobs; SA</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FYPEW52Q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Finance and insurance wages and salaries</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Billion USD; SAAR</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FGDP52Q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Finance and insurance gross product originating</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Billion USD; SAAR</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FE52</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Finance and insurance employment</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Million; SA</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FYPCPIQ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Per capita income</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USD; SAAR</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FECICCQ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All civilian workers total compensation ECI</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Index Dec 2005=100; SA</w:t>
            </w:r>
          </w:p>
        </w:tc>
      </w:tr>
    </w:tbl>
    <w:p w14:paraId="4093157F" w14:textId="77777777" w:rsidR="00416E13" w:rsidRDefault="00000000">
      <w:pPr>
        <w:keepLines/>
        <w:spacing w:after="40" w:line="80" w:lineRule="exact"/>
      </w:pPr>
      <w:r>
        <w:t/>
      </w:r>
    </w:p>
    <w:p w14:paraId="4093157F" w14:textId="77777777" w:rsidR="00416E13" w:rsidRDefault="00000000">
      <w:pPr>
        <w:keepLines/>
      </w:pPr>
      <w:r>
        <w:t>Within-quarter aggregation is not independently re-estimated in this analysis, so the input levels are not all relabeled as simple quarterly means. Each economic series is included once. The two ECI families are not duplicates: one covers private industry and the other all civilian workers. SAAR series are already annualized and are not summed across months or multiplied by four.</w:t>
      </w:r>
    </w:p>
    <w:p w14:paraId="4093157F" w14:textId="77777777" w:rsidR="00416E13" w:rsidRDefault="00000000">
      <w:pPr>
        <w:keepLines/>
      </w:pPr>
      <w:r>
        <w:t>FYPCPIQ is per capita income, not CPI. FGDP52Q is finance-and-insurance industry value added in USD, not whole-economy real GDP. Financial hourly earnings, nonfarm hourly compensation and total finance-industry wages measure different populations and quantities.</w:t>
      </w:r>
    </w:p>
    <w:p w14:paraId="7718CA2D" w14:textId="77777777" w:rsidR="00416E13" w:rsidRDefault="00000000">
      <w:pPr>
        <w:pStyle w:val="21"/>
      </w:pPr>
      <w:r>
        <w:t>HY Retention and Model Exclusion</w:t>
      </w:r>
    </w:p>
    <w:p w14:paraId="4093157F" w14:textId="77777777" w:rsidR="00416E13" w:rsidRDefault="00000000">
      <w:pPr>
        <w:keepLines/>
      </w:pPr>
      <w:r>
        <w:t>HY is FIRHYBOASQ_B.IUSA, the USD high-yield bond option-adjusted spread, measured in percentage points. It remains in the inventory for traceability but none of its levels, differences or lags is allowed into this rerun.</w:t>
      </w:r>
    </w:p>
    <w:p w14:paraId="4093157F" w14:textId="77777777" w:rsidR="00416E13" w:rsidRDefault="00000000">
      <w:pPr>
        <w:keepLines/>
      </w:pPr>
      <w:r>
        <w:t>The earlier two-macro model provides the exclusion rationale: across 32 rolling 24-quarter windows, HY was negative in every window, but significant at 5% in only 1 window under OLS and 7 under HAC. In the window ending 2025Q4, OLS p was 0.2010 and HAC p was 0.1253. Those are prior-model diagnostics, not results from the updated model. They indicate imprecise rolling significance rather than proof that the economic relationship is zero.</w:t>
      </w:r>
    </w:p>
    <w:p w14:paraId="7718CA2D" w14:textId="77777777" w:rsidR="00416E13" w:rsidRDefault="00000000">
      <w:pPr>
        <w:pStyle w:val="21"/>
      </w:pPr>
      <w:r>
        <w:t>Transformation Policy</w:t>
      </w:r>
    </w:p>
    <w:p w14:paraId="4093157F" w14:textId="77777777" w:rsidR="00416E13" w:rsidRDefault="00000000">
      <w:pPr>
        <w:keepLines/>
      </w:pPr>
      <w:r>
        <w:t>Positive amounts, compensation indices, employment and job openings try quarterly log growth, then four-quarter log growth. Rates, confidence indices and the signed output gap try levels, then quarterly point changes. VIX tries level, log level and quarterly log growth. The first form passing the training stationarity rule is retained; model fit does not choose the transformation.</w:t>
      </w:r>
    </w:p>
    <w:p w14:paraId="0A15D4FD" w14:textId="77777777" w:rsidR="00416E13" w:rsidRDefault="00000000">
      <w:pPr>
        <w:pStyle w:val="Formula"/>
        <w:keepLines/>
        <w:spacing w:before="0" w:after="70"/>
        <w:jc w:val="center"/>
      </w:pPr>
      <m:oMath>
        <m:r>
          <m:rPr>
            <m:sty m:val="p"/>
          </m:rPr>
          <w:rPr>
            <w:rFonts w:ascii="Cambria Math" w:hAnsi="Cambria Math"/>
          </w:rPr>
          <m:t xml:space="preserve">Quarterly log growth(t) = 100 × ln(</m:t>
        </m:r>
        <m:f>
          <m:num>
            <m:r>
              <m:rPr>
                <m:sty m:val="p"/>
              </m:rPr>
              <w:rPr>
                <w:rFonts w:ascii="Cambria Math" w:hAnsi="Cambria Math"/>
              </w:rPr>
              <m:t xml:space="preserve">X(t)</m:t>
            </m:r>
          </m:num>
          <m:den>
            <m:r>
              <m:rPr>
                <m:sty m:val="p"/>
              </m:rPr>
              <w:rPr>
                <w:rFonts w:ascii="Cambria Math" w:hAnsi="Cambria Math"/>
              </w:rPr>
              <m:t xml:space="preserve">X(t − 1)</m:t>
            </m:r>
          </m:den>
        </m:f>
        <m:r>
          <m:rPr>
            <m:sty m:val="p"/>
          </m:rPr>
          <w:rPr>
            <w:rFonts w:ascii="Cambria Math" w:hAnsi="Cambria Math"/>
          </w:rPr>
          <m:t xml:space="preserve">)</m:t>
        </m:r>
      </m:oMath>
    </w:p>
    <w:p w14:paraId="0A15D4FD" w14:textId="77777777" w:rsidR="00416E13" w:rsidRDefault="00000000">
      <w:pPr>
        <w:pStyle w:val="Formula"/>
        <w:keepLines/>
        <w:spacing w:before="0" w:after="70"/>
        <w:jc w:val="center"/>
      </w:pPr>
      <m:oMath>
        <m:r>
          <m:rPr>
            <m:sty m:val="p"/>
          </m:rPr>
          <w:rPr>
            <w:rFonts w:ascii="Cambria Math" w:hAnsi="Cambria Math"/>
          </w:rPr>
          <m:t xml:space="preserve">YoY log growth(t) = 100 × ln(</m:t>
        </m:r>
        <m:f>
          <m:num>
            <m:r>
              <m:rPr>
                <m:sty m:val="p"/>
              </m:rPr>
              <w:rPr>
                <w:rFonts w:ascii="Cambria Math" w:hAnsi="Cambria Math"/>
              </w:rPr>
              <m:t xml:space="preserve">X(t)</m:t>
            </m:r>
          </m:num>
          <m:den>
            <m:r>
              <m:rPr>
                <m:sty m:val="p"/>
              </m:rPr>
              <w:rPr>
                <w:rFonts w:ascii="Cambria Math" w:hAnsi="Cambria Math"/>
              </w:rPr>
              <m:t xml:space="preserve">X(t − 4)</m:t>
            </m:r>
          </m:den>
        </m:f>
        <m:r>
          <m:rPr>
            <m:sty m:val="p"/>
          </m:rPr>
          <w:rPr>
            <w:rFonts w:ascii="Cambria Math" w:hAnsi="Cambria Math"/>
          </w:rPr>
          <m:t xml:space="preserve">)</m:t>
        </m:r>
      </m:oMath>
    </w:p>
    <w:p w14:paraId="4093157F" w14:textId="77777777" w:rsidR="00416E13" w:rsidRDefault="00000000">
      <w:pPr>
        <w:keepLines/>
      </w:pPr>
      <w:r>
        <w:t>The seven newly defined series use the positive-quantity growth rule. A separate rerun using levels then differences for these seven series selects the same final model and produces identical final-model coefficients and forecasts.</w:t>
      </w:r>
    </w:p>
    <w:p w14:paraId="533F5B01" w14:textId="77777777" w:rsidR="00416E13" w:rsidRDefault="00000000">
      <w:pPr>
        <w:pStyle w:val="1"/>
        <w:pageBreakBefore/>
      </w:pPr>
      <w:r>
        <w:t>Stationarity and Transformation Eligibility</w:t>
      </w:r>
    </w:p>
    <w:p w14:paraId="4093157F" w14:textId="77777777" w:rsidR="00416E13" w:rsidRDefault="00000000">
      <w:pPr>
        <w:keepLines/>
      </w:pPr>
      <w:r>
        <w:t>Both tests include a constant and no trend. ADF uses at most four lags selected by AIC; KPSS uses automatic bandwidth. A form is eligible only if ADF p &lt; 0.05 and KPSS p &gt; 0.05. Tests use training data only. The target passes in levels.</w:t>
      </w:r>
    </w:p>
    <w:tbl>
      <w:tblPr>
        <w:tblW w:w="0" w:type="auto"/>
        <w:jc w:val="center"/>
        <w:tblLayout w:type="fixed"/>
        <w:tblLook w:val="04A0" w:firstRow="1" w:lastRow="0" w:firstColumn="1" w:lastColumn="0" w:noHBand="0" w:noVBand="1"/>
      </w:tblPr>
      <w:tblGrid>
        <w:gridCol w:w="2736"/>
        <w:gridCol w:w="1800"/>
        <w:gridCol w:w="1800"/>
        <w:gridCol w:w="1440"/>
        <w:gridCol w:w="2216"/>
      </w:tblGrid>
      <w:tr w:rsidR="00416E13" w14:paraId="2F5CD14D" w14:textId="77777777">
        <w:trPr>
          <w:cantSplit/>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Target test</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Statistic</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p value</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Lags</w:t>
            </w:r>
          </w:p>
        </w:tc>
        <w:tc>
          <w:tcPr>
            <w:tcW w:w="221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Effective n</w:t>
            </w:r>
          </w:p>
        </w:tc>
      </w:tr>
      <w:tr w:rsidR="00416E13" w14:paraId="036867E3"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ADF</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-4.4166</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0.0003</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w:t>
            </w:r>
          </w:p>
        </w:tc>
        <w:tc>
          <w:tcPr>
            <w:tcW w:w="22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42</w:t>
            </w:r>
          </w:p>
        </w:tc>
      </w:tr>
      <w:tr w:rsidR="00416E13" w14:paraId="036867E3"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KPSS</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0.1443</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w:t>
            </w:r>
          </w:p>
        </w:tc>
        <w:tc>
          <w:tcPr>
            <w:tcW w:w="22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w:t>
            </w:r>
          </w:p>
        </w:tc>
      </w:tr>
    </w:tbl>
    <w:p w14:paraId="4093157F" w14:textId="77777777" w:rsidR="00416E13" w:rsidRDefault="00000000">
      <w:pPr>
        <w:keepLines/>
        <w:spacing w:after="40" w:line="80" w:lineRule="exact"/>
      </w:pPr>
      <w:r>
        <w:t/>
      </w:r>
    </w:p>
    <w:tbl>
      <w:tblPr>
        <w:tblW w:w="0" w:type="auto"/>
        <w:jc w:val="center"/>
        <w:tblLayout w:type="fixed"/>
        <w:tblLook w:val="04A0" w:firstRow="1" w:lastRow="0" w:firstColumn="1" w:lastColumn="0" w:noHBand="0" w:noVBand="1"/>
      </w:tblPr>
      <w:tblGrid>
        <w:gridCol w:w="3383"/>
        <w:gridCol w:w="2232"/>
        <w:gridCol w:w="1440"/>
        <w:gridCol w:w="1353"/>
        <w:gridCol w:w="1584"/>
      </w:tblGrid>
      <w:tr w:rsidR="00416E13" w14:paraId="2F5CD14D" w14:textId="77777777">
        <w:trPr>
          <w:cantSplit/>
          <w:tblHeader/>
          <w:jc w:val="center"/>
        </w:trPr>
        <w:tc>
          <w:tcPr>
            <w:tcW w:w="338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Macro family</w:t>
            </w:r>
          </w:p>
        </w:tc>
        <w:tc>
          <w:tcPr>
            <w:tcW w:w="223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Displayed form</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ADF p</w:t>
            </w:r>
          </w:p>
        </w:tc>
        <w:tc>
          <w:tcPr>
            <w:tcW w:w="135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KPSS p</w:t>
            </w:r>
          </w:p>
        </w:tc>
        <w:tc>
          <w:tcPr>
            <w:tcW w:w="158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Status</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Financial hourly earnings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0.0116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Unit labor costs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1.53e-15</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Private compensation ECI</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0.9247</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0.0153</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Fails gate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Federal funds rate</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Level</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0.4322</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Fails gate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Two year Treasury</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0.1113</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Fails gate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Ten year Treasury</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0.0319</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0.0874</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Selected</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Consumer confidence</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0.0002</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Small business optimism</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difference</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1.35e-08</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Real GDP</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1.27e-13</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Output gap</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difference</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2.65e-13</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Bank assets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1.84e-06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Bank loans and leases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0.0001</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VIX</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0.0011</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Nonfarm hourly compensation</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3.88e-13</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Nonfarm job openings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0.0016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Finance wages and salaries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4.03e-18</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Finance industry value added</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1.88e-06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Finance employment</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0.0001</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Per capita income</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1.46e-12</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Civilian compensation ECI</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0.8949</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0.0137</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Fails gate</w:t>
            </w:r>
          </w:p>
        </w:tc>
      </w:tr>
    </w:tbl>
    <w:p w14:paraId="4093157F" w14:textId="77777777" w:rsidR="00416E13" w:rsidRDefault="00000000">
      <w:pPr>
        <w:keepLines/>
        <w:spacing w:after="40" w:line="80" w:lineRule="exact"/>
      </w:pPr>
      <w:r>
        <w:t/>
      </w:r>
    </w:p>
    <w:p w14:paraId="4093157F" w14:textId="77777777" w:rsidR="00416E13" w:rsidRDefault="00000000">
      <w:pPr>
        <w:keepLines/>
      </w:pPr>
      <w:r>
        <w:t>Macro tests use the actual lagged input dates, 2012Q1 to 2022Q3: 43 observations before ADF lag loss. Of 43 tested macro forms, 23 pass and yield 17 eligible families. For a failed family, the table displays its first preferred form; every fallback also fails. Private ECI, federal funds, two-year Treasury and civilian ECI fail. A failure does not establish a particular integration order. HY is not tested for entry.</w:t>
      </w:r>
    </w:p>
    <w:p w14:paraId="533F5B01" w14:textId="77777777" w:rsidR="00416E13" w:rsidRDefault="00000000">
      <w:pPr>
        <w:pStyle w:val="1"/>
        <w:pageBreakBefore/>
      </w:pPr>
      <w:r>
        <w:t>Main Model Selection and Estimation</w:t>
      </w:r>
    </w:p>
    <w:p w14:paraId="4093157F" w14:textId="77777777" w:rsidR="00416E13" w:rsidRDefault="00000000">
      <w:pPr>
        <w:keepLines/>
      </w:pPr>
      <w:r>
        <w:t>The intercept, own first lag and contemporaneous pandemic dummy are fixed. Each macro addition must have classical OLS Student-t p &lt; 0.05, maximum nonconstant VIF &lt; 10, 1.5 ≤ DW ≤ 2.5 and Jarque–Bera p &gt; 0.05. Passing additions are ranked by lowest p, then highest adjusted R². Stop when none passes or two macros enter. There is no backward deletion or lag search; all trials use the same 43 quarters.</w:t>
      </w:r>
    </w:p>
    <w:tbl>
      <w:tblPr>
        <w:tblW w:w="0" w:type="auto"/>
        <w:jc w:val="center"/>
        <w:tblLayout w:type="fixed"/>
        <w:tblLook w:val="04A0" w:firstRow="1" w:lastRow="0" w:firstColumn="1" w:lastColumn="0" w:noHBand="0" w:noVBand="1"/>
      </w:tblPr>
      <w:tblGrid>
        <w:gridCol w:w="792"/>
        <w:gridCol w:w="3815"/>
        <w:gridCol w:w="1800"/>
        <w:gridCol w:w="2016"/>
        <w:gridCol w:w="1569"/>
      </w:tblGrid>
      <w:tr w:rsidR="00416E13" w14:paraId="2F5CD14D" w14:textId="77777777">
        <w:trPr>
          <w:cantSplit/>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Round</w:t>
            </w:r>
          </w:p>
        </w:tc>
        <w:tc>
          <w:tcPr>
            <w:tcW w:w="381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Result</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Added term p</w:t>
            </w:r>
          </w:p>
        </w:tc>
        <w:tc>
          <w:tcPr>
            <w:tcW w:w="201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Adjusted R²</w:t>
            </w:r>
          </w:p>
        </w:tc>
        <w:tc>
          <w:tcPr>
            <w:tcW w:w="15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Trials</w:t>
            </w:r>
          </w:p>
        </w:tc>
      </w:tr>
      <w:tr w:rsidR="00416E13" w14:paraId="036867E3"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1</w:t>
            </w:r>
          </w:p>
        </w:tc>
        <w:tc>
          <w:tcPr>
            <w:tcW w:w="381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 level at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0.277676</w:t>
            </w:r>
          </w:p>
        </w:tc>
        <w:tc>
          <w:tcPr>
            <w:tcW w:w="15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w:t>
            </w:r>
          </w:p>
        </w:tc>
      </w:tr>
      <w:tr w:rsidR="00416E13" w14:paraId="036867E3"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w:t>
            </w:r>
          </w:p>
        </w:tc>
        <w:tc>
          <w:tcPr>
            <w:tcW w:w="381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 further macro passes</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Minimum 0.1806</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Not applicable</w:t>
            </w:r>
          </w:p>
        </w:tc>
        <w:tc>
          <w:tcPr>
            <w:tcW w:w="15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16</w:t>
            </w:r>
          </w:p>
        </w:tc>
      </w:tr>
    </w:tbl>
    <w:p w14:paraId="4093157F" w14:textId="77777777" w:rsidR="00416E13" w:rsidRDefault="00000000">
      <w:pPr>
        <w:keepLines/>
        <w:spacing w:after="40" w:line="80" w:lineRule="exact"/>
      </w:pPr>
      <w:r>
        <w:t/>
      </w:r>
    </w:p>
    <w:p w14:paraId="0A15D4FD" w14:textId="77777777" w:rsidR="00416E13" w:rsidRDefault="00000000">
      <w:pPr>
        <w:pStyle w:val="Formula"/>
        <w:keepLines/>
        <w:spacing w:before="0" w:after="70"/>
        <w:jc w:val="center"/>
      </w:pPr>
      <m:oMath>
        <m:r>
          <m:rPr>
            <m:sty m:val="p"/>
          </m:rPr>
          <w:rPr>
            <w:rFonts w:ascii="Cambria Math" w:hAnsi="Cambria Math"/>
          </w:rPr>
          <m:t xml:space="preserve">y(t) = 4.944700 + 0.329160 × y(t − 1)</m:t>
        </m:r>
      </m:oMath>
    </w:p>
    <w:p w14:paraId="0A15D4FD" w14:textId="77777777" w:rsidR="00416E13" w:rsidRDefault="00000000">
      <w:pPr>
        <w:pStyle w:val="Formula"/>
        <w:keepLines/>
        <w:spacing w:before="0" w:after="70"/>
        <w:jc w:val="center"/>
      </w:pPr>
      <m:oMath>
        <m:r>
          <m:rPr>
            <m:sty m:val="p"/>
          </m:rPr>
          <w:rPr>
            <w:rFonts w:ascii="Cambria Math" w:hAnsi="Cambria Math"/>
          </w:rPr>
          <m:t xml:space="preserve">        + 1.328645 × U(t − 1) − 5.041203 × D(t) + e(t)</m:t>
        </m:r>
      </m:oMath>
    </w:p>
    <w:p w14:paraId="4093157F" w14:textId="77777777" w:rsidR="00416E13" w:rsidRDefault="00000000">
      <w:pPr>
        <w:keepLines/>
      </w:pPr>
      <w:r>
        <w:t>U is the quarterly unemployment rate in percent, not a decimal fraction or its growth rate. D equals 1 in 2020Q1–2021Q1 and 0 otherwise. No HY term appears. The closest second-round addition is financial hourly earnings growth at p = 0.1806; all 16 additions fail the significance gate.</w:t>
      </w:r>
    </w:p>
    <w:tbl>
      <w:tblPr>
        <w:tblW w:w="0" w:type="auto"/>
        <w:jc w:val="center"/>
        <w:tblLayout w:type="fixed"/>
        <w:tblLook w:val="04A0" w:firstRow="1" w:lastRow="0" w:firstColumn="1" w:lastColumn="0" w:noHBand="0" w:noVBand="1"/>
      </w:tblPr>
      <w:tblGrid>
        <w:gridCol w:w="2448"/>
        <w:gridCol w:w="1497"/>
        <w:gridCol w:w="1152"/>
        <w:gridCol w:w="1224"/>
        <w:gridCol w:w="1224"/>
        <w:gridCol w:w="2447"/>
      </w:tblGrid>
      <w:tr w:rsidR="00416E13" w14:paraId="2F5CD14D" w14:textId="77777777">
        <w:trPr>
          <w:cantSplit/>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149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w:t>
            </w:r>
          </w:p>
        </w:tc>
        <w:tc>
          <w:tcPr>
            <w:tcW w:w="115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SE</w:t>
            </w:r>
          </w:p>
        </w:tc>
        <w:tc>
          <w:tcPr>
            <w:tcW w:w="12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2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c>
          <w:tcPr>
            <w:tcW w:w="244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95% interval</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14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4.944700</w:t>
            </w:r>
          </w:p>
        </w:tc>
        <w:tc>
          <w:tcPr>
            <w:tcW w:w="11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3.4439</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0.1590</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0.1555</w:t>
            </w:r>
          </w:p>
        </w:tc>
        <w:tc>
          <w:tcPr>
            <w:tcW w:w="244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[-1.960, 11.850]</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14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0.329160</w:t>
            </w:r>
          </w:p>
        </w:tc>
        <w:tc>
          <w:tcPr>
            <w:tcW w:w="11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0.1364</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0.0206</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0.0108</w:t>
            </w:r>
          </w:p>
        </w:tc>
        <w:tc>
          <w:tcPr>
            <w:tcW w:w="244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[0.080, 0.578]</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14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1.328645</w:t>
            </w:r>
          </w:p>
        </w:tc>
        <w:tc>
          <w:tcPr>
            <w:tcW w:w="11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0.4198</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0.0050</w:t>
            </w:r>
          </w:p>
        </w:tc>
        <w:tc>
          <w:tcPr>
            <w:tcW w:w="244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[0.425, 2.232]</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Pandemic dummy</w:t>
            </w:r>
          </w:p>
        </w:tc>
        <w:tc>
          <w:tcPr>
            <w:tcW w:w="14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-5.041203</w:t>
            </w:r>
          </w:p>
        </w:tc>
        <w:tc>
          <w:tcPr>
            <w:tcW w:w="11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2.6249</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0.0621</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0.0672</w:t>
            </w:r>
          </w:p>
        </w:tc>
        <w:tc>
          <w:tcPr>
            <w:tcW w:w="244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[-10.458, 0.375]</w:t>
            </w:r>
          </w:p>
        </w:tc>
      </w:tr>
    </w:tbl>
    <w:p w14:paraId="4093157F" w14:textId="77777777" w:rsidR="00416E13" w:rsidRDefault="00000000">
      <w:pPr>
        <w:keepLines/>
        <w:spacing w:after="40" w:line="80" w:lineRule="exact"/>
      </w:pPr>
      <w:r>
        <w:t/>
      </w:r>
    </w:p>
    <w:p w14:paraId="4093157F" w14:textId="77777777" w:rsidR="00416E13" w:rsidRDefault="00000000">
      <w:pPr>
        <w:keepLines/>
      </w:pPr>
      <w:r>
        <w:t>HAC uses a Bartlett kernel, four lags, finite-sample correction and t probabilities. The OLS entry rule is unchanged. The own lag and dummy remain regardless of their p values. The pandemic dummy is not significant at 5% in the training model. Reported inference is conditional on the selected specification and is not adjusted for model selection.</w:t>
      </w:r>
    </w:p>
    <w:p w14:paraId="7718CA2D" w14:textId="77777777" w:rsidR="00416E13" w:rsidRDefault="00000000">
      <w:pPr>
        <w:pStyle w:val="21"/>
      </w:pPr>
      <w:r>
        <w:t>Model Diagnostics</w:t>
      </w:r>
    </w:p>
    <w:tbl>
      <w:tblPr>
        <w:tblW w:w="0" w:type="auto"/>
        <w:jc w:val="center"/>
        <w:tblLayout w:type="fixed"/>
        <w:tblLook w:val="04A0" w:firstRow="1" w:lastRow="0" w:firstColumn="1" w:lastColumn="0" w:noHBand="0" w:noVBand="1"/>
      </w:tblPr>
      <w:tblGrid>
        <w:gridCol w:w="3024"/>
        <w:gridCol w:w="1512"/>
        <w:gridCol w:w="3945"/>
        <w:gridCol w:w="1511"/>
      </w:tblGrid>
      <w:tr w:rsidR="00416E13" w14:paraId="2F5CD14D" w14:textId="77777777">
        <w:trPr>
          <w:cantSplit/>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Statistic</w:t>
            </w:r>
          </w:p>
        </w:tc>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c>
          <w:tcPr>
            <w:tcW w:w="394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Statistic</w:t>
            </w:r>
          </w:p>
        </w:tc>
        <w:tc>
          <w:tcPr>
            <w:tcW w:w="151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Observations</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Residual degrees of freedom</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39</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R²</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0.329271</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Adjusted R²</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0.277676</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AIC</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264.590</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BIC</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271.635</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Durbin–Watson</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1.9536</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Maximum nonconstant VIF</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1.2080</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Jarque–Bera p</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0.6905</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Breusch–Pagan p</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0.6749</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BG lag 1 F p</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0.9190</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BG lag 4 F p</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0.9175</w:t>
            </w:r>
          </w:p>
        </w:tc>
      </w:tr>
    </w:tbl>
    <w:p w14:paraId="4093157F" w14:textId="77777777" w:rsidR="00416E13" w:rsidRDefault="00000000">
      <w:pPr>
        <w:keepLines/>
        <w:spacing w:after="40" w:line="80" w:lineRule="exact"/>
      </w:pPr>
      <w:r>
        <w:t/>
      </w:r>
    </w:p>
    <w:p w14:paraId="4093157F" w14:textId="77777777" w:rsidR="00416E13" w:rsidRDefault="00000000">
      <w:pPr>
        <w:keepLines/>
      </w:pPr>
      <w:r>
        <w:t>DW is retained as the established screening convention, not used as a standalone test with a lagged dependent variable. BG tests do not reject their no-serial-correlation nulls at 5%. The own-lag coefficient is below one in absolute value. The stationary dynamic regression does not establish cointegration or justify an error-correction interpretation.</w:t>
      </w:r>
    </w:p>
    <w:p w14:paraId="533F5B01" w14:textId="77777777" w:rsidR="00416E13" w:rsidRDefault="00000000">
      <w:pPr>
        <w:pStyle w:val="1"/>
        <w:pageBreakBefore/>
      </w:pPr>
      <w:r>
        <w:t>IS and OOT Fitted Results</w:t>
      </w:r>
    </w:p>
    <w:tbl>
      <w:tblPr>
        <w:tblW w:w="0" w:type="auto"/>
        <w:jc w:val="center"/>
        <w:tblLayout w:type="fixed"/>
        <w:tblLook w:val="04A0" w:firstRow="1" w:lastRow="0" w:firstColumn="1" w:lastColumn="0" w:noHBand="0" w:noVBand="1"/>
      </w:tblPr>
      <w:tblGrid>
        <w:gridCol w:w="5039"/>
        <w:gridCol w:w="1008"/>
        <w:gridCol w:w="1972"/>
        <w:gridCol w:w="1973"/>
      </w:tblGrid>
      <w:tr w:rsidR="00416E13" w14:paraId="2F5CD14D" w14:textId="77777777">
        <w:trPr>
          <w:cantSplit/>
          <w:tblHeader/>
          <w:jc w:val="center"/>
        </w:trPr>
        <w:tc>
          <w:tcPr>
            <w:tcW w:w="503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Evaluation</w:t>
            </w:r>
          </w:p>
        </w:tc>
        <w:tc>
          <w:tcPr>
            <w:tcW w:w="100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n</w:t>
            </w:r>
          </w:p>
        </w:tc>
        <w:tc>
          <w:tcPr>
            <w:tcW w:w="197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RMSE</w:t>
            </w:r>
          </w:p>
        </w:tc>
        <w:tc>
          <w:tcPr>
            <w:tcW w:w="197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MAE</w:t>
            </w:r>
          </w:p>
        </w:tc>
      </w:tr>
      <w:tr w:rsidR="00416E13" w14:paraId="036867E3" w14:textId="77777777">
        <w:trPr>
          <w:cantSplit/>
          <w:jc w:val="center"/>
        </w:trPr>
        <w:tc>
          <w:tcPr>
            <w:tcW w:w="50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IS fitted</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w:t>
            </w:r>
          </w:p>
        </w:tc>
        <w:tc>
          <w:tcPr>
            <w:tcW w:w="19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4.781</w:t>
            </w:r>
          </w:p>
        </w:tc>
        <w:tc>
          <w:tcPr>
            <w:tcW w:w="197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3.797</w:t>
            </w:r>
          </w:p>
        </w:tc>
      </w:tr>
      <w:tr w:rsidR="00416E13" w14:paraId="036867E3" w14:textId="77777777">
        <w:trPr>
          <w:cantSplit/>
          <w:jc w:val="center"/>
        </w:trPr>
        <w:tc>
          <w:tcPr>
            <w:tcW w:w="50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OOT one step</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w:t>
            </w:r>
          </w:p>
        </w:tc>
        <w:tc>
          <w:tcPr>
            <w:tcW w:w="19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4.360</w:t>
            </w:r>
          </w:p>
        </w:tc>
        <w:tc>
          <w:tcPr>
            <w:tcW w:w="197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3.760</w:t>
            </w:r>
          </w:p>
        </w:tc>
      </w:tr>
      <w:tr w:rsidR="00416E13" w14:paraId="036867E3" w14:textId="77777777">
        <w:trPr>
          <w:cantSplit/>
          <w:jc w:val="center"/>
        </w:trPr>
        <w:tc>
          <w:tcPr>
            <w:tcW w:w="50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OOT conditional recursive</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w:t>
            </w:r>
          </w:p>
        </w:tc>
        <w:tc>
          <w:tcPr>
            <w:tcW w:w="19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5.026</w:t>
            </w:r>
          </w:p>
        </w:tc>
        <w:tc>
          <w:tcPr>
            <w:tcW w:w="197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4.405</w:t>
            </w:r>
          </w:p>
        </w:tc>
      </w:tr>
      <w:tr w:rsidR="00416E13" w14:paraId="036867E3" w14:textId="77777777">
        <w:trPr>
          <w:cantSplit/>
          <w:jc w:val="center"/>
        </w:trPr>
        <w:tc>
          <w:tcPr>
            <w:tcW w:w="50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OOT expanding window</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w:t>
            </w:r>
          </w:p>
        </w:tc>
        <w:tc>
          <w:tcPr>
            <w:tcW w:w="19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4.435</w:t>
            </w:r>
          </w:p>
        </w:tc>
        <w:tc>
          <w:tcPr>
            <w:tcW w:w="197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3.781</w:t>
            </w:r>
          </w:p>
        </w:tc>
      </w:tr>
    </w:tbl>
    <w:p w14:paraId="4093157F" w14:textId="77777777" w:rsidR="00416E13" w:rsidRDefault="00000000">
      <w:pPr>
        <w:keepLines/>
        <w:spacing w:after="40" w:line="80" w:lineRule="exact"/>
      </w:pPr>
      <w:r>
        <w:t/>
      </w:r>
    </w:p>
    <w:p w14:paraId="4093157F" w14:textId="77777777" w:rsidR="00416E13" w:rsidRDefault="00000000">
      <w:pPr>
        <w:keepLines/>
      </w:pPr>
      <w:r>
        <w:t>Errors are percentage points of the bonus-to-nonbonus ratio. One-step OOT freezes coefficients at 2022Q4 and uses the actual preceding-quarter ratio and unemployment. No OOT outcome enters numerical transformation or forward selection within this rerun.</w:t>
      </w:r>
    </w:p>
    <w:p>
      <w:pPr>
        <w:keepNext/>
        <w:spacing w:after="43"/>
      </w:pPr>
      <w:r>
        <w:drawing>
          <wp:inline xmlns:a="http://schemas.openxmlformats.org/drawingml/2006/main" xmlns:pic="http://schemas.openxmlformats.org/drawingml/2006/picture">
            <wp:extent cx="6344920" cy="2286359"/>
            <wp:docPr id="2" name="Picture 2" descr="Figure 2  Training fit, 2012Q2–2022Q4. Coefficients are estimated using those 43 quarters."/>
            <wp:cNvGraphicFramePr>
              <a:graphicFrameLocks noChangeAspect="1"/>
            </wp:cNvGraphicFramePr>
            <a:graphic>
              <a:graphicData uri="http://schemas.openxmlformats.org/drawingml/2006/picture">
                <pic:pic>
                  <pic:nvPicPr>
                    <pic:cNvPr id="0" name="train_fit.png"/>
                    <pic:cNvPicPr/>
                  </pic:nvPicPr>
                  <pic:blipFill>
                    <a:blip r:embed="rId17"/>
                    <a:stretch>
                      <a:fillRect/>
                    </a:stretch>
                  </pic:blipFill>
                  <pic:spPr>
                    <a:xfrm>
                      <a:off x="0" y="0"/>
                      <a:ext cx="6344920" cy="2286359"/>
                    </a:xfrm>
                    <a:prstGeom prst="rect"/>
                  </pic:spPr>
                </pic:pic>
              </a:graphicData>
            </a:graphic>
          </wp:inline>
        </w:drawing>
      </w:r>
    </w:p>
    <w:p w14:paraId="342C4899" w14:textId="77777777" w:rsidR="00416E13" w:rsidRDefault="00000000">
      <w:pPr>
        <w:keepLines/>
      </w:pPr>
      <w:r>
        <w:rPr>
          <w:sz w:val="18"/>
        </w:rPr>
        <w:t>Figure 2  Training fit, 2012Q2–2022Q4. Coefficients are estimated using those 43 quarters.</w:t>
      </w:r>
    </w:p>
    <w:p w14:paraId="4093157F" w14:textId="77777777" w:rsidR="00416E13" w:rsidRDefault="00000000">
      <w:pPr>
        <w:keepLines/>
      </w:pPr>
      <w:r>
        <w:t>Conditional recursive OOT replaces the own-ratio lag with its previous prediction, starting from actual 2022Q4, but retains the realized unemployment path. Expanding-window forecasts refit coefficients using only prior observations and keep the selected structure fixed.</w:t>
      </w:r>
    </w:p>
    <w:p>
      <w:pPr>
        <w:keepNext/>
        <w:spacing w:after="43"/>
      </w:pPr>
      <w:r>
        <w:drawing>
          <wp:inline xmlns:a="http://schemas.openxmlformats.org/drawingml/2006/main" xmlns:pic="http://schemas.openxmlformats.org/drawingml/2006/picture">
            <wp:extent cx="6344920" cy="2380439"/>
            <wp:docPr id="3" name="Picture 3" descr="Figure 3  OOT actuals and predictions, 2023Q1–2025Q4. All 12 quarters have D = 0."/>
            <wp:cNvGraphicFramePr>
              <a:graphicFrameLocks noChangeAspect="1"/>
            </wp:cNvGraphicFramePr>
            <a:graphic>
              <a:graphicData uri="http://schemas.openxmlformats.org/drawingml/2006/picture">
                <pic:pic>
                  <pic:nvPicPr>
                    <pic:cNvPr id="0" name="oot_fit.png"/>
                    <pic:cNvPicPr/>
                  </pic:nvPicPr>
                  <pic:blipFill>
                    <a:blip r:embed="rId18"/>
                    <a:stretch>
                      <a:fillRect/>
                    </a:stretch>
                  </pic:blipFill>
                  <pic:spPr>
                    <a:xfrm>
                      <a:off x="0" y="0"/>
                      <a:ext cx="6344920" cy="2380439"/>
                    </a:xfrm>
                    <a:prstGeom prst="rect"/>
                  </pic:spPr>
                </pic:pic>
              </a:graphicData>
            </a:graphic>
          </wp:inline>
        </w:drawing>
      </w:r>
    </w:p>
    <w:p w14:paraId="342C4899" w14:textId="77777777" w:rsidR="00416E13" w:rsidRDefault="00000000">
      <w:pPr>
        <w:keepLines/>
      </w:pPr>
      <w:r>
        <w:rPr>
          <w:sz w:val="18"/>
        </w:rPr>
        <w:t>Figure 3  OOT actuals and predictions, 2023Q1–2025Q4. All 12 quarters have D = 0.</w:t>
      </w:r>
    </w:p>
    <w:p w14:paraId="4093157F" w14:textId="77777777" w:rsidR="00416E13" w:rsidRDefault="00000000">
      <w:pPr>
        <w:keepLines/>
      </w:pPr>
      <w:r>
        <w:t>This is a revised-data historical backtest. Earlier work and the rolling evidence used to exclude HY have already inspected OOT outcomes, so this segment is not untouched prospective validation. Conditional recursion also assumes knowledge of the subsequent macro path.</w:t>
      </w:r>
    </w:p>
    <w:p w14:paraId="533F5B01" w14:textId="77777777" w:rsidR="00416E13" w:rsidRDefault="00000000">
      <w:pPr>
        <w:pStyle w:val="1"/>
        <w:pageBreakBefore/>
      </w:pPr>
      <w:r>
        <w:t>Benchmark Comparisons and Sensitivity</w:t>
      </w:r>
    </w:p>
    <w:tbl>
      <w:tblPr>
        <w:tblW w:w="0" w:type="auto"/>
        <w:jc w:val="center"/>
        <w:tblLayout w:type="fixed"/>
        <w:tblLook w:val="04A0" w:firstRow="1" w:lastRow="0" w:firstColumn="1" w:lastColumn="0" w:noHBand="0" w:noVBand="1"/>
      </w:tblPr>
      <w:tblGrid>
        <w:gridCol w:w="5255"/>
        <w:gridCol w:w="1512"/>
        <w:gridCol w:w="1613"/>
        <w:gridCol w:w="1612"/>
      </w:tblGrid>
      <w:tr w:rsidR="00416E13" w14:paraId="2F5CD14D" w14:textId="77777777">
        <w:trPr>
          <w:cantSplit/>
          <w:tblHeader/>
          <w:jc w:val="center"/>
        </w:trPr>
        <w:tc>
          <w:tcPr>
            <w:tcW w:w="525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Specification</w:t>
            </w:r>
          </w:p>
        </w:tc>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IS BIC</w:t>
            </w:r>
          </w:p>
        </w:tc>
        <w:tc>
          <w:tcPr>
            <w:tcW w:w="161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OOT RMSE</w:t>
            </w:r>
          </w:p>
        </w:tc>
        <w:tc>
          <w:tcPr>
            <w:tcW w:w="16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OOT MAE</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Main ARDL with pandemic dummy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271.635</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4.360</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3.760</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Unemployment ARDL without dummy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271.759</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4.336</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3.656</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AR(1) with pandemic dummy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277.705</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5.056</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4.274</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AR(1) without dummy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274.888</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4.851</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4.154</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Previous quarter ratio</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Not fitted</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5.076</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4.140</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Same quarter last year</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Not fitted</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7.651</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6.712</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Training mean ratio</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Not fitted</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5.893</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4.942</w:t>
            </w:r>
          </w:p>
        </w:tc>
      </w:tr>
    </w:tbl>
    <w:p w14:paraId="4093157F" w14:textId="77777777" w:rsidR="00416E13" w:rsidRDefault="00000000">
      <w:pPr>
        <w:keepLines/>
        <w:spacing w:after="40" w:line="80" w:lineRule="exact"/>
      </w:pPr>
      <w:r>
        <w:t/>
      </w:r>
    </w:p>
    <w:p w14:paraId="4093157F" w14:textId="77777777" w:rsidR="00416E13" w:rsidRDefault="00000000">
      <w:pPr>
        <w:keepLines/>
      </w:pPr>
      <w:r>
        <w:t>The main model reduces one-step RMSE by 13.8% relative to AR(1) with the same dummy. The no-dummy search also selects unemployment only and has slightly lower OOT RMSE, but the pandemic dummy remains part of the specified default. Neither the dummy interval nor its inclusion is optimized against OOT errors.</w:t>
      </w:r>
    </w:p>
    <w:p w14:paraId="7718CA2D" w14:textId="77777777" w:rsidR="00416E13" w:rsidRDefault="00000000">
      <w:pPr>
        <w:pStyle w:val="21"/>
      </w:pPr>
      <w:r>
        <w:t>Bonus Growth Challenge</w:t>
      </w:r>
    </w:p>
    <w:p w14:paraId="0A15D4FD" w14:textId="77777777" w:rsidR="00416E13" w:rsidRDefault="00000000">
      <w:pPr>
        <w:pStyle w:val="Formula"/>
        <w:keepLines/>
        <w:spacing w:before="0" w:after="70"/>
        <w:jc w:val="center"/>
      </w:pPr>
      <m:oMath>
        <m:r>
          <m:rPr>
            <m:sty m:val="p"/>
          </m:rPr>
          <w:rPr>
            <w:rFonts w:ascii="Cambria Math" w:hAnsi="Cambria Math"/>
          </w:rPr>
          <m:t xml:space="preserve">BonusGrowth(t − 1) = 100 × ln(</m:t>
        </m:r>
        <m:f>
          <m:num>
            <m:r>
              <m:rPr>
                <m:sty m:val="p"/>
              </m:rPr>
              <w:rPr>
                <w:rFonts w:ascii="Cambria Math" w:hAnsi="Cambria Math"/>
              </w:rPr>
              <m:t xml:space="preserve">Bonus(t − 1)</m:t>
            </m:r>
          </m:num>
          <m:den>
            <m:r>
              <m:rPr>
                <m:sty m:val="p"/>
              </m:rPr>
              <w:rPr>
                <w:rFonts w:ascii="Cambria Math" w:hAnsi="Cambria Math"/>
              </w:rPr>
              <m:t xml:space="preserve">Bonus(t − 5)</m:t>
            </m:r>
          </m:den>
        </m:f>
        <m:r>
          <m:rPr>
            <m:sty m:val="p"/>
          </m:rPr>
          <w:rPr>
            <w:rFonts w:ascii="Cambria Math" w:hAnsi="Cambria Math"/>
          </w:rPr>
          <m:t xml:space="preserve">)</m:t>
        </m:r>
      </m:oMath>
    </w:p>
    <w:p w14:paraId="4093157F" w14:textId="77777777" w:rsidR="00416E13" w:rsidRDefault="00000000">
      <w:pPr>
        <w:keepLines/>
      </w:pPr>
      <w:r>
        <w:t>The optional lagged bonus-growth term passes the stationarity rule, with ADF p = 0.0267 and KPSS p &gt;0.100. It is tested separately because bonus is already in the target numerator. Excluding contemporaneous bonus growth avoids same-quarter overlap, but lagged bonus growth is still not an exogenous instrument.</w:t>
      </w:r>
    </w:p>
    <w:tbl>
      <w:tblPr>
        <w:tblW w:w="0" w:type="auto"/>
        <w:jc w:val="center"/>
        <w:tblLayout w:type="fixed"/>
        <w:tblLook w:val="04A0" w:firstRow="1" w:lastRow="0" w:firstColumn="1" w:lastColumn="0" w:noHBand="0" w:noVBand="1"/>
      </w:tblPr>
      <w:tblGrid>
        <w:gridCol w:w="2736"/>
        <w:gridCol w:w="2160"/>
        <w:gridCol w:w="2160"/>
        <w:gridCol w:w="2936"/>
      </w:tblGrid>
      <w:tr w:rsidR="00416E13" w14:paraId="2F5CD14D" w14:textId="77777777">
        <w:trPr>
          <w:cantSplit/>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Bonus coefficient</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c>
          <w:tcPr>
            <w:tcW w:w="29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OOT RMSE</w:t>
            </w:r>
          </w:p>
        </w:tc>
      </w:tr>
      <w:tr w:rsidR="00416E13" w14:paraId="036867E3"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0.002894</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0.8237</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0.8368</w:t>
            </w:r>
          </w:p>
        </w:tc>
        <w:tc>
          <w:tcPr>
            <w:tcW w:w="2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4.302</w:t>
            </w:r>
          </w:p>
        </w:tc>
      </w:tr>
    </w:tbl>
    <w:p w14:paraId="4093157F" w14:textId="77777777" w:rsidR="00416E13" w:rsidRDefault="00000000">
      <w:pPr>
        <w:keepLines/>
        <w:spacing w:after="40" w:line="80" w:lineRule="exact"/>
      </w:pPr>
      <w:r>
        <w:t/>
      </w:r>
    </w:p>
    <w:p w14:paraId="4093157F" w14:textId="77777777" w:rsidR="00416E13" w:rsidRDefault="00000000">
      <w:pPr>
        <w:keepLines/>
      </w:pPr>
      <w:r>
        <w:t>The bonus term fails the 5% training significance rule and is not adopted. Its slightly smaller OOT RMSE does not override that rule. The challenge and the main model use the same 43-quarter training sample.</w:t>
      </w:r>
    </w:p>
    <w:p w14:paraId="7718CA2D" w14:textId="77777777" w:rsidR="00416E13" w:rsidRDefault="00000000">
      <w:pPr>
        <w:pStyle w:val="21"/>
      </w:pPr>
      <w:r>
        <w:t>Alternative Transformations</w:t>
      </w:r>
    </w:p>
    <w:p w14:paraId="4093157F" w14:textId="77777777" w:rsidR="00416E13" w:rsidRDefault="00000000">
      <w:pPr>
        <w:keepLines/>
      </w:pPr>
      <w:r>
        <w:t>Changing only the seven added series from the growth preference to level-then-difference again produces 17 eligible families and selects unemployment only. The final coefficients and OOT predictions are identical. This confirms that the final specification is unchanged by that particular policy comparison; it is not an exhaustive search over transformations.</w:t>
      </w:r>
    </w:p>
    <w:p w14:paraId="7718CA2D" w14:textId="77777777" w:rsidR="00416E13" w:rsidRDefault="00000000">
      <w:pPr>
        <w:pStyle w:val="21"/>
      </w:pPr>
      <w:r>
        <w:t>Economic Interpretation</w:t>
      </w:r>
    </w:p>
    <w:p w14:paraId="4093157F" w14:textId="77777777" w:rsidR="00416E13" w:rsidRDefault="00000000">
      <w:pPr>
        <w:keepLines/>
      </w:pPr>
      <w:r>
        <w:t>A one-percentage-point increase in the preceding-quarter unemployment rate is associated with a 1.329-percentage-point higher current bonus-to-nonbonus compensation ratio, conditional on the own lag and dummy. This is an association with a ratio, not an estimated increase in bonus dollars. The numerator, denominator, payment timing and omitted common factors may all contribute. It should not be read as a causal countercyclical bonus policy.</w:t>
      </w:r>
    </w:p>
    <w:p w14:paraId="533F5B01" w14:textId="77777777" w:rsidR="00416E13" w:rsidRDefault="00000000">
      <w:pPr>
        <w:pStyle w:val="1"/>
        <w:pageBreakBefore/>
      </w:pPr>
      <w:r>
        <w:t>Rolling Coefficient Diagnostics</w:t>
      </w:r>
    </w:p>
    <w:p w14:paraId="4093157F" w14:textId="77777777" w:rsidR="00416E13" w:rsidRDefault="00000000">
      <w:pPr>
        <w:keepLines/>
      </w:pPr>
      <w:r>
        <w:t>The fixed final structure is re-estimated in 24-quarter windows, moving one quarter at a time across 2012Q2–2025Q4. The 32 windows end from 2018Q1 to 2025Q4. Twenty- and 28-quarter windows are sensitivity checks. Variables, transformations and lags are not reselected. Windows extending beyond 2022Q4 use OOT outcomes and are descriptive diagnostics, not new OOT forecasts.</w:t>
      </w:r>
    </w:p>
    <w:p>
      <w:pPr>
        <w:keepNext/>
        <w:spacing w:after="43"/>
      </w:pPr>
      <w:r>
        <w:drawing>
          <wp:inline xmlns:a="http://schemas.openxmlformats.org/drawingml/2006/main" xmlns:pic="http://schemas.openxmlformats.org/drawingml/2006/picture">
            <wp:extent cx="6344920" cy="2844274"/>
            <wp:docPr id="4" name="Picture 4" descr="Figure 4  Rolling unemployment and own-lag coefficients with pointwise 95% HAC intervals."/>
            <wp:cNvGraphicFramePr>
              <a:graphicFrameLocks noChangeAspect="1"/>
            </wp:cNvGraphicFramePr>
            <a:graphic>
              <a:graphicData uri="http://schemas.openxmlformats.org/drawingml/2006/picture">
                <pic:pic>
                  <pic:nvPicPr>
                    <pic:cNvPr id="0" name="rolling_macro_lag.png"/>
                    <pic:cNvPicPr/>
                  </pic:nvPicPr>
                  <pic:blipFill>
                    <a:blip r:embed="rId19"/>
                    <a:stretch>
                      <a:fillRect/>
                    </a:stretch>
                  </pic:blipFill>
                  <pic:spPr>
                    <a:xfrm>
                      <a:off x="0" y="0"/>
                      <a:ext cx="6344920" cy="2844274"/>
                    </a:xfrm>
                    <a:prstGeom prst="rect"/>
                  </pic:spPr>
                </pic:pic>
              </a:graphicData>
            </a:graphic>
          </wp:inline>
        </w:drawing>
      </w:r>
    </w:p>
    <w:p w14:paraId="342C4899" w14:textId="77777777" w:rsidR="00416E13" w:rsidRDefault="00000000">
      <w:pPr>
        <w:keepLines/>
      </w:pPr>
      <w:r>
        <w:rPr>
          <w:sz w:val="18"/>
        </w:rPr>
        <w:t>Figure 4  Rolling unemployment and own-lag coefficients with pointwise 95% HAC intervals.</w:t>
      </w:r>
    </w:p>
    <w:tbl>
      <w:tblPr>
        <w:tblW w:w="0" w:type="auto"/>
        <w:jc w:val="center"/>
        <w:tblLayout w:type="fixed"/>
        <w:tblLook w:val="04A0" w:firstRow="1" w:lastRow="0" w:firstColumn="1" w:lastColumn="0" w:noHBand="0" w:noVBand="1"/>
      </w:tblPr>
      <w:tblGrid>
        <w:gridCol w:w="2592"/>
        <w:gridCol w:w="2808"/>
        <w:gridCol w:w="1512"/>
        <w:gridCol w:w="1541"/>
        <w:gridCol w:w="1539"/>
      </w:tblGrid>
      <w:tr w:rsidR="00416E13" w14:paraId="2F5CD14D" w14:textId="77777777">
        <w:trPr>
          <w:cantSplit/>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280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 range</w:t>
            </w:r>
          </w:p>
        </w:tc>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Pos / neg</w:t>
            </w:r>
          </w:p>
        </w:tc>
        <w:tc>
          <w:tcPr>
            <w:tcW w:w="154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sig</w:t>
            </w:r>
          </w:p>
        </w:tc>
        <w:tc>
          <w:tcPr>
            <w:tcW w:w="153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sig</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28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-1.343 to 10.640</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29 / 3</w:t>
            </w:r>
          </w:p>
        </w:tc>
        <w:tc>
          <w:tcPr>
            <w:tcW w:w="154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0/32</w:t>
            </w:r>
          </w:p>
        </w:tc>
        <w:tc>
          <w:tcPr>
            <w:tcW w:w="15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0/32</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28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-0.035 to 0.486</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31 / 1</w:t>
            </w:r>
          </w:p>
        </w:tc>
        <w:tc>
          <w:tcPr>
            <w:tcW w:w="154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10/32</w:t>
            </w:r>
          </w:p>
        </w:tc>
        <w:tc>
          <w:tcPr>
            <w:tcW w:w="15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13/32</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28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0.688 to 2.580</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32 / 0</w:t>
            </w:r>
          </w:p>
        </w:tc>
        <w:tc>
          <w:tcPr>
            <w:tcW w:w="154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c>
          <w:tcPr>
            <w:tcW w:w="15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Pandemic dummy</w:t>
            </w:r>
          </w:p>
        </w:tc>
        <w:tc>
          <w:tcPr>
            <w:tcW w:w="28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-11.266 to -5.611</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 / 24</w:t>
            </w:r>
          </w:p>
        </w:tc>
        <w:tc>
          <w:tcPr>
            <w:tcW w:w="154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18/24</w:t>
            </w:r>
          </w:p>
        </w:tc>
        <w:tc>
          <w:tcPr>
            <w:tcW w:w="15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23/24</w:t>
            </w:r>
          </w:p>
        </w:tc>
      </w:tr>
    </w:tbl>
    <w:p w14:paraId="4093157F" w14:textId="77777777" w:rsidR="00416E13" w:rsidRDefault="00000000">
      <w:pPr>
        <w:keepLines/>
        <w:spacing w:after="40" w:line="80" w:lineRule="exact"/>
      </w:pPr>
      <w:r>
        <w:t/>
      </w:r>
    </w:p>
    <w:p w14:paraId="4093157F" w14:textId="77777777" w:rsidR="00416E13" w:rsidRDefault="00000000">
      <w:pPr>
        <w:keepLines/>
      </w:pPr>
      <w:r>
        <w:t>Significance counts use 5%. Unemployment is positive in all 32 windows, ranging from 0.688 to 2.580, and is significant in 27 under both OLS and HAC. The own-lag coefficient is negative in one window but remains below one in absolute value throughout. Directional consistency does not establish a constant coefficient magnitude.</w:t>
      </w:r>
    </w:p>
    <w:tbl>
      <w:tblPr>
        <w:tblW w:w="0" w:type="auto"/>
        <w:jc w:val="center"/>
        <w:tblLayout w:type="fixed"/>
        <w:tblLook w:val="04A0" w:firstRow="1" w:lastRow="0" w:firstColumn="1" w:lastColumn="0" w:noHBand="0" w:noVBand="1"/>
      </w:tblPr>
      <w:tblGrid>
        <w:gridCol w:w="4391"/>
        <w:gridCol w:w="1800"/>
        <w:gridCol w:w="1900"/>
        <w:gridCol w:w="1901"/>
      </w:tblGrid>
      <w:tr w:rsidR="00416E13" w14:paraId="2F5CD14D" w14:textId="77777777">
        <w:trPr>
          <w:cantSplit/>
          <w:tblHeader/>
          <w:jc w:val="center"/>
        </w:trPr>
        <w:tc>
          <w:tcPr>
            <w:tcW w:w="439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Final six year window</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w:t>
            </w:r>
          </w:p>
        </w:tc>
        <w:tc>
          <w:tcPr>
            <w:tcW w:w="19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90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Own ratio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0.4863</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0.0019</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0.0001</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Unemployment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2.4196</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0.0001</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5.63e-12</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Pandemic dummy</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-8.5379</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0.0056</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1.14e-05</w:t>
            </w:r>
          </w:p>
        </w:tc>
      </w:tr>
    </w:tbl>
    <w:p w14:paraId="4093157F" w14:textId="77777777" w:rsidR="00416E13" w:rsidRDefault="00000000">
      <w:pPr>
        <w:keepLines/>
        <w:spacing w:after="40" w:line="80" w:lineRule="exact"/>
      </w:pPr>
      <w:r>
        <w:t/>
      </w:r>
    </w:p>
    <w:p w14:paraId="4093157F" w14:textId="77777777" w:rsidR="00416E13" w:rsidRDefault="00000000">
      <w:pPr>
        <w:keepLines/>
      </w:pPr>
      <w:r>
        <w:t>Intervals use four-lag Bartlett HAC with finite-sample correction and t probabilities. They are pointwise and not adjusted for selection or multiple windows. Adjacent windows overlap heavily; 27 significant windows are not 27 independent replications, and very small short-window HAC p values should be interpreted cautiously.</w:t>
      </w:r>
    </w:p>
    <w:p w14:paraId="533F5B01" w14:textId="77777777" w:rsidR="00416E13" w:rsidRDefault="00000000">
      <w:pPr>
        <w:pStyle w:val="1"/>
        <w:pageBreakBefore/>
      </w:pPr>
      <w:r>
        <w:t>Rolling Controls and Window Sensitivity</w:t>
      </w:r>
    </w:p>
    <w:p>
      <w:pPr>
        <w:keepNext/>
        <w:spacing w:after="43"/>
      </w:pPr>
      <w:r>
        <w:drawing>
          <wp:inline xmlns:a="http://schemas.openxmlformats.org/drawingml/2006/main" xmlns:pic="http://schemas.openxmlformats.org/drawingml/2006/picture">
            <wp:extent cx="6344920" cy="2844274"/>
            <wp:docPr id="5" name="Picture 5" descr="Figure 5  Rolling intercept and pandemic coefficients. The dummy is unavailable in all-zero windows."/>
            <wp:cNvGraphicFramePr>
              <a:graphicFrameLocks noChangeAspect="1"/>
            </wp:cNvGraphicFramePr>
            <a:graphic>
              <a:graphicData uri="http://schemas.openxmlformats.org/drawingml/2006/picture">
                <pic:pic>
                  <pic:nvPicPr>
                    <pic:cNvPr id="0" name="rolling_intercept_dummy.png"/>
                    <pic:cNvPicPr/>
                  </pic:nvPicPr>
                  <pic:blipFill>
                    <a:blip r:embed="rId20"/>
                    <a:stretch>
                      <a:fillRect/>
                    </a:stretch>
                  </pic:blipFill>
                  <pic:spPr>
                    <a:xfrm>
                      <a:off x="0" y="0"/>
                      <a:ext cx="6344920" cy="2844274"/>
                    </a:xfrm>
                    <a:prstGeom prst="rect"/>
                  </pic:spPr>
                </pic:pic>
              </a:graphicData>
            </a:graphic>
          </wp:inline>
        </w:drawing>
      </w:r>
    </w:p>
    <w:p w14:paraId="342C4899" w14:textId="77777777" w:rsidR="00416E13" w:rsidRDefault="00000000">
      <w:pPr>
        <w:keepLines/>
      </w:pPr>
      <w:r>
        <w:rPr>
          <w:sz w:val="18"/>
        </w:rPr>
        <w:t>Figure 5  Rolling intercept and pandemic coefficients. The dummy is unavailable in all-zero windows.</w:t>
      </w:r>
    </w:p>
    <w:p w14:paraId="4093157F" w14:textId="77777777" w:rsidR="00416E13" w:rsidRDefault="00000000">
      <w:pPr>
        <w:keepLines/>
      </w:pPr>
      <w:r>
        <w:t>When the dummy is zero throughout a window, it is omitted and its coefficient is unavailable, not zero. For the 24-quarter analysis, this occurs in eight windows ending before 2020Q1. The dummy is negative in all 24 identifiable windows, from −11.266 to −5.611 percentage points, but its training-model p value remains above 0.05.</w:t>
      </w:r>
    </w:p>
    <w:tbl>
      <w:tblPr>
        <w:tblW w:w="0" w:type="auto"/>
        <w:jc w:val="center"/>
        <w:tblLayout w:type="fixed"/>
        <w:tblLook w:val="04A0" w:firstRow="1" w:lastRow="0" w:firstColumn="1" w:lastColumn="0" w:noHBand="0" w:noVBand="1"/>
      </w:tblPr>
      <w:tblGrid>
        <w:gridCol w:w="936"/>
        <w:gridCol w:w="2088"/>
        <w:gridCol w:w="2592"/>
        <w:gridCol w:w="1440"/>
        <w:gridCol w:w="1469"/>
        <w:gridCol w:w="1467"/>
      </w:tblGrid>
      <w:tr w:rsidR="00416E13" w14:paraId="2F5CD14D" w14:textId="77777777">
        <w:trPr>
          <w:cantSplit/>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Window</w:t>
            </w:r>
          </w:p>
        </w:tc>
        <w:tc>
          <w:tcPr>
            <w:tcW w:w="208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 range</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Positive</w:t>
            </w:r>
          </w:p>
        </w:tc>
        <w:tc>
          <w:tcPr>
            <w:tcW w:w="14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sig</w:t>
            </w:r>
          </w:p>
        </w:tc>
        <w:tc>
          <w:tcPr>
            <w:tcW w:w="146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sig</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20</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-4.110 to 4.671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33/36</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24/36</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28/36</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20</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Own lag</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-0.167 to 0.533</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28/36</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7/36</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9/36</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24</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0.688 to 2.580</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32/32</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24</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Own lag</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-0.035 to 0.486</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31/32</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10/32</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13/32</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28</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1.206 to 2.406</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28/28</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24/28</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24/28</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28</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Own lag</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0.076 to 0.417</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28/28</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10/28</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15/28</w:t>
            </w:r>
          </w:p>
        </w:tc>
      </w:tr>
    </w:tbl>
    <w:p w14:paraId="4093157F" w14:textId="77777777" w:rsidR="00416E13" w:rsidRDefault="00000000">
      <w:pPr>
        <w:keepLines/>
        <w:spacing w:after="40" w:line="80" w:lineRule="exact"/>
      </w:pPr>
      <w:r>
        <w:t/>
      </w:r>
    </w:p>
    <w:p w14:paraId="4093157F" w14:textId="77777777" w:rsidR="00416E13" w:rsidRDefault="00000000">
      <w:pPr>
        <w:keepLines/>
      </w:pPr>
      <w:r>
        <w:t>Unemployment changes sign in three of 36 five-year windows but is positive in every six- and seven-year window. The five-year coefficient range is much wider. Stability is therefore sensitive to the amount and composition of data in a window.</w:t>
      </w:r>
    </w:p>
    <w:p w14:paraId="4093157F" w14:textId="77777777" w:rsidR="00416E13" w:rsidRDefault="00000000">
      <w:pPr>
        <w:keepLines/>
      </w:pPr>
      <w:r>
        <w:t>The first identifiable dummy windows contain only one or two D = 1 observations. In the last 20-quarter window only 2021Q1 remains dummy-on. Such sparse support can create extreme leverage and unreliable short-window uncertainty estimates. Windows are not discarded because their original screening diagnostics fail. Rolling paths are not a formal global test of coefficient equality.</w:t>
      </w:r>
    </w:p>
    <w:p w14:paraId="533F5B01" w14:textId="77777777" w:rsidR="00416E13" w:rsidRDefault="00000000">
      <w:pPr>
        <w:pStyle w:val="1"/>
        <w:pageBreakBefore/>
      </w:pPr>
      <w:r>
        <w:t>Influence Checks and Full History Refit</w:t>
      </w:r>
    </w:p>
    <w:p w14:paraId="4093157F" w14:textId="77777777" w:rsidR="00416E13" w:rsidRDefault="00000000">
      <w:pPr>
        <w:keepLines/>
      </w:pPr>
      <w:r>
        <w:t>Influence checks keep the final unemployment structure fixed. Rows are removed only as a post-selection sensitivity, with original calendar lags preserved. They do not redefine the main estimation sample. Because the remaining observations have calendar gaps, these checks report classical OLS p values rather than treating adjacent retained rows as adjacent quarters in HAC.</w:t>
      </w:r>
    </w:p>
    <w:tbl>
      <w:tblPr>
        <w:tblW w:w="0" w:type="auto"/>
        <w:jc w:val="center"/>
        <w:tblLayout w:type="fixed"/>
        <w:tblLook w:val="04A0" w:firstRow="1" w:lastRow="0" w:firstColumn="1" w:lastColumn="0" w:noHBand="0" w:noVBand="1"/>
      </w:tblPr>
      <w:tblGrid>
        <w:gridCol w:w="4103"/>
        <w:gridCol w:w="936"/>
        <w:gridCol w:w="3096"/>
        <w:gridCol w:w="1857"/>
      </w:tblGrid>
      <w:tr w:rsidR="00416E13" w14:paraId="2F5CD14D" w14:textId="77777777">
        <w:trPr>
          <w:cantSplit/>
          <w:tblHeader/>
          <w:jc w:val="center"/>
        </w:trPr>
        <w:tc>
          <w:tcPr>
            <w:tcW w:w="410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Sensitivity</w:t>
            </w:r>
          </w:p>
        </w:tc>
        <w:tc>
          <w:tcPr>
            <w:tcW w:w="9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n</w:t>
            </w:r>
          </w:p>
        </w:tc>
        <w:tc>
          <w:tcPr>
            <w:tcW w:w="309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Unemployment coefficient</w:t>
            </w:r>
          </w:p>
        </w:tc>
        <w:tc>
          <w:tcPr>
            <w:tcW w:w="185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r>
      <w:tr w:rsidR="00416E13" w14:paraId="036867E3" w14:textId="77777777">
        <w:trPr>
          <w:cantSplit/>
          <w:jc w:val="center"/>
        </w:trPr>
        <w:tc>
          <w:tcPr>
            <w:tcW w:w="410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Main training model</w:t>
            </w:r>
          </w:p>
        </w:tc>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w:t>
            </w:r>
          </w:p>
        </w:tc>
        <w:tc>
          <w:tcPr>
            <w:tcW w:w="30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1.3286</w:t>
            </w:r>
          </w:p>
        </w:tc>
        <w:tc>
          <w:tcPr>
            <w:tcW w:w="185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r>
      <w:tr w:rsidR="00416E13" w14:paraId="036867E3" w14:textId="77777777">
        <w:trPr>
          <w:cantSplit/>
          <w:jc w:val="center"/>
        </w:trPr>
        <w:tc>
          <w:tcPr>
            <w:tcW w:w="410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Remove 2020Q1–2021Q1</w:t>
            </w:r>
          </w:p>
        </w:tc>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38</w:t>
            </w:r>
          </w:p>
        </w:tc>
        <w:tc>
          <w:tcPr>
            <w:tcW w:w="30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0.7414</w:t>
            </w:r>
          </w:p>
        </w:tc>
        <w:tc>
          <w:tcPr>
            <w:tcW w:w="185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0.1825</w:t>
            </w:r>
          </w:p>
        </w:tc>
      </w:tr>
      <w:tr w:rsidR="00416E13" w14:paraId="036867E3" w14:textId="77777777">
        <w:trPr>
          <w:cantSplit/>
          <w:jc w:val="center"/>
        </w:trPr>
        <w:tc>
          <w:tcPr>
            <w:tcW w:w="410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Remove 2020Q2</w:t>
            </w:r>
          </w:p>
        </w:tc>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42</w:t>
            </w:r>
          </w:p>
        </w:tc>
        <w:tc>
          <w:tcPr>
            <w:tcW w:w="30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1.1135</w:t>
            </w:r>
          </w:p>
        </w:tc>
        <w:tc>
          <w:tcPr>
            <w:tcW w:w="185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0.0148</w:t>
            </w:r>
          </w:p>
        </w:tc>
      </w:tr>
    </w:tbl>
    <w:p w14:paraId="4093157F" w14:textId="77777777" w:rsidR="00416E13" w:rsidRDefault="00000000">
      <w:pPr>
        <w:keepLines/>
        <w:spacing w:after="40" w:line="80" w:lineRule="exact"/>
      </w:pPr>
      <w:r>
        <w:t/>
      </w:r>
    </w:p>
    <w:p w14:paraId="4093157F" w14:textId="77777777" w:rsidR="00416E13" w:rsidRDefault="00000000">
      <w:pPr>
        <w:keepLines/>
      </w:pPr>
      <w:r>
        <w:t>Removing the five dummy-on response quarters reduces the unemployment coefficient to 0.7414 and raises p to 0.1825. Its significance is therefore sensitive to those observations. This does not remove every pandemic-related lagged input: 2021Q2 still uses unemployment from 2021Q1. Removing 2020Q2 alone leaves unemployment significant, with coefficient 1.1135 and p = 0.0148.</w:t>
      </w:r>
    </w:p>
    <w:tbl>
      <w:tblPr>
        <w:tblW w:w="0" w:type="auto"/>
        <w:jc w:val="center"/>
        <w:tblLayout w:type="fixed"/>
        <w:tblLook w:val="04A0" w:firstRow="1" w:lastRow="0" w:firstColumn="1" w:lastColumn="0" w:noHBand="0" w:noVBand="1"/>
      </w:tblPr>
      <w:tblGrid>
        <w:gridCol w:w="3167"/>
        <w:gridCol w:w="2160"/>
        <w:gridCol w:w="1944"/>
        <w:gridCol w:w="2721"/>
      </w:tblGrid>
      <w:tr w:rsidR="00416E13" w14:paraId="2F5CD14D" w14:textId="77777777">
        <w:trPr>
          <w:cantSplit/>
          <w:tblHeader/>
          <w:jc w:val="center"/>
        </w:trPr>
        <w:tc>
          <w:tcPr>
            <w:tcW w:w="316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Highest influence quarters</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Cook distance</w:t>
            </w:r>
          </w:p>
        </w:tc>
        <w:tc>
          <w:tcPr>
            <w:tcW w:w="194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Leverage</w:t>
            </w:r>
          </w:p>
        </w:tc>
        <w:tc>
          <w:tcPr>
            <w:tcW w:w="272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Studentized residual</w:t>
            </w:r>
          </w:p>
        </w:tc>
      </w:tr>
      <w:tr w:rsidR="00416E13" w14:paraId="036867E3" w14:textId="77777777">
        <w:trPr>
          <w:cantSplit/>
          <w:jc w:val="center"/>
        </w:trPr>
        <w:tc>
          <w:tcPr>
            <w:tcW w:w="31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2020Q2</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0.2503</w:t>
            </w:r>
          </w:p>
        </w:tc>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0.3064</w:t>
            </w:r>
          </w:p>
        </w:tc>
        <w:tc>
          <w:tcPr>
            <w:tcW w:w="272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-1.531</w:t>
            </w:r>
          </w:p>
        </w:tc>
      </w:tr>
      <w:tr w:rsidR="00416E13" w14:paraId="036867E3" w14:textId="77777777">
        <w:trPr>
          <w:cantSplit/>
          <w:jc w:val="center"/>
        </w:trPr>
        <w:tc>
          <w:tcPr>
            <w:tcW w:w="31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2020Q3</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0.2364</w:t>
            </w:r>
          </w:p>
        </w:tc>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0.5290</w:t>
            </w:r>
          </w:p>
        </w:tc>
        <w:tc>
          <w:tcPr>
            <w:tcW w:w="272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0.916</w:t>
            </w:r>
          </w:p>
        </w:tc>
      </w:tr>
      <w:tr w:rsidR="00416E13" w14:paraId="036867E3" w14:textId="77777777">
        <w:trPr>
          <w:cantSplit/>
          <w:jc w:val="center"/>
        </w:trPr>
        <w:tc>
          <w:tcPr>
            <w:tcW w:w="31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2021Q1</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0.1961</w:t>
            </w:r>
          </w:p>
        </w:tc>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0.2235</w:t>
            </w:r>
          </w:p>
        </w:tc>
        <w:tc>
          <w:tcPr>
            <w:tcW w:w="272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1.690</w:t>
            </w:r>
          </w:p>
        </w:tc>
      </w:tr>
    </w:tbl>
    <w:p w14:paraId="4093157F" w14:textId="77777777" w:rsidR="00416E13" w:rsidRDefault="00000000">
      <w:pPr>
        <w:keepLines/>
        <w:spacing w:after="40" w:line="80" w:lineRule="exact"/>
      </w:pPr>
      <w:r>
        <w:t/>
      </w:r>
    </w:p>
    <w:p w14:paraId="7718CA2D" w14:textId="77777777" w:rsidR="00416E13" w:rsidRDefault="00000000">
      <w:pPr>
        <w:pStyle w:val="21"/>
      </w:pPr>
      <w:r>
        <w:t>Fixed Structure Refit Through 2025Q4</w:t>
      </w:r>
    </w:p>
    <w:p w14:paraId="4093157F" w14:textId="77777777" w:rsidR="00416E13" w:rsidRDefault="00000000">
      <w:pPr>
        <w:keepLines/>
      </w:pPr>
      <w:r>
        <w:t>The full-history refit uses 55 observations and the same selected terms. It is a descriptive estimate using all available outcomes, not the model that generated the reported OOT predictions. No new variables are selected in this refit.</w:t>
      </w:r>
    </w:p>
    <w:tbl>
      <w:tblPr>
        <w:tblW w:w="0" w:type="auto"/>
        <w:jc w:val="center"/>
        <w:tblLayout w:type="fixed"/>
        <w:tblLook w:val="04A0" w:firstRow="1" w:lastRow="0" w:firstColumn="1" w:lastColumn="0" w:noHBand="0" w:noVBand="1"/>
      </w:tblPr>
      <w:tblGrid>
        <w:gridCol w:w="2664"/>
        <w:gridCol w:w="1728"/>
        <w:gridCol w:w="1440"/>
        <w:gridCol w:w="1440"/>
        <w:gridCol w:w="2720"/>
      </w:tblGrid>
      <w:tr w:rsidR="00416E13" w14:paraId="2F5CD14D" w14:textId="77777777">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c>
          <w:tcPr>
            <w:tcW w:w="272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95% interval</w:t>
            </w:r>
          </w:p>
        </w:tc>
      </w:tr>
      <w:tr w:rsidR="00416E13" w14:paraId="036867E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4.057658</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0.1437</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0.1541</w:t>
            </w:r>
          </w:p>
        </w:tc>
        <w:tc>
          <w:tcPr>
            <w:tcW w:w="27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[-1.573, 9.688]</w:t>
            </w:r>
          </w:p>
        </w:tc>
      </w:tr>
      <w:tr w:rsidR="00416E13" w14:paraId="036867E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0.361785</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0.0029</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0.0009</w:t>
            </w:r>
          </w:p>
        </w:tc>
        <w:tc>
          <w:tcPr>
            <w:tcW w:w="27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[0.156, 0.567]</w:t>
            </w:r>
          </w:p>
        </w:tc>
      </w:tr>
      <w:tr w:rsidR="00416E13" w14:paraId="036867E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1.386414</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0.0007</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0.0015</w:t>
            </w:r>
          </w:p>
        </w:tc>
        <w:tc>
          <w:tcPr>
            <w:tcW w:w="27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[0.555, 2.218]</w:t>
            </w:r>
          </w:p>
        </w:tc>
      </w:tr>
      <w:tr w:rsidR="00416E13" w14:paraId="036867E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Pandemic dummy</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-4.970885</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0.0536</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0.0521</w:t>
            </w:r>
          </w:p>
        </w:tc>
        <w:tc>
          <w:tcPr>
            <w:tcW w:w="27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[-9.989, 0.047]</w:t>
            </w:r>
          </w:p>
        </w:tc>
      </w:tr>
    </w:tbl>
    <w:p w14:paraId="4093157F" w14:textId="77777777" w:rsidR="00416E13" w:rsidRDefault="00000000">
      <w:pPr>
        <w:keepLines/>
        <w:spacing w:after="40" w:line="80" w:lineRule="exact"/>
      </w:pPr>
      <w:r>
        <w:t/>
      </w:r>
    </w:p>
    <w:p w14:paraId="4093157F" w14:textId="77777777" w:rsidR="00416E13" w:rsidRDefault="00000000">
      <w:pPr>
        <w:keepLines/>
      </w:pPr>
      <w:r>
        <w:t>The full refit has adjusted R² 0.314, DW 1.970 and JB p 0.569. The pandemic dummy remains just above the 5% threshold under both OLS and HAC. It stays in the model by design.</w:t>
      </w:r>
    </w:p>
    <w:p w14:paraId="7718CA2D" w14:textId="77777777" w:rsidR="00416E13" w:rsidRDefault="00000000">
      <w:pPr>
        <w:pStyle w:val="21"/>
      </w:pPr>
      <w:r>
        <w:t>Model Limitations</w:t>
      </w:r>
    </w:p>
    <w:p w14:paraId="4093157F" w14:textId="77777777" w:rsidR="00416E13" w:rsidRDefault="00000000">
      <w:pPr>
        <w:keepLines/>
      </w:pPr>
      <w:r>
        <w:t>The sample is small, the dummy has only five active quarters, and model selection is data-dependent. No acquisition adjustment is applied, so any residual structural changes remain unmodeled. The ratio does not identify bonus-dollar behavior without its denominator. No bounds test, error-correction equation, causal design, simultaneous stability test or prospective validation is claimed. Point forecasts are not prediction intervals.</w:t>
      </w:r>
    </w:p>
    <w:p w14:paraId="533F5B01" w14:textId="77777777" w:rsidR="00416E13" w:rsidRDefault="00000000">
      <w:pPr>
        <w:pStyle w:val="1"/>
        <w:pageBreakBefore/>
      </w:pPr>
      <w:r>
        <w:t>Quarterly OOT Results</w:t>
      </w:r>
    </w:p>
    <w:p w14:paraId="4093157F" w14:textId="77777777" w:rsidR="00416E13" w:rsidRDefault="00000000">
      <w:pPr>
        <w:keepLines/>
      </w:pPr>
      <w:r>
        <w:t>The table reports all 12 held-out response quarters. Values are 100 times the bonus-to-nonbonus ratio. Error equals actual minus one-step prediction. Display rounding does not enter any metric calculation.</w:t>
      </w:r>
    </w:p>
    <w:tbl>
      <w:tblPr>
        <w:tblW w:w="0" w:type="auto"/>
        <w:jc w:val="center"/>
        <w:tblLayout w:type="fixed"/>
        <w:tblLook w:val="04A0" w:firstRow="1" w:lastRow="0" w:firstColumn="1" w:lastColumn="0" w:noHBand="0" w:noVBand="1"/>
      </w:tblPr>
      <w:tblGrid>
        <w:gridCol w:w="1512"/>
        <w:gridCol w:w="1584"/>
        <w:gridCol w:w="1728"/>
        <w:gridCol w:w="1728"/>
        <w:gridCol w:w="1728"/>
        <w:gridCol w:w="1712"/>
      </w:tblGrid>
      <w:tr w:rsidR="00416E13" w14:paraId="2F5CD14D" w14:textId="77777777">
        <w:trPr>
          <w:cantSplit/>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Quarter</w:t>
            </w:r>
          </w:p>
        </w:tc>
        <w:tc>
          <w:tcPr>
            <w:tcW w:w="158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Actual</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One step</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Recursive</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Expanding</w:t>
            </w:r>
          </w:p>
        </w:tc>
        <w:tc>
          <w:tcPr>
            <w:tcW w:w="17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Error</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2023Q1</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10.208</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15.615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15.615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15.615</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-5.407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2023Q2</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12.177</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12.999</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14.779</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12.746</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-0.822</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2023Q3</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7.335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13.647</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14.504</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13.352</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-6.313</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2023Q4</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7.960</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12.186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14.546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11.407</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-4.227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2024Q1</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10.435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12.614</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14.782</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11.544</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-2.178</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2024Q2</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15.900</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13.473</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14.903</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12.448</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2.427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2024Q3</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17.245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15.449</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15.121</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14.856</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1.796</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2024Q4</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19.996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16.157</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15.458</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15.716</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3.839</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2025Q1</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13.522</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17.018</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15.525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16.801</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-3.497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2025Q2</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23.414</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14.887</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15.546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14.341</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8.527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2025Q3</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23.326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18.232</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15.642</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18.150</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5.094</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2025Q4</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17.386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18.380</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15.851</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18.557</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-0.994</w:t>
            </w:r>
          </w:p>
        </w:tc>
      </w:tr>
    </w:tbl>
    <w:p w14:paraId="4093157F" w14:textId="77777777" w:rsidR="00416E13" w:rsidRDefault="00000000">
      <w:pPr>
        <w:keepLines/>
        <w:spacing w:after="40" w:line="80" w:lineRule="exact"/>
      </w:pPr>
      <w:r>
        <w:t/>
      </w:r>
    </w:p>
    <w:p w14:paraId="7718CA2D" w14:textId="77777777" w:rsidR="00416E13" w:rsidRDefault="00000000">
      <w:pPr>
        <w:pStyle w:val="21"/>
      </w:pPr>
      <w:r>
        <w:t>Input Series and Quarterly Handling</w:t>
      </w:r>
    </w:p>
    <w:p w14:paraId="4093157F" w14:textId="77777777" w:rsidR="00416E13" w:rsidRDefault="00000000">
      <w:pPr>
        <w:keepLines/>
      </w:pPr>
      <w:r>
        <w:t>PNFP_Monthly_Quarterly.xlsx supplies quarterly compensation and bonus. These values reconcile to the sums of the corresponding three monthly observations. The updated macro dataset contains 60 quarterly levels for each of the 22 listed series, from 2011Q1 through 2025Q4. HY is retained in the inventory but removed before any current-run transformation or model screening.</w:t>
      </w:r>
    </w:p>
    <w:p w14:paraId="4093157F" w14:textId="77777777" w:rsidR="00416E13" w:rsidRDefault="00000000">
      <w:pPr>
        <w:keepLines/>
      </w:pPr>
      <w:r>
        <w:t>Macro inputs use the supplied quarterly levels and stated units. The analysis neither mixes them with earlier macro versions nor reconstructs monthly observations. Only data through 2025Q4 are used. Growth rates are calculated from the quarterly levels; point differences preserve the original rate or index units. Calculations use the available input precision without rounding intermediate results.</w:t>
      </w:r>
    </w:p>
    <w:p w14:paraId="7718CA2D" w14:textId="77777777" w:rsidR="00416E13" w:rsidRDefault="00000000">
      <w:pPr>
        <w:pStyle w:val="21"/>
      </w:pPr>
      <w:r>
        <w:t>Verification</w:t>
      </w:r>
    </w:p>
    <w:p w14:paraId="4093157F" w14:textId="77777777" w:rsidR="00416E13" w:rsidRDefault="00000000">
      <w:pPr>
        <w:keepLines/>
      </w:pPr>
      <w:r>
        <w:t>Independent least-squares, OLS and statsmodels ARDL calculations reproduce the main coefficients to numerical precision. The macro transformations and OOT one-step forecasts were recalculated independently. All 96 rolling fits were checked against RollingOLS, and the full-history coefficients were reconciled. The dummy has exactly five active quarters; HY is absent from all current-run regressors. All 60 quarterly source rows are complete for the active candidate series.</w:t>
      </w:r>
    </w:p>
    <w:p w14:paraId="4093157F" w14:textId="77777777" w:rsidR="00416E13" w:rsidRDefault="00000000">
      <w:pPr>
        <w:keepLines/>
      </w:pPr>
      <w:r>
        <w:t>The four macro-entry gates follow the established PNFP implementation of the Cardfee screening convention. The report preserves its common sample, fixed lag orders and joint ADF/KPSS rule. It does not import the separate Commercial Card model’s OOT partial-correlation screen, overlay or error-correction structure.</w:t>
      </w:r>
    </w:p>
    <w:p w14:paraId="533F5B01" w14:textId="77777777" w:rsidR="00416E13" w:rsidRDefault="00000000">
      <w:pPr>
        <w:pStyle w:val="1"/>
        <w:pageBreakBefore/>
      </w:pPr>
      <w:r>
        <w:t>Forward Selection Audit</w:t>
      </w:r>
    </w:p>
    <w:p w14:paraId="4093157F" w14:textId="77777777" w:rsidR="00416E13" w:rsidRDefault="00000000">
      <w:pPr>
        <w:keepLines/>
      </w:pPr>
      <w:r>
        <w:t>Round 1 adds each candidate to the intercept, own lag and dummy. Round 2 adds each remaining candidate to that same base plus unemployment. The two p columns are classical OLS Student-t probabilities for the added term. This accounts for all 33 default-model trials. HY never enters these trials.</w:t>
      </w:r>
    </w:p>
    <w:tbl>
      <w:tblPr>
        <w:tblW w:w="0" w:type="auto"/>
        <w:jc w:val="center"/>
        <w:tblLayout w:type="fixed"/>
        <w:tblLook w:val="04A0" w:firstRow="1" w:lastRow="0" w:firstColumn="1" w:lastColumn="0" w:noHBand="0" w:noVBand="1"/>
      </w:tblPr>
      <w:tblGrid>
        <w:gridCol w:w="3225"/>
        <w:gridCol w:w="2016"/>
        <w:gridCol w:w="1296"/>
        <w:gridCol w:w="1368"/>
        <w:gridCol w:w="2087"/>
      </w:tblGrid>
      <w:tr w:rsidR="00416E13" w14:paraId="2F5CD14D" w14:textId="77777777">
        <w:trPr>
          <w:cantSplit/>
          <w:tblHeader/>
          <w:jc w:val="center"/>
        </w:trPr>
        <w:tc>
          <w:tcPr>
            <w:tcW w:w="322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Candidate at lag 1</w:t>
            </w:r>
          </w:p>
        </w:tc>
        <w:tc>
          <w:tcPr>
            <w:tcW w:w="201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Form</w:t>
            </w:r>
          </w:p>
        </w:tc>
        <w:tc>
          <w:tcPr>
            <w:tcW w:w="129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Round 1 p</w:t>
            </w:r>
          </w:p>
        </w:tc>
        <w:tc>
          <w:tcPr>
            <w:tcW w:w="136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Round 2 p</w:t>
            </w:r>
          </w:p>
        </w:tc>
        <w:tc>
          <w:tcPr>
            <w:tcW w:w="208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Outcome</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Not retested</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Selected in round 1</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Finance employment</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0.0272</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0.5030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Financial hourly earnings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0.0272</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0.1806</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Bank assets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0.0352</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0.4074</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VIX</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0.0745</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0.2668</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Per capita income</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0.1040</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0.2096</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Unit labor costs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0.2899</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0.4950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Nonfarm job openings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0.3896</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0.2900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Real GDP</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0.4675</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0.9508</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Consumer confidence</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0.4900</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0.8657</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Output gap</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difference</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0.5031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0.9525</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Small business optimism</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0.5758</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0.6354</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Finance wages and salaries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0.7671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0.7711</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Bank loans and leases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0.7961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0.7360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Nonfarm hourly compensation</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0.8901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0.7060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Ten year Treasury</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0.8906</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0.5785</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Finance industry value added</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0.9331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0.7951</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bl>
    <w:p w14:paraId="4093157F" w14:textId="77777777" w:rsidR="00416E13" w:rsidRDefault="00000000">
      <w:pPr>
        <w:keepLines/>
        <w:spacing w:after="40" w:line="80" w:lineRule="exact"/>
      </w:pPr>
      <w:r>
        <w:t/>
      </w:r>
    </w:p>
    <w:p w14:paraId="4093157F" w14:textId="77777777" w:rsidR="00416E13" w:rsidRDefault="00000000">
      <w:pPr>
        <w:keepLines/>
      </w:pPr>
      <w:r>
        <w:t>Every second-round trial meets the VIF, DW and JB gates but fails p &lt; 0.05; the search therefore stops after one macro. The method is greedy forward selection and does not claim to find the globally optimal subset. Failed stationarity families are absent from this table because they never become regression candidates.</w:t>
      </w:r>
    </w:p>
    <w:p w14:paraId="7718CA2D" w14:textId="77777777" w:rsidR="00416E13" w:rsidRDefault="00000000">
      <w:pPr>
        <w:pStyle w:val="21"/>
      </w:pPr>
      <w:r>
        <w:t>Failed Stationarity Families</w:t>
      </w:r>
    </w:p>
    <w:tbl>
      <w:tblPr>
        <w:tblW w:w="0" w:type="auto"/>
        <w:jc w:val="center"/>
        <w:tblLayout w:type="fixed"/>
        <w:tblLook w:val="04A0" w:firstRow="1" w:lastRow="0" w:firstColumn="1" w:lastColumn="0" w:noHBand="0" w:noVBand="1"/>
      </w:tblPr>
      <w:tblGrid>
        <w:gridCol w:w="3743"/>
        <w:gridCol w:w="3124"/>
        <w:gridCol w:w="3125"/>
      </w:tblGrid>
      <w:tr w:rsidR="00416E13" w14:paraId="2F5CD14D" w14:textId="77777777">
        <w:trPr>
          <w:cantSplit/>
          <w:tblHeader/>
          <w:jc w:val="center"/>
        </w:trPr>
        <w:tc>
          <w:tcPr>
            <w:tcW w:w="374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Family</w:t>
            </w:r>
          </w:p>
        </w:tc>
        <w:tc>
          <w:tcPr>
            <w:tcW w:w="31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First form ADF / KPSS p</w:t>
            </w:r>
          </w:p>
        </w:tc>
        <w:tc>
          <w:tcPr>
            <w:tcW w:w="312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Fallback ADF / KPSS p</w:t>
            </w:r>
          </w:p>
        </w:tc>
      </w:tr>
      <w:tr w:rsidR="00416E13" w14:paraId="036867E3" w14:textId="77777777">
        <w:trPr>
          <w:cantSplit/>
          <w:jc w:val="center"/>
        </w:trPr>
        <w:tc>
          <w:tcPr>
            <w:tcW w:w="374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Private compensation ECI</w:t>
            </w:r>
          </w:p>
        </w:tc>
        <w:tc>
          <w:tcPr>
            <w:tcW w:w="31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0.9247 / 0.0153</w:t>
            </w:r>
          </w:p>
        </w:tc>
        <w:tc>
          <w:tcPr>
            <w:tcW w:w="31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0.9970 / 0.0109</w:t>
            </w:r>
          </w:p>
        </w:tc>
      </w:tr>
      <w:tr w:rsidR="00416E13" w14:paraId="036867E3" w14:textId="77777777">
        <w:trPr>
          <w:cantSplit/>
          <w:jc w:val="center"/>
        </w:trPr>
        <w:tc>
          <w:tcPr>
            <w:tcW w:w="374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Federal funds rate</w:t>
            </w:r>
          </w:p>
        </w:tc>
        <w:tc>
          <w:tcPr>
            <w:tcW w:w="31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0.4322 / &gt;0.100</w:t>
            </w:r>
          </w:p>
        </w:tc>
        <w:tc>
          <w:tcPr>
            <w:tcW w:w="31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0.5283 / &gt;0.100</w:t>
            </w:r>
          </w:p>
        </w:tc>
      </w:tr>
      <w:tr w:rsidR="00416E13" w14:paraId="036867E3" w14:textId="77777777">
        <w:trPr>
          <w:cantSplit/>
          <w:jc w:val="center"/>
        </w:trPr>
        <w:tc>
          <w:tcPr>
            <w:tcW w:w="374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Two year Treasury</w:t>
            </w:r>
          </w:p>
        </w:tc>
        <w:tc>
          <w:tcPr>
            <w:tcW w:w="31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0.1113 / &gt;0.100</w:t>
            </w:r>
          </w:p>
        </w:tc>
        <w:tc>
          <w:tcPr>
            <w:tcW w:w="31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0.2094 / &gt;0.100</w:t>
            </w:r>
          </w:p>
        </w:tc>
      </w:tr>
      <w:tr w:rsidR="00416E13" w14:paraId="036867E3" w14:textId="77777777">
        <w:trPr>
          <w:cantSplit/>
          <w:jc w:val="center"/>
        </w:trPr>
        <w:tc>
          <w:tcPr>
            <w:tcW w:w="374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Civilian compensation ECI</w:t>
            </w:r>
          </w:p>
        </w:tc>
        <w:tc>
          <w:tcPr>
            <w:tcW w:w="31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0.8949 / 0.0137</w:t>
            </w:r>
          </w:p>
        </w:tc>
        <w:tc>
          <w:tcPr>
            <w:tcW w:w="31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0.9944 / &lt;0.010</w:t>
            </w:r>
          </w:p>
        </w:tc>
      </w:tr>
    </w:tbl>
    <w:p w14:paraId="4093157F" w14:textId="77777777" w:rsidR="00416E13" w:rsidRDefault="00000000">
      <w:pPr>
        <w:keepLines/>
        <w:spacing w:after="40" w:line="80" w:lineRule="exact"/>
      </w:pPr>
      <w:r>
        <w:t/>
      </w:r>
    </w:p>
    <w:p w14:paraId="4093157F" w14:textId="77777777" w:rsidR="00416E13" w:rsidRDefault="00000000">
      <w:pPr>
        <w:keepLines/>
      </w:pPr>
      <w:r>
        <w:t>For the two ECI indices, the first form is quarterly log growth and the fallback is YoY log growth. For federal funds and the two-year Treasury rate, they are level and quarterly point difference. KPSS values at the tabulated limits are shown as bounds, not exact probabilities.</w:t>
      </w:r>
    </w:p>
    <w:sectPr w:rsidR="00416E13" w:rsidSect="00034616">
      <w:footerReference w:type="default" r:id="rId13"/>
      <w:pgSz w:w="12240" w:h="15840"/>
      <w:pgMar w:top="936"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64E11" w14:textId="77777777" w:rsidR="00487BBD" w:rsidRDefault="00487BBD">
      <w:pPr>
        <w:spacing w:after="0" w:line="240" w:lineRule="auto"/>
      </w:pPr>
      <w:r>
        <w:separator/>
      </w:r>
    </w:p>
  </w:endnote>
  <w:endnote w:type="continuationSeparator" w:id="0">
    <w:p w14:paraId="78EFF235" w14:textId="77777777" w:rsidR="00487BBD" w:rsidRDefault="00487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789E5" w14:textId="77777777" w:rsidR="00416E13" w:rsidRDefault="00000000">
    <w:pPr>
      <w:pStyle w:val="a7"/>
      <w:jc w:val="center"/>
    </w:pPr>
    <w:r>
      <w:rPr>
        <w:sz w:val="16"/>
      </w:rPr>
      <w:fldChar w:fldCharType="begin"/>
    </w:r>
    <w:r>
      <w:rPr>
        <w:sz w:val="16"/>
      </w:rPr>
      <w:instrText xml:space="preserve"> PAGE </w:instrText>
    </w:r>
    <w:r>
      <w:rPr>
        <w:sz w:val="16"/>
      </w:rPr>
      <w:fldChar w:fldCharType="separate"/>
    </w:r>
    <w:r w:rsidR="006F578F">
      <w:rPr>
        <w:noProof/>
        <w:sz w:val="16"/>
      </w:rPr>
      <w:t>3</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990DA" w14:textId="77777777" w:rsidR="00487BBD" w:rsidRDefault="00487BBD">
      <w:pPr>
        <w:spacing w:after="0" w:line="240" w:lineRule="auto"/>
      </w:pPr>
      <w:r>
        <w:separator/>
      </w:r>
    </w:p>
  </w:footnote>
  <w:footnote w:type="continuationSeparator" w:id="0">
    <w:p w14:paraId="32D5224D" w14:textId="77777777" w:rsidR="00487BBD" w:rsidRDefault="00487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5807211">
    <w:abstractNumId w:val="8"/>
  </w:num>
  <w:num w:numId="2" w16cid:durableId="1449542861">
    <w:abstractNumId w:val="6"/>
  </w:num>
  <w:num w:numId="3" w16cid:durableId="210654294">
    <w:abstractNumId w:val="5"/>
  </w:num>
  <w:num w:numId="4" w16cid:durableId="1139029298">
    <w:abstractNumId w:val="4"/>
  </w:num>
  <w:num w:numId="5" w16cid:durableId="253586268">
    <w:abstractNumId w:val="7"/>
  </w:num>
  <w:num w:numId="6" w16cid:durableId="218830494">
    <w:abstractNumId w:val="3"/>
  </w:num>
  <w:num w:numId="7" w16cid:durableId="1418214581">
    <w:abstractNumId w:val="2"/>
  </w:num>
  <w:num w:numId="8" w16cid:durableId="24522377">
    <w:abstractNumId w:val="1"/>
  </w:num>
  <w:num w:numId="9" w16cid:durableId="2615721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FA"/>
    <w:rsid w:val="00034616"/>
    <w:rsid w:val="0006063C"/>
    <w:rsid w:val="0015074B"/>
    <w:rsid w:val="002706A0"/>
    <w:rsid w:val="0029639D"/>
    <w:rsid w:val="00326F90"/>
    <w:rsid w:val="00416E13"/>
    <w:rsid w:val="00462FDA"/>
    <w:rsid w:val="00487BBD"/>
    <w:rsid w:val="005A6CD9"/>
    <w:rsid w:val="005C6056"/>
    <w:rsid w:val="006664B7"/>
    <w:rsid w:val="006F578F"/>
    <w:rsid w:val="008D7275"/>
    <w:rsid w:val="008E474C"/>
    <w:rsid w:val="00AA1D8D"/>
    <w:rsid w:val="00B47730"/>
    <w:rsid w:val="00B5184A"/>
    <w:rsid w:val="00C055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1130B"/>
  <w14:defaultImageDpi w14:val="300"/>
  <w15:docId w15:val="{21D3C71F-2D94-514D-ABAC-F43F904045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59" w:lineRule="auto"/>
    </w:pPr>
    <w:rPr>
      <w:rFonts w:ascii="Aptos" w:hAnsi="Aptos"/>
      <w:color w:val="000000"/>
      <w:sz w:val="21"/>
    </w:rPr>
  </w:style>
  <w:style w:type="paragraph" w:styleId="1">
    <w:name w:val="heading 1"/>
    <w:basedOn w:val="a1"/>
    <w:next w:val="a1"/>
    <w:link w:val="10"/>
    <w:uiPriority w:val="9"/>
    <w:qFormat/>
    <w:rsid w:val="00FC693F"/>
    <w:pPr>
      <w:keepNext/>
      <w:keepLines/>
      <w:spacing w:before="260" w:after="12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00"/>
    </w:pPr>
    <w:rPr>
      <w:rFonts w:asciiTheme="majorHAnsi" w:eastAsiaTheme="majorEastAsia" w:hAnsiTheme="majorHAnsi" w:cstheme="majorBidi"/>
      <w: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40"/>
      <w:ind w:left="360"/>
    </w:pPr>
    <w:rPr>
      <w:rFonts w:ascii="Cambria Math" w:hAnsi="Cambria Math"/>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PNFP Bonus Ratio ARDL Model Report</dc:title>
  <dc:subject>Two-step estimation, historical fits and Baseline and S4 forecasts</dc:subject>
  <dc:creator/>
  <cp:keywords/>
  <dc:description>generated by python-docx</dc:description>
  <cp:lastModifiedBy/>
  <cp:revision>11</cp:revision>
  <dcterms:created xsi:type="dcterms:W3CDTF">2013-12-23T23:15:00Z</dcterms:created>
  <dcterms:modified xsi:type="dcterms:W3CDTF">2026-10-01T14:31:00Z</dcterms:modified>
  <cp:category/>
</cp:coreProperties>
</file>