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rFonts w:ascii="Microsoft YaHei" w:hAnsi="Microsoft YaHei" w:eastAsia="Microsoft YaHei"/>
          <w:b/>
          <w:sz w:val="36"/>
        </w:rPr>
        <w:t>服务治理改造方案</w:t>
      </w:r>
    </w:p>
    <w:p>
      <w:r>
        <w:rPr>
          <w:rFonts w:ascii="Microsoft YaHei" w:hAnsi="Microsoft YaHei" w:eastAsia="Microsoft YaHei"/>
        </w:rPr>
        <w:t>文档编号：TECH-GOV-2026-04    部门：平台研发部    版本：V0.9</w:t>
      </w:r>
    </w:p>
    <w:p>
      <w:r>
        <w:rPr>
          <w:rFonts w:ascii="Microsoft YaHei" w:hAnsi="Microsoft YaHei" w:eastAsia="Microsoft YaHei"/>
        </w:rPr>
        <w:t>编写人：陈越    日期：2026-07-08    适用范围：订单、支付、会员三条核心链路</w:t>
      </w:r>
    </w:p>
    <w:p>
      <w:pPr>
        <w:pStyle w:val="Heading1"/>
      </w:pPr>
      <w:r>
        <w:t>背景与目标</w:t>
      </w:r>
    </w:p>
    <w:p>
      <w:r>
        <w:rPr>
          <w:rFonts w:ascii="Microsoft YaHei" w:hAnsi="Microsoft YaHei" w:eastAsia="Microsoft YaHei"/>
        </w:rPr>
        <w:t>过去两个版本中，订单链路出现 3 次依赖超时导致的级联降级，影响客服工单量和用户支付体验。</w:t>
      </w:r>
    </w:p>
    <w:p>
      <w:r>
        <w:rPr>
          <w:rFonts w:ascii="Microsoft YaHei" w:hAnsi="Microsoft YaHei" w:eastAsia="Microsoft YaHei"/>
        </w:rPr>
        <w:t>本方案目标是在不改变业务接口契约的前提下，补齐熔断、限流、灰度和回滚能力。</w:t>
      </w:r>
    </w:p>
    <w:p>
      <w:commentRangeStart w:id="0"/>
      <w:r>
        <w:rPr>
          <w:rFonts w:ascii="Microsoft YaHei" w:hAnsi="Microsoft YaHei" w:eastAsia="Microsoft YaHei"/>
        </w:rPr>
        <w:t>熔断策略描述为按接口统一阈值，未区分核心链路与非核心链路。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>发布策略</w:t>
      </w:r>
    </w:p>
    <w:p>
      <w:commentRangeStart w:id="1"/>
      <w:r>
        <w:rPr>
          <w:rFonts w:ascii="Microsoft YaHei" w:hAnsi="Microsoft YaHei" w:eastAsia="Microsoft YaHei"/>
        </w:rPr>
        <w:t>灰度发布步骤缺少回滚责任人。</w:t>
      </w:r>
      <w:commentRangeEnd w:id="1"/>
      <w:r>
        <w:rPr>
          <w:rStyle w:val="CommentReference"/>
        </w:rPr>
        <w:commentReference w:id="1"/>
      </w:r>
    </w:p>
    <w:p>
      <w:commentRangeStart w:id="2"/>
      <w:r>
        <w:rPr>
          <w:rFonts w:ascii="Microsoft YaHei" w:hAnsi="Microsoft YaHei" w:eastAsia="Microsoft YaHei"/>
        </w:rPr>
        <w:t>日志字段中 traceId 使用了 trace_id 和 TraceID 两种写法。</w:t>
      </w:r>
      <w:commentRangeEnd w:id="2"/>
      <w:r>
        <w:rPr>
          <w:rStyle w:val="CommentReference"/>
        </w:rPr>
        <w:commentReference w:id="2"/>
      </w:r>
    </w:p>
    <w:p>
      <w:pPr>
        <w:pStyle w:val="Heading2"/>
      </w:pPr>
      <w:r>
        <w:t>改造范围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当前问题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改造动作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优先级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订单服务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依赖超时后恢复慢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增加熔断和快速失败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支付网关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灰度状态不可视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增加灰度批次面板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会员服务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日志字段不统一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统一链路追踪字段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P1</w:t>
            </w:r>
          </w:p>
        </w:tc>
      </w:tr>
    </w:tbl>
    <w:p>
      <w:pPr>
        <w:pStyle w:val="Heading2"/>
      </w:pPr>
      <w:r>
        <w:t>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交付物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时间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方案评审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技术方案和风险清单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2026-07-18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联调验证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压测报告和回滚演练记录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2026-08-08</w:t>
            </w:r>
          </w:p>
        </w:tc>
      </w:tr>
    </w:tbl>
    <w:p>
      <w:pPr>
        <w:pStyle w:val="Heading1"/>
      </w:pPr>
      <w:r>
        <w:t>验收标准</w:t>
      </w:r>
    </w:p>
    <w:p>
      <w:pPr>
        <w:pStyle w:val="ListBullet"/>
      </w:pPr>
      <w:r>
        <w:rPr>
          <w:rFonts w:ascii="Microsoft YaHei" w:hAnsi="Microsoft YaHei" w:eastAsia="Microsoft YaHei"/>
        </w:rPr>
        <w:t>核心链路 P95 响应时间不高于 300ms。</w:t>
      </w:r>
    </w:p>
    <w:p>
      <w:pPr>
        <w:pStyle w:val="ListBullet"/>
      </w:pPr>
      <w:r>
        <w:rPr>
          <w:rFonts w:ascii="Microsoft YaHei" w:hAnsi="Microsoft YaHei" w:eastAsia="Microsoft YaHei"/>
        </w:rPr>
        <w:t>灰度失败时 5 分钟内完成流量回切。</w:t>
      </w:r>
    </w:p>
    <w:p>
      <w:pPr>
        <w:pStyle w:val="Heading1"/>
      </w:pPr>
      <w:r>
        <w:t>审批与归档</w:t>
      </w:r>
    </w:p>
    <w:p>
      <w:r>
        <w:rPr>
          <w:rFonts w:ascii="Microsoft YaHei" w:hAnsi="Microsoft YaHei" w:eastAsia="Microsoft YaHei"/>
        </w:rPr>
        <w:t>本文件经业务负责人、执行负责人和质量负责人确认后生效。批注关闭前不得作为正式版本归档。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李四" w:date="2026-07-15T09:30:00Z" w:initials="李">
    <w:p>
      <w:r>
        <w:t>TODO：请在本段后新增“核心链路/非核心链路”两类熔断阈值说明，至少写明超时阈值、失败率阈值和恢复时间，TO：李四，END_DATE：20261115</w:t>
      </w:r>
    </w:p>
  </w:comment>
  <w:comment w:id="1" w:author="王五" w:date="2026-07-15T09:37:00Z" w:initials="王">
    <w:p>
      <w:r>
        <w:t>请补充灰度失败后的处理步骤: 先由发布负责人发起回滚，再由技术负责人审批，最后在项目群通知结果</w:t>
      </w:r>
    </w:p>
  </w:comment>
  <w:comment w:id="2" w:author="赵六" w:date="2026-07-15T09:44:00Z" w:initials="赵">
    <w:p>
      <w:r>
        <w:t>todo: 请把本文所有链路追踪字段统一改成“trace_id”，包括正文和表格，to:王五,end_date:20261030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