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客户成功月报</w:t>
      </w:r>
    </w:p>
    <w:p>
      <w:r>
        <w:rPr>
          <w:rFonts w:ascii="Microsoft YaHei" w:hAnsi="Microsoft YaHei" w:eastAsia="Microsoft YaHei"/>
        </w:rPr>
        <w:t>文档编号：CS-2026-07-M01    部门：客户成功部    版本：V1.2</w:t>
      </w:r>
    </w:p>
    <w:p>
      <w:r>
        <w:rPr>
          <w:rFonts w:ascii="Microsoft YaHei" w:hAnsi="Microsoft YaHei" w:eastAsia="Microsoft YaHei"/>
        </w:rPr>
        <w:t>编写人：刘琳    日期：2026-07-10    适用范围：KA 客户续费与风险运营</w:t>
      </w:r>
    </w:p>
    <w:p>
      <w:pPr>
        <w:pStyle w:val="Heading1"/>
      </w:pPr>
      <w:r>
        <w:t>经营摘要</w:t>
      </w:r>
    </w:p>
    <w:p>
      <w:r>
        <w:rPr>
          <w:rFonts w:ascii="Microsoft YaHei" w:hAnsi="Microsoft YaHei" w:eastAsia="Microsoft YaHei"/>
        </w:rPr>
        <w:t>本月客户成功团队共跟进 86 家重点客户，完成 21 场季度业务回顾会议，识别续费风险 13 项。</w:t>
      </w:r>
    </w:p>
    <w:p>
      <w:commentRangeStart w:id="0"/>
      <w:r>
        <w:rPr>
          <w:rFonts w:ascii="Microsoft YaHei" w:hAnsi="Microsoft YaHei" w:eastAsia="Microsoft YaHei"/>
        </w:rPr>
        <w:t>核心客户续费率目标写为 92%，需要与季度经营口径保持一致。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社区共建部分提到 4 名开源开发人员参与接口样例维护，后续将沉淀到伙伴共创专题。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风险说明</w:t>
      </w:r>
    </w:p>
    <w:p>
      <w:commentRangeStart w:id="2"/>
      <w:r>
        <w:rPr>
          <w:rFonts w:ascii="Microsoft YaHei" w:hAnsi="Microsoft YaHei" w:eastAsia="Microsoft YaHei"/>
        </w:rPr>
        <w:t>客户分层规则仅包含 A、B 两类，暂未覆盖长尾客户。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华东区两家客户反馈培训材料过于偏技术，建议增加运营视角的使用案例。</w:t>
      </w:r>
    </w:p>
    <w:p>
      <w:pPr>
        <w:pStyle w:val="Heading2"/>
      </w:pPr>
      <w:r>
        <w:t>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本月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上月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续费金额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438 万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391 万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含已签约和待回款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高风险客户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13 家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9 家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主要集中在制造行业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QBR 完成率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78%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72%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仍有 6 家待约时间</w:t>
            </w:r>
          </w:p>
        </w:tc>
      </w:tr>
    </w:tbl>
    <w:p>
      <w:pPr>
        <w:pStyle w:val="Heading2"/>
      </w:pPr>
      <w:r>
        <w:t>下月行动计划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行动项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负责人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计划完成日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完成 A 类客户续费方案复核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张三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2026-08-05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补齐长尾客户运营策略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客户运营组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2026-08-12</w:t>
            </w:r>
          </w:p>
        </w:tc>
      </w:tr>
    </w:tbl>
    <w:p>
      <w:pPr>
        <w:pStyle w:val="Heading1"/>
      </w:pPr>
      <w:r>
        <w:t>补充说明</w:t>
      </w:r>
    </w:p>
    <w:p>
      <w:pPr>
        <w:pStyle w:val="ListBullet"/>
      </w:pPr>
      <w:r>
        <w:rPr>
          <w:rFonts w:ascii="Microsoft YaHei" w:hAnsi="Microsoft YaHei" w:eastAsia="Microsoft YaHei"/>
        </w:rPr>
        <w:t>续费预测口径以财务确认收入为准。</w:t>
      </w:r>
    </w:p>
    <w:p>
      <w:pPr>
        <w:pStyle w:val="ListBullet"/>
      </w:pPr>
      <w:r>
        <w:rPr>
          <w:rFonts w:ascii="Microsoft YaHei" w:hAnsi="Microsoft YaHei" w:eastAsia="Microsoft YaHei"/>
        </w:rPr>
        <w:t>风险客户需在 CRM 中同步更新跟进记录。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张三" w:date="2026-07-14T09:30:00Z" w:initials="张">
    <w:p>
      <w:r>
        <w:t>todo: 请把本句中的“续费率目标 92%”改为“续费率目标 95%”，并在关键指标表的说明列补充“口径为财务确认收入”，to: 张三,end_date: 20261231</w:t>
      </w:r>
    </w:p>
  </w:comment>
  <w:comment w:id="1" w:author="李四" w:date="2026-07-14T09:37:00Z" w:initials="李">
    <w:p>
      <w:r>
        <w:t>todo: 请把本句中的“开源开发人员”改为“开源软件开发人员”；只修改角色名称，不修改人数 4 名，to: 张三,end_date: 20261231</w:t>
      </w:r>
    </w:p>
  </w:comment>
  <w:comment w:id="2" w:author="王五" w:date="2026-07-14T09:44:00Z" w:initials="王">
    <w:p>
      <w:r>
        <w:t>请在本句后新增一句: “客户分层调整为 A、B、C 三类，其中 C 类为长尾客户，由客户运营组每月批量触达。”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