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三、合并单元格测试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季度</w:t>
            </w:r>
          </w:p>
        </w:tc>
        <w:tc>
          <w:tcPr>
            <w:tcW w:type="dxa" w:w="2880"/>
          </w:tcPr>
          <w:p>
            <w:r>
              <w:t>收入</w:t>
            </w:r>
          </w:p>
        </w:tc>
        <w:tc>
          <w:tcPr>
            <w:tcW w:type="dxa" w:w="2880"/>
          </w:tcPr>
          <w:p>
            <w:r>
              <w:t>成本</w:t>
            </w:r>
          </w:p>
        </w:tc>
      </w:tr>
      <w:tr>
        <w:tc>
          <w:tcPr>
            <w:tcW w:type="dxa" w:w="2880"/>
          </w:tcPr>
          <w:p>
            <w:r>
              <w:t>第一季度</w:t>
            </w:r>
          </w:p>
        </w:tc>
        <w:tc>
          <w:tcPr>
            <w:tcW w:type="dxa" w:w="5760"/>
            <w:gridSpan w:val="2"/>
          </w:tcPr>
          <w:p>
            <w:r>
              <w:t>1,234,567 / 987,654</w:t>
            </w:r>
          </w:p>
        </w:tc>
      </w:tr>
      <w:tr>
        <w:tc>
          <w:tcPr>
            <w:tcW w:type="dxa" w:w="2880"/>
            <w:vMerge w:val="restart"/>
          </w:tcPr>
          <w:p>
            <w:r>
              <w:t>上半年</w:t>
            </w:r>
          </w:p>
        </w:tc>
        <w:tc>
          <w:tcPr>
            <w:tcW w:type="dxa" w:w="2880"/>
          </w:tcPr>
          <w:p>
            <w:r>
              <w:t>2,000,000</w:t>
            </w:r>
          </w:p>
        </w:tc>
        <w:tc>
          <w:tcPr>
            <w:tcW w:type="dxa" w:w="2880"/>
          </w:tcPr>
          <w:p>
            <w:r>
              <w:t>1,500,000</w:t>
            </w:r>
          </w:p>
        </w:tc>
      </w:tr>
      <w:tr>
        <w:tc>
          <w:tcPr>
            <w:tcW w:type="dxa" w:w="2880"/>
            <w:vMerge/>
          </w:tcPr>
          <w:p/>
        </w:tc>
        <w:tc>
          <w:tcPr>
            <w:tcW w:type="dxa" w:w="2880"/>
          </w:tcPr>
          <w:p>
            <w:r>
              <w:t>3,000,000</w:t>
            </w:r>
          </w:p>
        </w:tc>
        <w:tc>
          <w:tcPr>
            <w:tcW w:type="dxa" w:w="2880"/>
          </w:tcPr>
          <w:p>
            <w:r>
              <w:t>2,400,000</w:t>
            </w:r>
          </w:p>
        </w:tc>
      </w:tr>
    </w:tbl>
    <w:p>
      <w:r>
        <w:t>合并单元格的降级形态必须诚实：要么保持 4×3 网格且内容不丢，要么降级为 HTML 表格并带 W1045 告警。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2024-10-13T00:00:00Z</dcterms:created>
  <dcterms:modified xsi:type="dcterms:W3CDTF">2024-10-13T00:00:00Z</dcterms:modified>
  <cp:category/>
</cp:coreProperties>
</file>