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 w:eastAsia="微软雅黑"/>
          <w:b/>
          <w:color w:val="1A1A2E"/>
          <w:sz w:val="72"/>
        </w:rPr>
        <w:t>Welogx 平台</w:t>
      </w:r>
    </w:p>
    <w:p>
      <w:pPr>
        <w:jc w:val="center"/>
      </w:pPr>
      <w:r>
        <w:rPr>
          <w:rFonts w:ascii="Arial" w:hAnsi="Arial" w:eastAsia="微软雅黑"/>
          <w:color w:val="444466"/>
          <w:sz w:val="44"/>
        </w:rPr>
        <w:t>技术资产与商业价值评估报告</w:t>
      </w:r>
    </w:p>
    <w:p/>
    <w:p>
      <w:pPr>
        <w:jc w:val="center"/>
      </w:pPr>
      <w:r>
        <w:rPr>
          <w:rFonts w:ascii="Arial" w:hAnsi="Arial" w:eastAsia="微软雅黑"/>
          <w:color w:val="666666"/>
          <w:sz w:val="24"/>
        </w:rPr>
        <w:t>评估日期：2026年04月03日</w:t>
        <w:br/>
      </w:r>
      <w:r>
        <w:rPr>
          <w:rFonts w:ascii="Arial" w:hAnsi="Arial" w:eastAsia="微软雅黑"/>
          <w:color w:val="666666"/>
          <w:sz w:val="24"/>
        </w:rPr>
        <w:t>评估主体：WELOGX TECHNOLOGY INC</w:t>
        <w:br/>
      </w:r>
      <w:r>
        <w:rPr>
          <w:rFonts w:ascii="Arial" w:hAnsi="Arial" w:eastAsia="微软雅黑"/>
          <w:color w:val="666666"/>
          <w:sz w:val="24"/>
        </w:rPr>
        <w:t>网站地址：https://welogx.com</w:t>
        <w:br/>
      </w:r>
      <w:r>
        <w:rPr>
          <w:rFonts w:ascii="Arial" w:hAnsi="Arial" w:eastAsia="微软雅黑"/>
          <w:b/>
          <w:color w:val="CC3333"/>
          <w:sz w:val="24"/>
        </w:rPr>
        <w:t>文件密级：机密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目录</w:t>
      </w:r>
    </w:p>
    <w:p>
      <w:pPr>
        <w:spacing w:after="80"/>
      </w:pPr>
      <w:r>
        <w:rPr>
          <w:rFonts w:ascii="Arial" w:hAnsi="Arial" w:eastAsia="微软雅黑"/>
          <w:b w:val="0"/>
        </w:rPr>
        <w:t>一、项目概述</w:t>
      </w:r>
    </w:p>
    <w:p>
      <w:pPr>
        <w:spacing w:after="80"/>
      </w:pPr>
      <w:r>
        <w:rPr>
          <w:rFonts w:ascii="Arial" w:hAnsi="Arial" w:eastAsia="微软雅黑"/>
          <w:b w:val="0"/>
        </w:rPr>
        <w:t>二、平台代码资产统计</w:t>
      </w:r>
    </w:p>
    <w:p>
      <w:pPr>
        <w:spacing w:after="80"/>
      </w:pPr>
      <w:r>
        <w:rPr>
          <w:rFonts w:ascii="Arial" w:hAnsi="Arial" w:eastAsia="微软雅黑"/>
          <w:b w:val="0"/>
        </w:rPr>
        <w:t>三、功能模块清单与价值分级</w:t>
      </w:r>
    </w:p>
    <w:p>
      <w:pPr>
        <w:spacing w:after="80"/>
      </w:pPr>
      <w:r>
        <w:rPr>
          <w:rFonts w:ascii="Arial" w:hAnsi="Arial" w:eastAsia="微软雅黑"/>
          <w:b w:val="0"/>
        </w:rPr>
        <w:t>四、技术架构分析</w:t>
      </w:r>
    </w:p>
    <w:p>
      <w:pPr>
        <w:spacing w:after="80"/>
      </w:pPr>
      <w:r>
        <w:rPr>
          <w:rFonts w:ascii="Arial" w:hAnsi="Arial" w:eastAsia="微软雅黑"/>
          <w:b w:val="0"/>
        </w:rPr>
        <w:t>五、承运商API集成（核心壁垒）</w:t>
      </w:r>
    </w:p>
    <w:p>
      <w:pPr>
        <w:spacing w:after="80"/>
      </w:pPr>
      <w:r>
        <w:rPr>
          <w:rFonts w:ascii="Arial" w:hAnsi="Arial" w:eastAsia="微软雅黑"/>
          <w:b w:val="0"/>
        </w:rPr>
        <w:t>六、开发成本估算（重置成本法）</w:t>
      </w:r>
    </w:p>
    <w:p>
      <w:pPr>
        <w:spacing w:after="80"/>
      </w:pPr>
      <w:r>
        <w:rPr>
          <w:rFonts w:ascii="Arial" w:hAnsi="Arial" w:eastAsia="微软雅黑"/>
          <w:b w:val="0"/>
        </w:rPr>
        <w:t>七、商业价值估算（营收倍数法）</w:t>
      </w:r>
    </w:p>
    <w:p>
      <w:pPr>
        <w:spacing w:after="80"/>
      </w:pPr>
      <w:r>
        <w:rPr>
          <w:rFonts w:ascii="Arial" w:hAnsi="Arial" w:eastAsia="微软雅黑"/>
          <w:b w:val="0"/>
        </w:rPr>
        <w:t>八、竞争优势与风险分析</w:t>
      </w:r>
    </w:p>
    <w:p>
      <w:pPr>
        <w:spacing w:after="80"/>
      </w:pPr>
      <w:r>
        <w:rPr>
          <w:rFonts w:ascii="Arial" w:hAnsi="Arial" w:eastAsia="微软雅黑"/>
          <w:b w:val="0"/>
        </w:rPr>
        <w:t>九、综合估值结论</w:t>
      </w:r>
    </w:p>
    <w:p>
      <w:pPr>
        <w:spacing w:after="80"/>
      </w:pPr>
      <w:r>
        <w:rPr>
          <w:rFonts w:ascii="Arial" w:hAnsi="Arial" w:eastAsia="微软雅黑"/>
          <w:b w:val="0"/>
        </w:rPr>
        <w:t>十、估值提升建议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一、项目概述</w:t>
      </w:r>
    </w:p>
    <w:p>
      <w:pPr>
        <w:spacing w:after="120"/>
      </w:pPr>
      <w:r>
        <w:rPr>
          <w:rFonts w:ascii="Arial" w:hAnsi="Arial" w:eastAsia="微软雅黑"/>
          <w:b w:val="0"/>
        </w:rPr>
        <w:t>Welogx（https://welogx.com）是由美国 WELOGX TECHNOLOGY INC 自主研发的一站式数字化物流服务平台。平台以 AI 驱动的多承运商实时报价引擎为核心，整合了订单管理、单据生成、货物追踪、支付结算等完整的物流业务闭环，同时拓展了物流设备租售、行业招聘、社区论坛、FBA仓库预约交换等增值服务板块。</w:t>
      </w:r>
    </w:p>
    <w:p>
      <w:pPr>
        <w:spacing w:after="120"/>
      </w:pPr>
      <w:r>
        <w:rPr>
          <w:rFonts w:ascii="Arial" w:hAnsi="Arial" w:eastAsia="微软雅黑"/>
          <w:b w:val="0"/>
        </w:rPr>
        <w:t>平台定位于北美华人物流市场，提供中英文双语服务，面向货主（Shipper）、货运经纪人（Broker）、承运商（Carrier）及物流从业者等多元用户群体，是该垂直细分领域内功能最为完善的综合平台之一。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48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公司名称</w:t>
            </w:r>
          </w:p>
        </w:tc>
        <w:tc>
          <w:tcPr>
            <w:tcW w:type="dxa" w:w="6480"/>
          </w:tcPr>
          <w:p>
            <w:r>
              <w:rPr>
                <w:rFonts w:ascii="Arial" w:hAnsi="Arial" w:eastAsia="微软雅黑"/>
                <w:sz w:val="20"/>
              </w:rPr>
              <w:t>WELOGX TECHNOLOGY INC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注册地</w:t>
            </w:r>
          </w:p>
        </w:tc>
        <w:tc>
          <w:tcPr>
            <w:tcW w:type="dxa" w:w="64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New York, United States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公司地址</w:t>
            </w:r>
          </w:p>
        </w:tc>
        <w:tc>
          <w:tcPr>
            <w:tcW w:type="dxa" w:w="6480"/>
          </w:tcPr>
          <w:p>
            <w:r>
              <w:rPr>
                <w:rFonts w:ascii="Arial" w:hAnsi="Arial" w:eastAsia="微软雅黑"/>
                <w:sz w:val="20"/>
              </w:rPr>
              <w:t>55 Kennedy Dr, Hauppauge, NY 11788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网站地址</w:t>
            </w:r>
          </w:p>
        </w:tc>
        <w:tc>
          <w:tcPr>
            <w:tcW w:type="dxa" w:w="64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https://welogx.com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技术栈</w:t>
            </w:r>
          </w:p>
        </w:tc>
        <w:tc>
          <w:tcPr>
            <w:tcW w:type="dxa" w:w="6480"/>
          </w:tcPr>
          <w:p>
            <w:r>
              <w:rPr>
                <w:rFonts w:ascii="Arial" w:hAnsi="Arial" w:eastAsia="微软雅黑"/>
                <w:sz w:val="20"/>
              </w:rPr>
              <w:t>React.js + Node.js/Express + PostgreSQL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云基础设施</w:t>
            </w:r>
          </w:p>
        </w:tc>
        <w:tc>
          <w:tcPr>
            <w:tcW w:type="dxa" w:w="64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AWS (ECS + RDS + S3 + Cognito + CloudFormation)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目标市场</w:t>
            </w:r>
          </w:p>
        </w:tc>
        <w:tc>
          <w:tcPr>
            <w:tcW w:type="dxa" w:w="6480"/>
          </w:tcPr>
          <w:p>
            <w:r>
              <w:rPr>
                <w:rFonts w:ascii="Arial" w:hAnsi="Arial" w:eastAsia="微软雅黑"/>
                <w:sz w:val="20"/>
              </w:rPr>
              <w:t>北美华人物流行业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语言支持</w:t>
            </w:r>
          </w:p>
        </w:tc>
        <w:tc>
          <w:tcPr>
            <w:tcW w:type="dxa" w:w="64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中文 / English 双语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A1A2E"/>
        </w:rPr>
        <w:t>二、平台代码资产统计</w:t>
      </w:r>
    </w:p>
    <w:p>
      <w:pPr>
        <w:spacing w:after="120"/>
      </w:pPr>
      <w:r>
        <w:rPr>
          <w:rFonts w:ascii="Arial" w:hAnsi="Arial" w:eastAsia="微软雅黑"/>
          <w:b w:val="0"/>
        </w:rPr>
        <w:t>以下为截至评估日期的平台代码资产统计：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前端代码总量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~323,000 行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sz w:val="20"/>
              </w:rPr>
              <w:t>含 JS/JSX/CSS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后端代码总量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~20,500 行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Node.js/Express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前端 JS/JSX 文件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103 个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sz w:val="20"/>
              </w:rPr>
              <w:t>页面组件+公共组件+工具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前端 CSS 文件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59 个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样式文件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后端 JS 文件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78 个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sz w:val="20"/>
              </w:rPr>
              <w:t>路由+模型+中间件+工具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独立页面组件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46 个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各功能模块页面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可复用前端组件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~40 个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sz w:val="20"/>
              </w:rPr>
              <w:t>通用 UI 组件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后端 API 路由模块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37 个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RESTful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数据库模型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20 个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sz w:val="20"/>
              </w:rPr>
              <w:t>PostgreSQL 表对应模型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承运商 API 集成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11 个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核心竞争壁垒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A1A2E"/>
        </w:rPr>
        <w:t>三、功能模块清单与价值分级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S 级 — 核心高价值模块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752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价值评级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sz w:val="20"/>
              </w:rPr>
              <w:t>多承运商实时报价引擎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微软雅黑"/>
                <w:sz w:val="20"/>
              </w:rPr>
              <w:t>对接 11 家承运商 API，支持 LTL/FTL 实时比价、自动获取费率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sz w:val="20"/>
              </w:rPr>
              <w:t>★★★★★</w:t>
            </w:r>
          </w:p>
        </w:tc>
      </w:tr>
      <w:tr>
        <w:tc>
          <w:tcPr>
            <w:tcW w:type="dxa" w:w="3168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员工/Broker 订单管理</w:t>
            </w:r>
          </w:p>
        </w:tc>
        <w:tc>
          <w:tcPr>
            <w:tcW w:type="dxa" w:w="4752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完整订单生命周期：报价→确认→调度→跟踪→POD→付款→结算</w:t>
            </w:r>
          </w:p>
        </w:tc>
        <w:tc>
          <w:tcPr>
            <w:tcW w:type="dxa" w:w="144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★★★★★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sz w:val="20"/>
              </w:rPr>
              <w:t>物流单据自动生成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微软雅黑"/>
                <w:sz w:val="20"/>
              </w:rPr>
              <w:t>BOL 提单、Rate Confirmation、Invoice 发票、Quotation 报价单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sz w:val="20"/>
              </w:rPr>
              <w:t>★★★★★</w:t>
            </w:r>
          </w:p>
        </w:tc>
      </w:tr>
      <w:tr>
        <w:tc>
          <w:tcPr>
            <w:tcW w:type="dxa" w:w="3168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DAT Load Board 集成</w:t>
            </w:r>
          </w:p>
        </w:tc>
        <w:tc>
          <w:tcPr>
            <w:tcW w:type="dxa" w:w="4752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对接北美最大货运信息平台，发布/搜索货源和车源</w:t>
            </w:r>
          </w:p>
        </w:tc>
        <w:tc>
          <w:tcPr>
            <w:tcW w:type="dxa" w:w="144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★★★★☆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sz w:val="20"/>
              </w:rPr>
              <w:t>QuickBooks 财务集成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微软雅黑"/>
                <w:sz w:val="20"/>
              </w:rPr>
              <w:t>订单数据与 QuickBooks Online 自动同步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sz w:val="20"/>
              </w:rPr>
              <w:t>★★★★☆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color w:val="1A1A2E"/>
        </w:rPr>
        <w:t>A 级 — 重要增值模块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752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价值评级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sz w:val="20"/>
              </w:rPr>
              <w:t>用户认证与权限系统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微软雅黑"/>
                <w:sz w:val="20"/>
              </w:rPr>
              <w:t>AWS Cognito 认证，员工/客户/管理员多角色权限控制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sz w:val="20"/>
              </w:rPr>
              <w:t>★★★★☆</w:t>
            </w:r>
          </w:p>
        </w:tc>
      </w:tr>
      <w:tr>
        <w:tc>
          <w:tcPr>
            <w:tcW w:type="dxa" w:w="3168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客户/供应商管理(CRM)</w:t>
            </w:r>
          </w:p>
        </w:tc>
        <w:tc>
          <w:tcPr>
            <w:tcW w:type="dxa" w:w="4752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客户资料、供应商信息、联系人管理</w:t>
            </w:r>
          </w:p>
        </w:tc>
        <w:tc>
          <w:tcPr>
            <w:tcW w:type="dxa" w:w="144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sz w:val="20"/>
              </w:rPr>
              <w:t>支付管理系统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微软雅黑"/>
                <w:sz w:val="20"/>
              </w:rPr>
              <w:t>应收账款跟踪、付款记录、对账功能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</w:tr>
      <w:tr>
        <w:tc>
          <w:tcPr>
            <w:tcW w:type="dxa" w:w="3168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FBA 仓库预约交换</w:t>
            </w:r>
          </w:p>
        </w:tc>
        <w:tc>
          <w:tcPr>
            <w:tcW w:type="dxa" w:w="4752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Amazon FBA 仓库信息、预约时段交换平台</w:t>
            </w:r>
          </w:p>
        </w:tc>
        <w:tc>
          <w:tcPr>
            <w:tcW w:type="dxa" w:w="144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sz w:val="20"/>
              </w:rPr>
              <w:t>AI 报价审核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微软雅黑"/>
                <w:sz w:val="20"/>
              </w:rPr>
              <w:t>AI 辅助报价分析与审核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color w:val="1A1A2E"/>
        </w:rPr>
        <w:t>B 级 — 生态扩展模块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752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144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价值评级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sz w:val="20"/>
              </w:rPr>
              <w:t>物流设备租售市场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微软雅黑"/>
                <w:sz w:val="20"/>
              </w:rPr>
              <w:t>叉车、卡车、仓库设备等租赁和出售信息发布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</w:tr>
      <w:tr>
        <w:tc>
          <w:tcPr>
            <w:tcW w:type="dxa" w:w="3168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物流招聘求职平台</w:t>
            </w:r>
          </w:p>
        </w:tc>
        <w:tc>
          <w:tcPr>
            <w:tcW w:type="dxa" w:w="4752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司机、仓管、报关员等物流行业岗位与简历</w:t>
            </w:r>
          </w:p>
        </w:tc>
        <w:tc>
          <w:tcPr>
            <w:tcW w:type="dxa" w:w="144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★★★☆☆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sz w:val="20"/>
              </w:rPr>
              <w:t>社区论坛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微软雅黑"/>
                <w:sz w:val="20"/>
              </w:rPr>
              <w:t>物流行业资讯交流、经验分享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sz w:val="20"/>
              </w:rPr>
              <w:t>★★☆☆☆</w:t>
            </w:r>
          </w:p>
        </w:tc>
      </w:tr>
      <w:tr>
        <w:tc>
          <w:tcPr>
            <w:tcW w:type="dxa" w:w="3168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运费计算器/单位换算</w:t>
            </w:r>
          </w:p>
        </w:tc>
        <w:tc>
          <w:tcPr>
            <w:tcW w:type="dxa" w:w="4752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CBM、磅/公斤、英寸/厘米等物流常用换算工具</w:t>
            </w:r>
          </w:p>
        </w:tc>
        <w:tc>
          <w:tcPr>
            <w:tcW w:type="dxa" w:w="144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★★☆☆☆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 w:eastAsia="微软雅黑"/>
                <w:sz w:val="20"/>
              </w:rPr>
              <w:t>黄页企业目录</w:t>
            </w:r>
          </w:p>
        </w:tc>
        <w:tc>
          <w:tcPr>
            <w:tcW w:type="dxa" w:w="4752"/>
          </w:tcPr>
          <w:p>
            <w:r>
              <w:rPr>
                <w:rFonts w:ascii="Arial" w:hAnsi="Arial" w:eastAsia="微软雅黑"/>
                <w:sz w:val="20"/>
              </w:rPr>
              <w:t>物流企业分类目录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微软雅黑"/>
                <w:sz w:val="20"/>
              </w:rPr>
              <w:t>★★☆☆☆</w:t>
            </w:r>
          </w:p>
        </w:tc>
      </w:tr>
      <w:tr>
        <w:tc>
          <w:tcPr>
            <w:tcW w:type="dxa" w:w="3168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Google Maps 地图集成</w:t>
            </w:r>
          </w:p>
        </w:tc>
        <w:tc>
          <w:tcPr>
            <w:tcW w:type="dxa" w:w="4752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地址自动补全、路线可视化</w:t>
            </w:r>
          </w:p>
        </w:tc>
        <w:tc>
          <w:tcPr>
            <w:tcW w:type="dxa" w:w="144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★★☆☆☆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A1A2E"/>
        </w:rPr>
        <w:t>四、技术架构分析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前端技术栈</w:t>
      </w:r>
    </w:p>
    <w:p>
      <w:pPr>
        <w:pStyle w:val="ListBullet"/>
      </w:pPr>
      <w:r>
        <w:rPr>
          <w:rFonts w:ascii="Arial" w:hAnsi="Arial" w:eastAsia="微软雅黑"/>
          <w:b/>
        </w:rPr>
        <w:t>框架：</w:t>
      </w:r>
      <w:r>
        <w:rPr>
          <w:rFonts w:ascii="Arial" w:hAnsi="Arial" w:eastAsia="微软雅黑"/>
        </w:rPr>
        <w:t>React.js — 单页应用框架</w:t>
      </w:r>
    </w:p>
    <w:p>
      <w:pPr>
        <w:pStyle w:val="ListBullet"/>
      </w:pPr>
      <w:r>
        <w:rPr>
          <w:rFonts w:ascii="Arial" w:hAnsi="Arial" w:eastAsia="微软雅黑"/>
          <w:b/>
        </w:rPr>
        <w:t>路由：</w:t>
      </w:r>
      <w:r>
        <w:rPr>
          <w:rFonts w:ascii="Arial" w:hAnsi="Arial" w:eastAsia="微软雅黑"/>
        </w:rPr>
        <w:t>React Router — 客户端路由管理</w:t>
      </w:r>
    </w:p>
    <w:p>
      <w:pPr>
        <w:pStyle w:val="ListBullet"/>
      </w:pPr>
      <w:r>
        <w:rPr>
          <w:rFonts w:ascii="Arial" w:hAnsi="Arial" w:eastAsia="微软雅黑"/>
          <w:b/>
        </w:rPr>
        <w:t>UI 组件：</w:t>
      </w:r>
      <w:r>
        <w:rPr>
          <w:rFonts w:ascii="Arial" w:hAnsi="Arial" w:eastAsia="微软雅黑"/>
        </w:rPr>
        <w:t>Lucide React — 图标系统</w:t>
      </w:r>
    </w:p>
    <w:p>
      <w:pPr>
        <w:pStyle w:val="ListBullet"/>
      </w:pPr>
      <w:r>
        <w:rPr>
          <w:rFonts w:ascii="Arial" w:hAnsi="Arial" w:eastAsia="微软雅黑"/>
          <w:b/>
        </w:rPr>
        <w:t>地图：</w:t>
      </w:r>
      <w:r>
        <w:rPr>
          <w:rFonts w:ascii="Arial" w:hAnsi="Arial" w:eastAsia="微软雅黑"/>
        </w:rPr>
        <w:t>Google Maps API — 地址自动补全与地图展示</w:t>
      </w:r>
    </w:p>
    <w:p>
      <w:pPr>
        <w:pStyle w:val="ListBullet"/>
      </w:pPr>
      <w:r>
        <w:rPr>
          <w:rFonts w:ascii="Arial" w:hAnsi="Arial" w:eastAsia="微软雅黑"/>
          <w:b/>
        </w:rPr>
        <w:t>认证：</w:t>
      </w:r>
      <w:r>
        <w:rPr>
          <w:rFonts w:ascii="Arial" w:hAnsi="Arial" w:eastAsia="微软雅黑"/>
        </w:rPr>
        <w:t>AWS Amplify / Cognito SDK — 用户认证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后端技术栈</w:t>
      </w:r>
    </w:p>
    <w:p>
      <w:pPr>
        <w:pStyle w:val="ListBullet"/>
      </w:pPr>
      <w:r>
        <w:rPr>
          <w:rFonts w:ascii="Arial" w:hAnsi="Arial" w:eastAsia="微软雅黑"/>
          <w:b/>
        </w:rPr>
        <w:t>框架：</w:t>
      </w:r>
      <w:r>
        <w:rPr>
          <w:rFonts w:ascii="Arial" w:hAnsi="Arial" w:eastAsia="微软雅黑"/>
        </w:rPr>
        <w:t>Node.js + Express.js — RESTful API 服务</w:t>
      </w:r>
    </w:p>
    <w:p>
      <w:pPr>
        <w:pStyle w:val="ListBullet"/>
      </w:pPr>
      <w:r>
        <w:rPr>
          <w:rFonts w:ascii="Arial" w:hAnsi="Arial" w:eastAsia="微软雅黑"/>
          <w:b/>
        </w:rPr>
        <w:t>数据库：</w:t>
      </w:r>
      <w:r>
        <w:rPr>
          <w:rFonts w:ascii="Arial" w:hAnsi="Arial" w:eastAsia="微软雅黑"/>
        </w:rPr>
        <w:t>PostgreSQL (AWS RDS) — 关系型数据库</w:t>
      </w:r>
    </w:p>
    <w:p>
      <w:pPr>
        <w:pStyle w:val="ListBullet"/>
      </w:pPr>
      <w:r>
        <w:rPr>
          <w:rFonts w:ascii="Arial" w:hAnsi="Arial" w:eastAsia="微软雅黑"/>
          <w:b/>
        </w:rPr>
        <w:t>ORM：</w:t>
      </w:r>
      <w:r>
        <w:rPr>
          <w:rFonts w:ascii="Arial" w:hAnsi="Arial" w:eastAsia="微软雅黑"/>
        </w:rPr>
        <w:t>Knex.js — SQL 查询构建器</w:t>
      </w:r>
    </w:p>
    <w:p>
      <w:pPr>
        <w:pStyle w:val="ListBullet"/>
      </w:pPr>
      <w:r>
        <w:rPr>
          <w:rFonts w:ascii="Arial" w:hAnsi="Arial" w:eastAsia="微软雅黑"/>
          <w:b/>
        </w:rPr>
        <w:t>认证：</w:t>
      </w:r>
      <w:r>
        <w:rPr>
          <w:rFonts w:ascii="Arial" w:hAnsi="Arial" w:eastAsia="微软雅黑"/>
        </w:rPr>
        <w:t>AWS Cognito — 身份验证与授权</w:t>
      </w:r>
    </w:p>
    <w:p>
      <w:pPr>
        <w:pStyle w:val="ListBullet"/>
      </w:pPr>
      <w:r>
        <w:rPr>
          <w:rFonts w:ascii="Arial" w:hAnsi="Arial" w:eastAsia="微软雅黑"/>
          <w:b/>
        </w:rPr>
        <w:t>存储：</w:t>
      </w:r>
      <w:r>
        <w:rPr>
          <w:rFonts w:ascii="Arial" w:hAnsi="Arial" w:eastAsia="微软雅黑"/>
        </w:rPr>
        <w:t>AWS S3 — 文件/图片持久化存储</w:t>
      </w:r>
    </w:p>
    <w:p>
      <w:pPr>
        <w:pStyle w:val="ListBullet"/>
      </w:pPr>
      <w:r>
        <w:rPr>
          <w:rFonts w:ascii="Arial" w:hAnsi="Arial" w:eastAsia="微软雅黑"/>
          <w:b/>
        </w:rPr>
        <w:t>上传：</w:t>
      </w:r>
      <w:r>
        <w:rPr>
          <w:rFonts w:ascii="Arial" w:hAnsi="Arial" w:eastAsia="微软雅黑"/>
        </w:rPr>
        <w:t>Multer — 文件上传中间件</w:t>
      </w:r>
    </w:p>
    <w:p>
      <w:pPr>
        <w:pStyle w:val="ListBullet"/>
      </w:pPr>
      <w:r>
        <w:rPr>
          <w:rFonts w:ascii="Arial" w:hAnsi="Arial" w:eastAsia="微软雅黑"/>
          <w:b/>
        </w:rPr>
        <w:t>校验：</w:t>
      </w:r>
      <w:r>
        <w:rPr>
          <w:rFonts w:ascii="Arial" w:hAnsi="Arial" w:eastAsia="微软雅黑"/>
        </w:rPr>
        <w:t>express-validator — 请求参数校验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基础设施与 DevOps</w:t>
      </w:r>
    </w:p>
    <w:p>
      <w:pPr>
        <w:pStyle w:val="ListBullet"/>
      </w:pPr>
      <w:r>
        <w:rPr>
          <w:rFonts w:ascii="Arial" w:hAnsi="Arial" w:eastAsia="微软雅黑"/>
          <w:b/>
        </w:rPr>
        <w:t>计算：</w:t>
      </w:r>
      <w:r>
        <w:rPr>
          <w:rFonts w:ascii="Arial" w:hAnsi="Arial" w:eastAsia="微软雅黑"/>
        </w:rPr>
        <w:t>AWS ECS (Fargate) — 容器化部署</w:t>
      </w:r>
    </w:p>
    <w:p>
      <w:pPr>
        <w:pStyle w:val="ListBullet"/>
      </w:pPr>
      <w:r>
        <w:rPr>
          <w:rFonts w:ascii="Arial" w:hAnsi="Arial" w:eastAsia="微软雅黑"/>
          <w:b/>
        </w:rPr>
        <w:t>镜像：</w:t>
      </w:r>
      <w:r>
        <w:rPr>
          <w:rFonts w:ascii="Arial" w:hAnsi="Arial" w:eastAsia="微软雅黑"/>
        </w:rPr>
        <w:t>AWS ECR — Docker 镜像仓库</w:t>
      </w:r>
    </w:p>
    <w:p>
      <w:pPr>
        <w:pStyle w:val="ListBullet"/>
      </w:pPr>
      <w:r>
        <w:rPr>
          <w:rFonts w:ascii="Arial" w:hAnsi="Arial" w:eastAsia="微软雅黑"/>
          <w:b/>
        </w:rPr>
        <w:t>数据库：</w:t>
      </w:r>
      <w:r>
        <w:rPr>
          <w:rFonts w:ascii="Arial" w:hAnsi="Arial" w:eastAsia="微软雅黑"/>
        </w:rPr>
        <w:t>AWS RDS PostgreSQL — 托管数据库</w:t>
      </w:r>
    </w:p>
    <w:p>
      <w:pPr>
        <w:pStyle w:val="ListBullet"/>
      </w:pPr>
      <w:r>
        <w:rPr>
          <w:rFonts w:ascii="Arial" w:hAnsi="Arial" w:eastAsia="微软雅黑"/>
          <w:b/>
        </w:rPr>
        <w:t>存储：</w:t>
      </w:r>
      <w:r>
        <w:rPr>
          <w:rFonts w:ascii="Arial" w:hAnsi="Arial" w:eastAsia="微软雅黑"/>
        </w:rPr>
        <w:t>AWS S3 — 对象存储</w:t>
      </w:r>
    </w:p>
    <w:p>
      <w:pPr>
        <w:pStyle w:val="ListBullet"/>
      </w:pPr>
      <w:r>
        <w:rPr>
          <w:rFonts w:ascii="Arial" w:hAnsi="Arial" w:eastAsia="微软雅黑"/>
          <w:b/>
        </w:rPr>
        <w:t>IaC：</w:t>
      </w:r>
      <w:r>
        <w:rPr>
          <w:rFonts w:ascii="Arial" w:hAnsi="Arial" w:eastAsia="微软雅黑"/>
        </w:rPr>
        <w:t>AWS CloudFormation — 基础设施即代码</w:t>
      </w:r>
    </w:p>
    <w:p>
      <w:pPr>
        <w:pStyle w:val="ListBullet"/>
      </w:pPr>
      <w:r>
        <w:rPr>
          <w:rFonts w:ascii="Arial" w:hAnsi="Arial" w:eastAsia="微软雅黑"/>
          <w:b/>
        </w:rPr>
        <w:t>CI/CD：</w:t>
      </w:r>
      <w:r>
        <w:rPr>
          <w:rFonts w:ascii="Arial" w:hAnsi="Arial" w:eastAsia="微软雅黑"/>
        </w:rPr>
        <w:t>GitHub Actions — CI/CD 自动构建与部署</w:t>
      </w:r>
    </w:p>
    <w:p>
      <w:pPr>
        <w:pStyle w:val="ListBullet"/>
      </w:pPr>
      <w:r>
        <w:rPr>
          <w:rFonts w:ascii="Arial" w:hAnsi="Arial" w:eastAsia="微软雅黑"/>
          <w:b/>
        </w:rPr>
        <w:t>安全：</w:t>
      </w:r>
      <w:r>
        <w:rPr>
          <w:rFonts w:ascii="Arial" w:hAnsi="Arial" w:eastAsia="微软雅黑"/>
        </w:rPr>
        <w:t>SSL/TLS 加密传输</w:t>
      </w:r>
    </w:p>
    <w:p>
      <w:pPr>
        <w:pStyle w:val="Heading1"/>
      </w:pPr>
      <w:r>
        <w:rPr>
          <w:rFonts w:ascii="Arial" w:hAnsi="Arial" w:eastAsia="微软雅黑"/>
          <w:color w:val="1A1A2E"/>
        </w:rPr>
        <w:t>五、承运商 API 集成（核心壁垒）</w:t>
      </w:r>
    </w:p>
    <w:p>
      <w:pPr>
        <w:spacing w:after="240"/>
      </w:pPr>
      <w:r>
        <w:rPr>
          <w:rFonts w:ascii="Arial" w:hAnsi="Arial" w:eastAsia="微软雅黑"/>
          <w:b w:val="0"/>
        </w:rPr>
        <w:t>多承运商 API 集成是 Welogx 平台最核心的竞争壁垒。每个承运商 API 的对接都需要：1）商务谈判获取 API 访问凭证；2）阅读并理解各家不同的 API 文档；3）开发适配层处理不同的数据格式和业务逻辑；4）持续维护以应对 API 版本升级。通常每个承运商对接需要 2-6 周的开发周期。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60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承运商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路由文件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服务类型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 w:eastAsia="微软雅黑"/>
                <w:sz w:val="20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sz w:val="20"/>
              </w:rPr>
              <w:t>AACT (AAA Cooper Transportation)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aact.js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LTL 零担运输</w:t>
            </w:r>
          </w:p>
        </w:tc>
      </w:tr>
      <w:tr>
        <w:tc>
          <w:tcPr>
            <w:tcW w:type="dxa" w:w="7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2</w:t>
            </w:r>
          </w:p>
        </w:tc>
        <w:tc>
          <w:tcPr>
            <w:tcW w:type="dxa" w:w="360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DAT Load Board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dat.js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货运信息平台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 w:eastAsia="微软雅黑"/>
                <w:sz w:val="20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sz w:val="20"/>
              </w:rPr>
              <w:t>EDI Express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ediexpress.js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LTL 零担运输</w:t>
            </w:r>
          </w:p>
        </w:tc>
      </w:tr>
      <w:tr>
        <w:tc>
          <w:tcPr>
            <w:tcW w:type="dxa" w:w="7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4</w:t>
            </w:r>
          </w:p>
        </w:tc>
        <w:tc>
          <w:tcPr>
            <w:tcW w:type="dxa" w:w="360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RLC (R+L Carriers)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rlc.js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LTL 零担运输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 w:eastAsia="微软雅黑"/>
                <w:sz w:val="20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sz w:val="20"/>
              </w:rPr>
              <w:t>RRTS (Roadrunner)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rrts.js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LTL 零担运输</w:t>
            </w:r>
          </w:p>
        </w:tc>
      </w:tr>
      <w:tr>
        <w:tc>
          <w:tcPr>
            <w:tcW w:type="dxa" w:w="7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6</w:t>
            </w:r>
          </w:p>
        </w:tc>
        <w:tc>
          <w:tcPr>
            <w:tcW w:type="dxa" w:w="360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SAIA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saia.js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LTL 零担运输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 w:eastAsia="微软雅黑"/>
                <w:sz w:val="20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sz w:val="20"/>
              </w:rPr>
              <w:t>STG Logistics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stg.js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LTL 零担运输</w:t>
            </w:r>
          </w:p>
        </w:tc>
      </w:tr>
      <w:tr>
        <w:tc>
          <w:tcPr>
            <w:tcW w:type="dxa" w:w="7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8</w:t>
            </w:r>
          </w:p>
        </w:tc>
        <w:tc>
          <w:tcPr>
            <w:tcW w:type="dxa" w:w="360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TForce Freight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tforce.js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LTL 零担运输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 w:eastAsia="微软雅黑"/>
                <w:sz w:val="20"/>
              </w:rPr>
              <w:t>9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sz w:val="20"/>
              </w:rPr>
              <w:t>Warp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warp.js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LTL 零担运输</w:t>
            </w:r>
          </w:p>
        </w:tc>
      </w:tr>
      <w:tr>
        <w:tc>
          <w:tcPr>
            <w:tcW w:type="dxa" w:w="7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10</w:t>
            </w:r>
          </w:p>
        </w:tc>
        <w:tc>
          <w:tcPr>
            <w:tcW w:type="dxa" w:w="360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Welogx 自有运力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welogx.js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自有费率</w:t>
            </w:r>
          </w:p>
        </w:tc>
      </w:tr>
      <w:tr>
        <w:tc>
          <w:tcPr>
            <w:tcW w:type="dxa" w:w="720"/>
          </w:tcPr>
          <w:p>
            <w:r>
              <w:rPr>
                <w:rFonts w:ascii="Arial" w:hAnsi="Arial" w:eastAsia="微软雅黑"/>
                <w:sz w:val="20"/>
              </w:rPr>
              <w:t>11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sz w:val="20"/>
              </w:rPr>
              <w:t>Land Freight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landfreight.js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陆运整车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</w:rPr>
        <w:t>此外，平台还集成了 QuickBooks Online API（财务同步）和 Google Maps API（地址服务），形成了从报价、下单、跟踪到结算的完整 API 生态。</w:t>
      </w:r>
    </w:p>
    <w:p>
      <w:pPr>
        <w:pStyle w:val="Heading1"/>
      </w:pPr>
      <w:r>
        <w:rPr>
          <w:rFonts w:ascii="Arial" w:hAnsi="Arial" w:eastAsia="微软雅黑"/>
          <w:color w:val="1A1A2E"/>
        </w:rPr>
        <w:t>六、开发成本估算（重置成本法）</w:t>
      </w:r>
    </w:p>
    <w:p>
      <w:pPr>
        <w:spacing w:after="120"/>
      </w:pPr>
      <w:r>
        <w:rPr>
          <w:rFonts w:ascii="Arial" w:hAnsi="Arial" w:eastAsia="微软雅黑"/>
          <w:b w:val="0"/>
        </w:rPr>
        <w:t>重置成本法评估的是：如果从零开始，聘请同等水平的开发团队重新构建一套功能完全相同的系统，需要投入多少成本。以下按美国市场全栈开发人员费率 $12,000/人月 计算：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开发模块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预估工期（人月）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成本估算（USD）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sz w:val="20"/>
              </w:rPr>
              <w:t>多承运商报价引擎（11个API）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8 - 12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$96,000 - $144,000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订单管理 + 单据自动生成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4 - 6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$48,000 - $72,000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sz w:val="20"/>
              </w:rPr>
              <w:t>DAT Load Board + QuickBooks 集成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2 - 3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$24,000 - $36,000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用户认证 + 权限体系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2 - 3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$24,000 - $36,000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sz w:val="20"/>
              </w:rPr>
              <w:t>前端全部页面 + UI/UX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6 - 8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$72,000 - $96,000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社区论坛 / 租售市场 / 招聘 / FBA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3 - 4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$36,000 - $48,000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sz w:val="20"/>
              </w:rPr>
              <w:t>客户管理 + 支付 + 地图集成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2 - 3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$24,000 - $36,000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AWS 基础设施 + CI/CD + DevOps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1 - 2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$12,000 - $24,000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微软雅黑"/>
                <w:sz w:val="20"/>
              </w:rPr>
              <w:t>测试 / 调试 / 部署 / 文档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2 - 3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$24,000 - $36,000</w:t>
            </w:r>
          </w:p>
        </w:tc>
      </w:tr>
      <w:tr>
        <w:tc>
          <w:tcPr>
            <w:tcW w:type="dxa" w:w="43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合计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30 - 44 人月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$360,000 - $528,000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/>
        </w:rPr>
        <w:t>注：以上仅为开发成本，不包含承运商商务合作关系的建立成本、域名/品牌资产、以及用户数据积累的价值。</w:t>
      </w:r>
    </w:p>
    <w:p>
      <w:r>
        <w:rPr>
          <w:rFonts w:ascii="Arial" w:hAnsi="Arial" w:eastAsia="微软雅黑"/>
        </w:rPr>
        <w:t>如按海外外包团队费率（$4,000-6,000/人月）计算，重置成本约为 $120,000 - $264,000。</w:t>
      </w:r>
    </w:p>
    <w:p>
      <w:pPr>
        <w:pStyle w:val="Heading1"/>
      </w:pPr>
      <w:r>
        <w:rPr>
          <w:rFonts w:ascii="Arial" w:hAnsi="Arial" w:eastAsia="微软雅黑"/>
          <w:color w:val="1A1A2E"/>
        </w:rPr>
        <w:t>七、商业价值估算（营收倍数法）</w:t>
      </w:r>
    </w:p>
    <w:p>
      <w:pPr>
        <w:spacing w:after="120"/>
      </w:pPr>
      <w:r>
        <w:rPr>
          <w:rFonts w:ascii="Arial" w:hAnsi="Arial" w:eastAsia="微软雅黑"/>
          <w:b w:val="0"/>
        </w:rPr>
        <w:t>在北美 SaaS/物流科技行业，企业估值通常采用 ARR（年经常性收入）倍数法。根据行业数据，物流 SaaS 平台的估值倍数通常在 3-8 倍 ARR 之间，早期高增长公司可达 10 倍以上。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年营收场景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ARR 倍数</w:t>
            </w:r>
          </w:p>
        </w:tc>
        <w:tc>
          <w:tcPr>
            <w:tcW w:type="dxa" w:w="432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估值范围（USD）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$50,000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3x - 8x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sz w:val="20"/>
              </w:rPr>
              <w:t>$150,000 - $400,000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$100,000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3x - 8x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$300,000 - $800,000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$200,000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3x - 8x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sz w:val="20"/>
              </w:rPr>
              <w:t>$600,000 - $1,600,000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$500,000</w:t>
            </w:r>
          </w:p>
        </w:tc>
        <w:tc>
          <w:tcPr>
            <w:tcW w:type="dxa" w:w="216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3x - 8x</w:t>
            </w:r>
          </w:p>
        </w:tc>
        <w:tc>
          <w:tcPr>
            <w:tcW w:type="dxa" w:w="432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$1,500,000 - $4,000,000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$1,000,000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微软雅黑"/>
                <w:sz w:val="20"/>
              </w:rPr>
              <w:t>4x - 10x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微软雅黑"/>
                <w:sz w:val="20"/>
              </w:rPr>
              <w:t>$4,000,000 - $10,000,000</w:t>
            </w:r>
          </w:p>
        </w:tc>
      </w:tr>
    </w:tbl>
    <w:p/>
    <w:p>
      <w:pPr>
        <w:spacing w:after="120"/>
      </w:pPr>
      <w:r>
        <w:rPr>
          <w:rFonts w:ascii="Arial" w:hAnsi="Arial" w:eastAsia="微软雅黑"/>
          <w:b w:val="0"/>
        </w:rPr>
        <w:t>影响实际估值倍数的关键因素：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1"/>
      </w:pPr>
      <w:r>
        <w:rPr>
          <w:rFonts w:ascii="Arial" w:hAnsi="Arial" w:eastAsia="微软雅黑"/>
          <w:color w:val="1A1A2E"/>
        </w:rPr>
        <w:t>八、竞争优势与风险分析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核心竞争优势</w:t>
      </w:r>
    </w:p>
    <w:p>
      <w:pPr>
        <w:spacing w:after="120"/>
      </w:pPr>
      <w:r>
        <w:rPr>
          <w:rFonts w:ascii="Arial" w:hAnsi="Arial" w:eastAsia="微软雅黑"/>
          <w:b/>
        </w:rPr>
        <w:t>1. 多承运商 API 集成壁垒</w:t>
      </w:r>
    </w:p>
    <w:p>
      <w:pPr>
        <w:spacing w:after="120"/>
      </w:pPr>
      <w:r>
        <w:rPr>
          <w:rFonts w:ascii="Arial" w:hAnsi="Arial" w:eastAsia="微软雅黑"/>
          <w:b w:val="0"/>
        </w:rPr>
        <w:t>11 家承运商的 API 对接关系是平台最核心的资产。这不仅需要技术开发能力，更需要商务合作关系和 Broker License 资质。竞争对手即使获得源代码也无法直接复制这些商业关系。</w:t>
      </w:r>
    </w:p>
    <w:p>
      <w:pPr>
        <w:spacing w:after="120"/>
      </w:pPr>
      <w:r>
        <w:rPr>
          <w:rFonts w:ascii="Arial" w:hAnsi="Arial" w:eastAsia="微软雅黑"/>
          <w:b/>
        </w:rPr>
        <w:t>2. 华人物流垂直市场先发优势</w:t>
      </w:r>
    </w:p>
    <w:p>
      <w:pPr>
        <w:spacing w:after="120"/>
      </w:pPr>
      <w:r>
        <w:rPr>
          <w:rFonts w:ascii="Arial" w:hAnsi="Arial" w:eastAsia="微软雅黑"/>
          <w:b w:val="0"/>
        </w:rPr>
        <w:t>北美华人物流行业缺乏专业的数字化平台，Welogx 作为该细分市场的先行者，具有显著的品牌认知和用户获取优势。华人商户对中文物流服务有刚性需求。</w:t>
      </w:r>
    </w:p>
    <w:p>
      <w:pPr>
        <w:spacing w:after="120"/>
      </w:pPr>
      <w:r>
        <w:rPr>
          <w:rFonts w:ascii="Arial" w:hAnsi="Arial" w:eastAsia="微软雅黑"/>
          <w:b/>
        </w:rPr>
        <w:t>3. 完整业务闭环</w:t>
      </w:r>
    </w:p>
    <w:p>
      <w:pPr>
        <w:spacing w:after="120"/>
      </w:pPr>
      <w:r>
        <w:rPr>
          <w:rFonts w:ascii="Arial" w:hAnsi="Arial" w:eastAsia="微软雅黑"/>
          <w:b w:val="0"/>
        </w:rPr>
        <w:t>从报价查询→下单确认→单据生成→货物追踪→POD签收→付款结算→财务同步，实现了物流业务全流程数字化，用户无需在多个系统间切换。</w:t>
      </w:r>
    </w:p>
    <w:p>
      <w:pPr>
        <w:spacing w:after="120"/>
      </w:pPr>
      <w:r>
        <w:rPr>
          <w:rFonts w:ascii="Arial" w:hAnsi="Arial" w:eastAsia="微软雅黑"/>
          <w:b/>
        </w:rPr>
        <w:t>4. 生态化平台布局</w:t>
      </w:r>
    </w:p>
    <w:p>
      <w:pPr>
        <w:spacing w:after="120"/>
      </w:pPr>
      <w:r>
        <w:rPr>
          <w:rFonts w:ascii="Arial" w:hAnsi="Arial" w:eastAsia="微软雅黑"/>
          <w:b w:val="0"/>
        </w:rPr>
        <w:t>除核心物流业务外，招聘、租售、论坛、FBA预约等模块构建了行业生态，有助于提升用户粘性和平台活跃度，形成网络效应。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风险因素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风险类别</w:t>
            </w:r>
          </w:p>
        </w:tc>
        <w:tc>
          <w:tcPr>
            <w:tcW w:type="dxa" w:w="360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具体描述</w:t>
            </w:r>
          </w:p>
        </w:tc>
        <w:tc>
          <w:tcPr>
            <w:tcW w:type="dxa" w:w="1152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2736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缓解建议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sz w:val="20"/>
              </w:rPr>
              <w:t>关键人风险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sz w:val="20"/>
              </w:rPr>
              <w:t>平台由小团队开发维护，核心技术知识集中</w:t>
            </w:r>
          </w:p>
        </w:tc>
        <w:tc>
          <w:tcPr>
            <w:tcW w:type="dxa" w:w="1152"/>
          </w:tcPr>
          <w:p>
            <w:r>
              <w:rPr>
                <w:rFonts w:ascii="Arial" w:hAnsi="Arial" w:eastAsia="微软雅黑"/>
                <w:sz w:val="20"/>
              </w:rPr>
              <w:t>高</w:t>
            </w:r>
          </w:p>
        </w:tc>
        <w:tc>
          <w:tcPr>
            <w:tcW w:type="dxa" w:w="2736"/>
          </w:tcPr>
          <w:p>
            <w:r>
              <w:rPr>
                <w:rFonts w:ascii="Arial" w:hAnsi="Arial" w:eastAsia="微软雅黑"/>
                <w:sz w:val="20"/>
              </w:rPr>
              <w:t>完善技术文档，引入备份开发人员</w:t>
            </w:r>
          </w:p>
        </w:tc>
      </w:tr>
      <w:tr>
        <w:tc>
          <w:tcPr>
            <w:tcW w:type="dxa" w:w="1872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测试覆盖不足</w:t>
            </w:r>
          </w:p>
        </w:tc>
        <w:tc>
          <w:tcPr>
            <w:tcW w:type="dxa" w:w="360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缺少自动化测试（单元/集成/E2E）</w:t>
            </w:r>
          </w:p>
        </w:tc>
        <w:tc>
          <w:tcPr>
            <w:tcW w:type="dxa" w:w="1152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中</w:t>
            </w:r>
          </w:p>
        </w:tc>
        <w:tc>
          <w:tcPr>
            <w:tcW w:type="dxa" w:w="2736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逐步引入 Jest + Cypress 测试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sz w:val="20"/>
              </w:rPr>
              <w:t>前端代码体积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sz w:val="20"/>
              </w:rPr>
              <w:t>323K行代码，部分可能存在冗余</w:t>
            </w:r>
          </w:p>
        </w:tc>
        <w:tc>
          <w:tcPr>
            <w:tcW w:type="dxa" w:w="1152"/>
          </w:tcPr>
          <w:p>
            <w:r>
              <w:rPr>
                <w:rFonts w:ascii="Arial" w:hAnsi="Arial" w:eastAsia="微软雅黑"/>
                <w:sz w:val="20"/>
              </w:rPr>
              <w:t>中</w:t>
            </w:r>
          </w:p>
        </w:tc>
        <w:tc>
          <w:tcPr>
            <w:tcW w:type="dxa" w:w="2736"/>
          </w:tcPr>
          <w:p>
            <w:r>
              <w:rPr>
                <w:rFonts w:ascii="Arial" w:hAnsi="Arial" w:eastAsia="微软雅黑"/>
                <w:sz w:val="20"/>
              </w:rPr>
              <w:t>代码审查、拆分、优化</w:t>
            </w:r>
          </w:p>
        </w:tc>
      </w:tr>
      <w:tr>
        <w:tc>
          <w:tcPr>
            <w:tcW w:type="dxa" w:w="1872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移动端缺失</w:t>
            </w:r>
          </w:p>
        </w:tc>
        <w:tc>
          <w:tcPr>
            <w:tcW w:type="dxa" w:w="360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仅有 Web 端，无原生 App</w:t>
            </w:r>
          </w:p>
        </w:tc>
        <w:tc>
          <w:tcPr>
            <w:tcW w:type="dxa" w:w="1152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中</w:t>
            </w:r>
          </w:p>
        </w:tc>
        <w:tc>
          <w:tcPr>
            <w:tcW w:type="dxa" w:w="2736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可考虑 React Native 或 PWA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 w:eastAsia="微软雅黑"/>
                <w:sz w:val="20"/>
              </w:rPr>
              <w:t>承运商 API 依赖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sz w:val="20"/>
              </w:rPr>
              <w:t>API 可能变更或终止合作</w:t>
            </w:r>
          </w:p>
        </w:tc>
        <w:tc>
          <w:tcPr>
            <w:tcW w:type="dxa" w:w="1152"/>
          </w:tcPr>
          <w:p>
            <w:r>
              <w:rPr>
                <w:rFonts w:ascii="Arial" w:hAnsi="Arial" w:eastAsia="微软雅黑"/>
                <w:sz w:val="20"/>
              </w:rPr>
              <w:t>低-中</w:t>
            </w:r>
          </w:p>
        </w:tc>
        <w:tc>
          <w:tcPr>
            <w:tcW w:type="dxa" w:w="2736"/>
          </w:tcPr>
          <w:p>
            <w:r>
              <w:rPr>
                <w:rFonts w:ascii="Arial" w:hAnsi="Arial" w:eastAsia="微软雅黑"/>
                <w:sz w:val="20"/>
              </w:rPr>
              <w:t>多元化承运商，建立冗余</w:t>
            </w:r>
          </w:p>
        </w:tc>
      </w:tr>
      <w:tr>
        <w:tc>
          <w:tcPr>
            <w:tcW w:type="dxa" w:w="1872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市场竞争</w:t>
            </w:r>
          </w:p>
        </w:tc>
        <w:tc>
          <w:tcPr>
            <w:tcW w:type="dxa" w:w="360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大型物流平台可能进入华人市场</w:t>
            </w:r>
          </w:p>
        </w:tc>
        <w:tc>
          <w:tcPr>
            <w:tcW w:type="dxa" w:w="1152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低</w:t>
            </w:r>
          </w:p>
        </w:tc>
        <w:tc>
          <w:tcPr>
            <w:tcW w:type="dxa" w:w="2736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深耕垂直市场，强化社区粘性</w:t>
            </w:r>
          </w:p>
        </w:tc>
      </w:tr>
    </w:tbl>
    <w:p/>
    <w:p>
      <w:pPr>
        <w:pStyle w:val="Heading1"/>
      </w:pPr>
      <w:r>
        <w:rPr>
          <w:rFonts w:ascii="Arial" w:hAnsi="Arial" w:eastAsia="微软雅黑"/>
          <w:color w:val="1A1A2E"/>
        </w:rPr>
        <w:t>九、综合估值结论</w:t>
      </w:r>
    </w:p>
    <w:p>
      <w:pPr>
        <w:spacing w:after="240"/>
      </w:pPr>
      <w:r>
        <w:rPr>
          <w:rFonts w:ascii="Arial" w:hAnsi="Arial" w:eastAsia="微软雅黑"/>
          <w:b w:val="0"/>
        </w:rPr>
        <w:t>综合技术资产重置成本、商业关系价值、市场潜力等多维度因素，本报告对 Welogx 平台给出如下估值区间：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估值维度</w:t>
            </w:r>
          </w:p>
        </w:tc>
        <w:tc>
          <w:tcPr>
            <w:tcW w:type="dxa" w:w="288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估值范围（USD）</w:t>
            </w:r>
          </w:p>
        </w:tc>
        <w:tc>
          <w:tcPr>
            <w:tcW w:type="dxa" w:w="3600"/>
            <w:shd w:fill="1a1a2e" w:val="clea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纯代码资产（重置成本）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$300,000 - $500,000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sz w:val="20"/>
              </w:rPr>
              <w:t>从零重建同等系统的开发成本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含商业关系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$400,000 - $700,000</w:t>
            </w:r>
          </w:p>
        </w:tc>
        <w:tc>
          <w:tcPr>
            <w:tcW w:type="dxa" w:w="360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加上承运商 API 合作关系的商业价值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含用户数据与品牌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微软雅黑"/>
                <w:sz w:val="20"/>
              </w:rPr>
              <w:t>$500,000 - $800,000</w:t>
            </w:r>
          </w:p>
        </w:tc>
        <w:tc>
          <w:tcPr>
            <w:tcW w:type="dxa" w:w="3600"/>
          </w:tcPr>
          <w:p>
            <w:r>
              <w:rPr>
                <w:rFonts w:ascii="Arial" w:hAnsi="Arial" w:eastAsia="微软雅黑"/>
                <w:sz w:val="20"/>
              </w:rPr>
              <w:t>加上已积累的用户、数据和品牌资产</w:t>
            </w:r>
          </w:p>
        </w:tc>
      </w:tr>
      <w:tr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若有稳定营收</w:t>
            </w:r>
          </w:p>
        </w:tc>
        <w:tc>
          <w:tcPr>
            <w:tcW w:type="dxa" w:w="288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营收 × 3-8 倍</w:t>
            </w:r>
          </w:p>
        </w:tc>
        <w:tc>
          <w:tcPr>
            <w:tcW w:type="dxa" w:w="3600"/>
            <w:shd w:fill="f0f4ff" w:val="clear"/>
          </w:tcPr>
          <w:p>
            <w:r>
              <w:rPr>
                <w:rFonts w:ascii="Arial" w:hAnsi="Arial" w:eastAsia="微软雅黑"/>
                <w:sz w:val="20"/>
              </w:rPr>
              <w:t>按 SaaS 行业通行 ARR 倍数法</w:t>
            </w:r>
          </w:p>
        </w:tc>
      </w:tr>
    </w:tbl>
    <w:p/>
    <w:p>
      <w:r>
        <w:rPr>
          <w:rFonts w:ascii="Arial" w:hAnsi="Arial" w:eastAsia="微软雅黑"/>
        </w:rPr>
        <w:br/>
        <w:t>综合评估：Welogx 平台作为「技术资产 + 商业关系 + 市场定位」的整体，当前合理估值区间为：</w:t>
      </w:r>
    </w:p>
    <w:p>
      <w:pPr>
        <w:jc w:val="center"/>
      </w:pPr>
      <w:r>
        <w:rPr>
          <w:rFonts w:ascii="Arial" w:hAnsi="Arial" w:eastAsia="微软雅黑"/>
          <w:b/>
          <w:color w:val="1A6B3A"/>
          <w:sz w:val="48"/>
        </w:rPr>
        <w:t>USD $400,000 — $700,000</w:t>
      </w:r>
    </w:p>
    <w:p>
      <w:pPr>
        <w:jc w:val="center"/>
      </w:pPr>
      <w:r>
        <w:rPr>
          <w:rFonts w:ascii="Arial" w:hAnsi="Arial" w:eastAsia="微软雅黑"/>
          <w:color w:val="666666"/>
          <w:sz w:val="28"/>
        </w:rPr>
        <w:t>（约人民币 290万 — 510万元）</w:t>
      </w:r>
    </w:p>
    <w:p>
      <w:pPr>
        <w:spacing w:after="120"/>
      </w:pPr>
      <w:r>
        <w:rPr>
          <w:rFonts w:ascii="Arial" w:hAnsi="Arial" w:eastAsia="微软雅黑"/>
          <w:b/>
        </w:rPr>
        <w:t>注：以上估值基于平台当前技术资产和已建立的商业关系。如果平台持续获得用户增长和稳定营收，实际市场价值将显著高于上述区间。</w:t>
      </w:r>
    </w:p>
    <w:p>
      <w:pPr>
        <w:pStyle w:val="Heading1"/>
      </w:pPr>
      <w:r>
        <w:rPr>
          <w:rFonts w:ascii="Arial" w:hAnsi="Arial" w:eastAsia="微软雅黑"/>
          <w:color w:val="1A1A2E"/>
        </w:rPr>
        <w:t>十、估值提升建议</w:t>
      </w:r>
    </w:p>
    <w:p>
      <w:pPr>
        <w:spacing w:after="120"/>
      </w:pPr>
      <w:r>
        <w:rPr>
          <w:rFonts w:ascii="Arial" w:hAnsi="Arial" w:eastAsia="微软雅黑"/>
          <w:b w:val="0"/>
        </w:rPr>
        <w:t>以下措施可有效提升平台估值：</w:t>
      </w:r>
    </w:p>
    <w:p>
      <w:pPr>
        <w:spacing w:after="120"/>
      </w:pPr>
      <w:r>
        <w:rPr>
          <w:rFonts w:ascii="Arial" w:hAnsi="Arial" w:eastAsia="微软雅黑"/>
          <w:b/>
        </w:rPr>
        <w:t>短期（1-3个月）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spacing w:after="120"/>
      </w:pPr>
      <w:r>
        <w:rPr>
          <w:rFonts w:ascii="Arial" w:hAnsi="Arial" w:eastAsia="微软雅黑"/>
          <w:b/>
        </w:rPr>
        <w:t>中期（3-6个月）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spacing w:after="120"/>
      </w:pPr>
      <w:r>
        <w:rPr>
          <w:rFonts w:ascii="Arial" w:hAnsi="Arial" w:eastAsia="微软雅黑"/>
          <w:b/>
        </w:rPr>
        <w:t>长期（6-12个月）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/>
    <w:p>
      <w:pPr>
        <w:jc w:val="center"/>
      </w:pPr>
      <w:r>
        <w:rPr>
          <w:rFonts w:ascii="Arial" w:hAnsi="Arial" w:eastAsia="微软雅黑"/>
          <w:b/>
          <w:color w:val="999999"/>
          <w:sz w:val="22"/>
        </w:rPr>
        <w:t>— 免责声明 —</w:t>
      </w:r>
    </w:p>
    <w:p>
      <w:pPr>
        <w:jc w:val="center"/>
      </w:pPr>
      <w:r>
        <w:rPr>
          <w:rFonts w:ascii="Arial" w:hAnsi="Arial" w:eastAsia="微软雅黑"/>
          <w:color w:val="999999"/>
          <w:sz w:val="18"/>
        </w:rPr>
        <w:t>本报告基于对 Welogx 平台代码库和功能的技术分析，仅供参考。</w:t>
        <w:br/>
        <w:t>实际市场估值可能因市场环境、竞争格局、财务数据等因素而有所不同。</w:t>
        <w:br/>
        <w:t>本报告不构成任何投资建议或法律意见。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