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58"/>
        <w:gridCol w:w="1961"/>
      </w:tblGrid>
      <w:tr w14:paraId="33EC0DD3">
        <w:trPr>
          <w:trHeight w:val="2133" w:hRule="atLeast"/>
        </w:trPr>
        <w:tc>
          <w:tcPr>
            <w:tcW w:w="8458" w:type="dxa"/>
            <w:vAlign w:val="top"/>
          </w:tcPr>
          <w:p w14:paraId="7AE71216">
            <w:pPr>
              <w:spacing w:before="0" w:after="40" w:line="276" w:lineRule="auto"/>
            </w:pPr>
            <w:r>
              <w:rPr>
                <w:rFonts w:ascii="黑体" w:hAnsi="黑体" w:eastAsia="黑体"/>
                <w:b/>
                <w:color w:val="1A477A"/>
                <w:sz w:val="40"/>
              </w:rPr>
              <w:t>韦润芃</w:t>
            </w:r>
          </w:p>
          <w:p w14:paraId="3397B17B">
            <w:pPr>
              <w:spacing w:before="0" w:after="20" w:line="276" w:lineRule="auto"/>
            </w:pPr>
            <w:r>
              <w:rPr>
                <w:rFonts w:ascii="宋体" w:hAnsi="宋体" w:eastAsia="宋体"/>
                <w:b w:val="0"/>
                <w:color w:val="888888"/>
                <w:sz w:val="18"/>
              </w:rPr>
              <w:t>手机/微信：</w:t>
            </w:r>
            <w:r>
              <w:rPr>
                <w:rFonts w:ascii="宋体" w:hAnsi="宋体" w:eastAsia="宋体"/>
                <w:b w:val="0"/>
                <w:color w:val="333333"/>
                <w:sz w:val="18"/>
              </w:rPr>
              <w:t>(86) 185-2259-1129</w:t>
            </w:r>
            <w:r>
              <w:rPr>
                <w:rFonts w:ascii="宋体" w:hAnsi="宋体" w:eastAsia="宋体"/>
                <w:b w:val="0"/>
                <w:color w:val="888888"/>
                <w:sz w:val="18"/>
              </w:rPr>
              <w:t xml:space="preserve">    邮箱：</w:t>
            </w:r>
            <w:r>
              <w:rPr>
                <w:rFonts w:ascii="宋体" w:hAnsi="宋体" w:eastAsia="宋体"/>
                <w:b w:val="0"/>
                <w:color w:val="333333"/>
                <w:sz w:val="18"/>
              </w:rPr>
              <w:t>2501213758@stu.pku.edu.cn</w:t>
            </w:r>
          </w:p>
          <w:p w14:paraId="7CB1FD87">
            <w:pPr>
              <w:spacing w:before="0" w:after="60" w:line="276" w:lineRule="auto"/>
            </w:pPr>
            <w:r>
              <w:rPr>
                <w:rFonts w:ascii="宋体" w:hAnsi="宋体" w:eastAsia="宋体"/>
                <w:b w:val="0"/>
                <w:color w:val="888888"/>
                <w:sz w:val="18"/>
              </w:rPr>
              <w:t>个人简历网站：</w:t>
            </w:r>
            <w:r>
              <w:fldChar w:fldCharType="begin"/>
            </w:r>
            <w:r>
              <w:instrText xml:space="preserve"> HYPERLINK "https://runpengwei.github.io/" \h </w:instrText>
            </w:r>
            <w:r>
              <w:fldChar w:fldCharType="separate"/>
            </w:r>
            <w:r>
              <w:rPr>
                <w:rFonts w:ascii="宋体" w:eastAsia="宋体"/>
                <w:color w:val="1A477A"/>
                <w:sz w:val="18"/>
                <w:u w:val="single"/>
              </w:rPr>
              <w:t>https://runpengwei.github.io/</w:t>
            </w:r>
            <w:r>
              <w:rPr>
                <w:rFonts w:ascii="宋体" w:eastAsia="宋体"/>
                <w:color w:val="1A477A"/>
                <w:sz w:val="18"/>
                <w:u w:val="single"/>
              </w:rPr>
              <w:fldChar w:fldCharType="end"/>
            </w:r>
          </w:p>
        </w:tc>
        <w:tc>
          <w:tcPr>
            <w:tcW w:w="1961" w:type="dxa"/>
            <w:vAlign w:val="top"/>
          </w:tcPr>
          <w:p w14:paraId="36B9B0B2">
            <w:pPr>
              <w:spacing w:before="0" w:after="0" w:line="276" w:lineRule="auto"/>
              <w:jc w:val="right"/>
            </w:pPr>
            <w:r>
              <w:drawing>
                <wp:inline distT="0" distB="0" distL="114300" distR="114300">
                  <wp:extent cx="935990" cy="1356995"/>
                  <wp:effectExtent l="0" t="0" r="3810" b="146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135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A66DB7">
      <w:pPr>
        <w:pBdr>
          <w:bottom w:val="single" w:color="1A477A" w:sz="4" w:space="2"/>
        </w:pBdr>
        <w:spacing w:before="100" w:after="20" w:line="276" w:lineRule="auto"/>
      </w:pPr>
      <w:r>
        <w:rPr>
          <w:rFonts w:ascii="黑体" w:hAnsi="黑体" w:eastAsia="黑体"/>
          <w:b/>
          <w:color w:val="1A477A"/>
          <w:sz w:val="22"/>
        </w:rPr>
        <w:t>教育背景</w:t>
      </w:r>
    </w:p>
    <w:p w14:paraId="111715A0">
      <w:pPr>
        <w:tabs>
          <w:tab w:val="right" w:pos="9638"/>
        </w:tabs>
        <w:spacing w:before="40" w:after="0" w:line="276" w:lineRule="auto"/>
      </w:pPr>
      <w:r>
        <w:rPr>
          <w:rFonts w:ascii="宋体" w:hAnsi="宋体" w:eastAsia="宋体"/>
          <w:b/>
          <w:color w:val="333333"/>
          <w:sz w:val="20"/>
        </w:rPr>
        <w:t>北京大学  本科·历史学系</w:t>
      </w:r>
      <w:r>
        <w:rPr>
          <w:rFonts w:hint="eastAsia"/>
          <w:b/>
          <w:color w:val="333333"/>
          <w:sz w:val="20"/>
          <w:lang w:val="en-US" w:eastAsia="zh-CN"/>
        </w:rPr>
        <w:t>·中国古代史</w:t>
      </w:r>
      <w:r>
        <w:rPr>
          <w:rFonts w:ascii="宋体" w:hAnsi="宋体" w:eastAsia="宋体"/>
          <w:b/>
          <w:color w:val="333333"/>
          <w:sz w:val="20"/>
        </w:rPr>
        <w:t>（敦煌与中外文明项目）</w:t>
      </w:r>
      <w:bookmarkStart w:id="0" w:name="_GoBack"/>
      <w:bookmarkEnd w:id="0"/>
      <w:r>
        <w:tab/>
      </w:r>
      <w:r>
        <w:rPr>
          <w:rFonts w:ascii="宋体" w:hAnsi="宋体" w:eastAsia="宋体"/>
          <w:b w:val="0"/>
          <w:color w:val="666666"/>
          <w:sz w:val="18"/>
        </w:rPr>
        <w:t>2021.09 - 2025.06</w:t>
      </w:r>
    </w:p>
    <w:p w14:paraId="0ECE75F5">
      <w:pPr>
        <w:tabs>
          <w:tab w:val="right" w:pos="9638"/>
        </w:tabs>
        <w:spacing w:before="40" w:after="0" w:line="276" w:lineRule="auto"/>
      </w:pPr>
      <w:r>
        <w:rPr>
          <w:rFonts w:ascii="宋体" w:hAnsi="宋体" w:eastAsia="宋体"/>
          <w:b/>
          <w:color w:val="333333"/>
          <w:sz w:val="20"/>
        </w:rPr>
        <w:t>北京大学  硕士·燕京学堂·中国学（历史与考古方向）</w:t>
      </w:r>
      <w:r>
        <w:tab/>
      </w:r>
      <w:r>
        <w:rPr>
          <w:rFonts w:ascii="宋体" w:hAnsi="宋体" w:eastAsia="宋体"/>
          <w:b w:val="0"/>
          <w:color w:val="666666"/>
          <w:sz w:val="18"/>
        </w:rPr>
        <w:t>2025.09 - 2027.06</w:t>
      </w:r>
    </w:p>
    <w:p w14:paraId="406EA8AB">
      <w:pPr>
        <w:spacing w:before="0" w:after="0" w:line="276" w:lineRule="auto"/>
        <w:ind w:left="215" w:hanging="215"/>
        <w:jc w:val="both"/>
      </w:pPr>
      <w:r>
        <w:rPr>
          <w:rFonts w:ascii="宋体" w:hAnsi="宋体" w:eastAsia="宋体"/>
          <w:b w:val="0"/>
          <w:color w:val="333333"/>
          <w:sz w:val="18"/>
        </w:rPr>
        <w:t>• 绩点 3.71/4.00（本）、3.91/4.00（硕）；核心课程涵盖中国古代史、中国佛教经典选读、图像阅读、考古学通论等，系统训练文献研读与学术写作，为语文教学文本细读奠定人文根基；高考语文 136 分，持有高中语文教师资格证，雅思 7.5，燕京学堂全英文项目在读，具备跨文化阅读视野。</w:t>
      </w:r>
    </w:p>
    <w:p w14:paraId="7D8C516B">
      <w:pPr>
        <w:pBdr>
          <w:bottom w:val="single" w:color="1A477A" w:sz="4" w:space="2"/>
        </w:pBdr>
        <w:spacing w:before="100" w:after="20" w:line="276" w:lineRule="auto"/>
      </w:pPr>
      <w:r>
        <w:rPr>
          <w:rFonts w:ascii="黑体" w:hAnsi="黑体" w:eastAsia="黑体"/>
          <w:b/>
          <w:color w:val="1A477A"/>
          <w:sz w:val="22"/>
        </w:rPr>
        <w:t>实习经历</w:t>
      </w:r>
    </w:p>
    <w:p w14:paraId="4783EC44">
      <w:pPr>
        <w:tabs>
          <w:tab w:val="right" w:pos="9638"/>
        </w:tabs>
        <w:spacing w:before="40" w:after="0" w:line="276" w:lineRule="auto"/>
      </w:pPr>
      <w:r>
        <w:rPr>
          <w:rFonts w:ascii="宋体" w:hAnsi="宋体" w:eastAsia="宋体"/>
          <w:b/>
          <w:color w:val="333333"/>
          <w:sz w:val="20"/>
        </w:rPr>
        <w:t>猿辅导·斑马App  语文教研实习生</w:t>
      </w:r>
      <w:r>
        <w:tab/>
      </w:r>
      <w:r>
        <w:rPr>
          <w:rFonts w:hint="eastAsia"/>
          <w:lang w:val="en-US" w:eastAsia="zh-CN"/>
        </w:rPr>
        <w:t xml:space="preserve">  </w:t>
      </w:r>
      <w:r>
        <w:rPr>
          <w:rFonts w:ascii="宋体" w:hAnsi="宋体" w:eastAsia="宋体"/>
          <w:b w:val="0"/>
          <w:color w:val="666666"/>
          <w:sz w:val="18"/>
        </w:rPr>
        <w:t>2026.04 - 至今</w:t>
      </w:r>
    </w:p>
    <w:p w14:paraId="63C6988E">
      <w:pPr>
        <w:spacing w:before="0" w:after="0" w:line="276" w:lineRule="auto"/>
        <w:ind w:left="215" w:hanging="215"/>
        <w:jc w:val="both"/>
        <w:rPr>
          <w:rFonts w:ascii="宋体" w:hAnsi="宋体" w:eastAsia="宋体"/>
          <w:b w:val="0"/>
          <w:color w:val="333333"/>
          <w:sz w:val="18"/>
        </w:rPr>
      </w:pPr>
      <w:r>
        <w:rPr>
          <w:rFonts w:ascii="宋体" w:hAnsi="宋体" w:eastAsia="宋体"/>
          <w:b w:val="0"/>
          <w:color w:val="333333"/>
          <w:sz w:val="18"/>
        </w:rPr>
        <w:t>• 参与儿童音频内容生产全流程：依据儿童认知特点将经典名著、古诗词转化为"可听、可懂、可回味"的讲解文本，负责审核与上线，在准确性与童趣表达间反复打磨；坚持适切性+挑战性分层设计，低年级重故事韵律，高年级引入背景知识与思辨追问；开展儿童有声书市场调研，梳理竞品结构与用户互动模式，认识到学生习惯碎片化接收信息，语文教育需探索深度内容+轻量载体融合路径，积累可感知体验的一线教研经验</w:t>
      </w:r>
    </w:p>
    <w:p w14:paraId="625278DE">
      <w:pPr>
        <w:tabs>
          <w:tab w:val="right" w:pos="9638"/>
        </w:tabs>
        <w:spacing w:before="40" w:after="0" w:line="276" w:lineRule="auto"/>
        <w:rPr>
          <w:rFonts w:ascii="宋体" w:hAnsi="宋体" w:eastAsia="宋体"/>
          <w:b w:val="0"/>
          <w:color w:val="666666"/>
          <w:sz w:val="18"/>
        </w:rPr>
      </w:pPr>
      <w:r>
        <w:rPr>
          <w:rFonts w:ascii="宋体" w:hAnsi="宋体" w:eastAsia="宋体"/>
          <w:b/>
          <w:color w:val="333333"/>
          <w:sz w:val="20"/>
        </w:rPr>
        <w:t>普林斯顿大学出版社</w:t>
      </w:r>
      <w:r>
        <w:rPr>
          <w:rFonts w:hint="eastAsia"/>
          <w:b/>
          <w:color w:val="333333"/>
          <w:sz w:val="20"/>
          <w:lang w:val="en-US" w:eastAsia="zh-CN"/>
        </w:rPr>
        <w:t xml:space="preserve">                                                                                                                                    </w:t>
      </w:r>
      <w:r>
        <w:rPr>
          <w:rFonts w:hint="eastAsia" w:ascii="宋体" w:hAnsi="宋体" w:eastAsia="宋体"/>
          <w:b w:val="0"/>
          <w:color w:val="666666"/>
          <w:sz w:val="18"/>
          <w:lang w:val="en-US" w:eastAsia="zh-CN"/>
        </w:rPr>
        <w:t xml:space="preserve">   </w:t>
      </w:r>
      <w:r>
        <w:rPr>
          <w:rFonts w:ascii="宋体" w:hAnsi="宋体" w:eastAsia="宋体"/>
          <w:b w:val="0"/>
          <w:color w:val="666666"/>
          <w:sz w:val="18"/>
        </w:rPr>
        <w:t>2026.01-2026.03</w:t>
      </w:r>
    </w:p>
    <w:p w14:paraId="52D14315">
      <w:pPr>
        <w:spacing w:before="0" w:after="0" w:line="276" w:lineRule="auto"/>
        <w:ind w:left="215" w:hanging="215"/>
        <w:jc w:val="both"/>
      </w:pPr>
      <w:r>
        <w:rPr>
          <w:rFonts w:ascii="宋体" w:hAnsi="宋体" w:eastAsia="宋体"/>
          <w:b w:val="0"/>
          <w:color w:val="333333"/>
          <w:sz w:val="18"/>
        </w:rPr>
        <w:t>• 独立运营小红书官方账号，以书单策划、单本导读、热点书评进行人文内容传播，周更 2-3 条，单月曝光量增长 66%；撰写推文与视频脚本，将学术出版物转化为年轻读者可读表达，锤炼把经典与知识转化为学生愿意接近、能够消化的语言之翻译能力</w:t>
      </w:r>
    </w:p>
    <w:p w14:paraId="2FC6037F">
      <w:pPr>
        <w:pBdr>
          <w:bottom w:val="single" w:color="1A477A" w:sz="4" w:space="2"/>
        </w:pBdr>
        <w:spacing w:before="100" w:after="20" w:line="276" w:lineRule="auto"/>
      </w:pPr>
      <w:r>
        <w:rPr>
          <w:rFonts w:ascii="黑体" w:hAnsi="黑体" w:eastAsia="黑体"/>
          <w:b/>
          <w:color w:val="1A477A"/>
          <w:sz w:val="22"/>
        </w:rPr>
        <w:t>教学与实践经历</w:t>
      </w:r>
    </w:p>
    <w:p w14:paraId="5AB857E8">
      <w:pPr>
        <w:tabs>
          <w:tab w:val="right" w:pos="9638"/>
        </w:tabs>
        <w:spacing w:before="40" w:after="0" w:line="276" w:lineRule="auto"/>
      </w:pPr>
      <w:r>
        <w:rPr>
          <w:rFonts w:ascii="宋体" w:hAnsi="宋体" w:eastAsia="宋体"/>
          <w:b/>
          <w:color w:val="333333"/>
          <w:sz w:val="20"/>
        </w:rPr>
        <w:t>语文家教辅导  初中至高中一对一</w:t>
      </w:r>
      <w:r>
        <w:tab/>
      </w:r>
      <w:r>
        <w:rPr>
          <w:rFonts w:ascii="宋体" w:hAnsi="宋体" w:eastAsia="宋体"/>
          <w:b w:val="0"/>
          <w:color w:val="666666"/>
          <w:sz w:val="18"/>
        </w:rPr>
        <w:t>2021.09 - 至今</w:t>
      </w:r>
    </w:p>
    <w:p w14:paraId="438C73AB">
      <w:pPr>
        <w:spacing w:before="0" w:after="0" w:line="276" w:lineRule="auto"/>
        <w:ind w:left="215" w:hanging="215"/>
        <w:jc w:val="both"/>
      </w:pPr>
      <w:r>
        <w:rPr>
          <w:rFonts w:ascii="宋体" w:hAnsi="宋体" w:eastAsia="宋体"/>
          <w:b w:val="0"/>
          <w:color w:val="333333"/>
          <w:sz w:val="18"/>
        </w:rPr>
        <w:t>• 累计服务 20 名学生，高峰期同时辅导 8 人；入学前进行学情诊断（阅读速度、写作结构、应试策略、学习动机），为每位学生定制阶段性课程方案，薄弱学生以精读仿写夯实语感，优等生引入专题阅读与论述训练，成绩普遍提升，排名最高跃升 60%，多名学生反馈愿意主动阅读，在提分与素养培育间寻求平衡。</w:t>
      </w:r>
    </w:p>
    <w:p w14:paraId="538CF1A3">
      <w:pPr>
        <w:spacing w:before="0" w:after="0" w:line="276" w:lineRule="auto"/>
        <w:ind w:left="215" w:hanging="215"/>
        <w:jc w:val="both"/>
      </w:pPr>
      <w:r>
        <w:rPr>
          <w:rFonts w:ascii="宋体" w:hAnsi="宋体" w:eastAsia="宋体"/>
          <w:b w:val="0"/>
          <w:color w:val="333333"/>
          <w:sz w:val="18"/>
        </w:rPr>
        <w:t>• 坚持</w:t>
      </w:r>
      <w:r>
        <w:rPr>
          <w:rFonts w:hint="eastAsia"/>
          <w:b w:val="0"/>
          <w:color w:val="333333"/>
          <w:sz w:val="18"/>
          <w:lang w:eastAsia="zh-CN"/>
        </w:rPr>
        <w:t>“</w:t>
      </w:r>
      <w:r>
        <w:rPr>
          <w:rFonts w:ascii="宋体" w:hAnsi="宋体" w:eastAsia="宋体"/>
          <w:b w:val="0"/>
          <w:color w:val="333333"/>
          <w:sz w:val="18"/>
        </w:rPr>
        <w:t>分数是结果，素养是根基</w:t>
      </w:r>
      <w:r>
        <w:rPr>
          <w:rFonts w:hint="eastAsia"/>
          <w:b w:val="0"/>
          <w:color w:val="333333"/>
          <w:sz w:val="18"/>
          <w:lang w:eastAsia="zh-CN"/>
        </w:rPr>
        <w:t>”</w:t>
      </w:r>
      <w:r>
        <w:rPr>
          <w:rFonts w:ascii="宋体" w:hAnsi="宋体" w:eastAsia="宋体"/>
          <w:b w:val="0"/>
          <w:color w:val="333333"/>
          <w:sz w:val="18"/>
        </w:rPr>
        <w:t>，不牺牲阅读广度换取短期技巧，侧重阅读写作与文学素养培养，帮助学生建立可持续学习方法与表达自信，多名学生反馈愿意主动拿起书，在提分与人文积淀之间寻求平衡，</w:t>
      </w:r>
    </w:p>
    <w:p w14:paraId="14B94784">
      <w:pPr>
        <w:tabs>
          <w:tab w:val="right" w:pos="9638"/>
        </w:tabs>
        <w:spacing w:before="40" w:after="0" w:line="276" w:lineRule="auto"/>
      </w:pPr>
      <w:r>
        <w:rPr>
          <w:rFonts w:ascii="宋体" w:hAnsi="宋体" w:eastAsia="宋体"/>
          <w:b/>
          <w:color w:val="333333"/>
          <w:sz w:val="20"/>
        </w:rPr>
        <w:t>北京大学教育知行社  项目部副部长</w:t>
      </w:r>
      <w:r>
        <w:tab/>
      </w:r>
      <w:r>
        <w:rPr>
          <w:rFonts w:ascii="宋体" w:hAnsi="宋体" w:eastAsia="宋体"/>
          <w:b w:val="0"/>
          <w:color w:val="666666"/>
          <w:sz w:val="18"/>
        </w:rPr>
        <w:t>2022.09 - 2023.04</w:t>
      </w:r>
    </w:p>
    <w:p w14:paraId="556D3021">
      <w:pPr>
        <w:spacing w:before="0" w:after="0" w:line="276" w:lineRule="auto"/>
        <w:ind w:left="215" w:hanging="215"/>
        <w:jc w:val="both"/>
      </w:pPr>
      <w:r>
        <w:rPr>
          <w:rFonts w:ascii="宋体" w:hAnsi="宋体" w:eastAsia="宋体"/>
          <w:b w:val="0"/>
          <w:color w:val="333333"/>
          <w:sz w:val="18"/>
        </w:rPr>
        <w:t>• 统筹蓝信封书信与寒暑假支教，联络 70 余名志愿者与太平中学学生建立书信往来，理解学生需要被倾听、被看见的安全感；赴河北某中学支教，设计</w:t>
      </w:r>
      <w:r>
        <w:rPr>
          <w:rFonts w:hint="eastAsia"/>
          <w:b w:val="0"/>
          <w:color w:val="333333"/>
          <w:sz w:val="18"/>
          <w:lang w:eastAsia="zh-CN"/>
        </w:rPr>
        <w:t>“</w:t>
      </w:r>
      <w:r>
        <w:rPr>
          <w:rFonts w:ascii="宋体" w:hAnsi="宋体" w:eastAsia="宋体"/>
          <w:b w:val="0"/>
          <w:color w:val="333333"/>
          <w:sz w:val="18"/>
        </w:rPr>
        <w:t>基础巩固+兴趣拓展</w:t>
      </w:r>
      <w:r>
        <w:rPr>
          <w:rFonts w:hint="eastAsia"/>
          <w:b w:val="0"/>
          <w:color w:val="333333"/>
          <w:sz w:val="18"/>
          <w:lang w:eastAsia="zh-CN"/>
        </w:rPr>
        <w:t>”</w:t>
      </w:r>
      <w:r>
        <w:rPr>
          <w:rFonts w:ascii="宋体" w:hAnsi="宋体" w:eastAsia="宋体"/>
          <w:b w:val="0"/>
          <w:color w:val="333333"/>
          <w:sz w:val="18"/>
        </w:rPr>
        <w:t>双线方案，将古诗文与生活场景、地方文化联结，参与备课授课与学情反馈；口述史调研整理 10 万余字资料，获第 31 届挑战杯二等奖。</w:t>
      </w:r>
    </w:p>
    <w:p w14:paraId="271CC644">
      <w:pPr>
        <w:pBdr>
          <w:bottom w:val="single" w:color="1A477A" w:sz="4" w:space="2"/>
        </w:pBdr>
        <w:spacing w:before="100" w:after="20" w:line="276" w:lineRule="auto"/>
      </w:pPr>
      <w:r>
        <w:rPr>
          <w:rFonts w:ascii="黑体" w:hAnsi="黑体" w:eastAsia="黑体"/>
          <w:b/>
          <w:color w:val="1A477A"/>
          <w:sz w:val="22"/>
        </w:rPr>
        <w:t>学术研究</w:t>
      </w:r>
    </w:p>
    <w:p w14:paraId="0DF2EBAA">
      <w:pPr>
        <w:tabs>
          <w:tab w:val="right" w:pos="9638"/>
        </w:tabs>
        <w:spacing w:before="40" w:after="0" w:line="276" w:lineRule="auto"/>
      </w:pPr>
      <w:r>
        <w:rPr>
          <w:rFonts w:ascii="宋体" w:hAnsi="宋体" w:eastAsia="宋体"/>
          <w:b/>
          <w:color w:val="333333"/>
          <w:sz w:val="20"/>
        </w:rPr>
        <w:t xml:space="preserve">法藏敦煌文献整理小组 </w:t>
      </w:r>
      <w:r>
        <w:tab/>
      </w:r>
      <w:r>
        <w:rPr>
          <w:rFonts w:ascii="宋体" w:hAnsi="宋体" w:eastAsia="宋体"/>
          <w:b w:val="0"/>
          <w:color w:val="666666"/>
          <w:sz w:val="18"/>
        </w:rPr>
        <w:t>2024.02 - 至今</w:t>
      </w:r>
    </w:p>
    <w:p w14:paraId="006067AF">
      <w:pPr>
        <w:spacing w:before="0" w:after="0" w:line="276" w:lineRule="auto"/>
        <w:ind w:left="215" w:hanging="215"/>
        <w:jc w:val="both"/>
      </w:pPr>
      <w:r>
        <w:rPr>
          <w:rFonts w:ascii="宋体" w:hAnsi="宋体" w:eastAsia="宋体"/>
          <w:b w:val="0"/>
          <w:color w:val="333333"/>
          <w:sz w:val="18"/>
        </w:rPr>
        <w:t>• 参与法藏敦煌文献整理编目，小组已梳理逾 4000 件资料、出版图录 10 余册，严谨求证与文本细节敏感度可迁移至篇章解读；论文《呦呦鹿鸣》获学术文化节三等奖</w:t>
      </w:r>
      <w:r>
        <w:rPr>
          <w:rFonts w:hint="eastAsia"/>
          <w:b w:val="0"/>
          <w:color w:val="333333"/>
          <w:sz w:val="18"/>
          <w:lang w:eastAsia="zh-CN"/>
        </w:rPr>
        <w:t>。</w:t>
      </w:r>
      <w:r>
        <w:rPr>
          <w:rFonts w:ascii="宋体" w:hAnsi="宋体" w:eastAsia="宋体"/>
          <w:b w:val="0"/>
          <w:color w:val="333333"/>
          <w:sz w:val="18"/>
        </w:rPr>
        <w:t>将壁画考古成果编织为故事线，让学术走向公众，与语文沉浸式阅读教学相通。</w:t>
      </w:r>
    </w:p>
    <w:p w14:paraId="225AFF93">
      <w:pPr>
        <w:pBdr>
          <w:bottom w:val="single" w:color="1A477A" w:sz="4" w:space="2"/>
        </w:pBdr>
        <w:spacing w:before="100" w:after="20" w:line="276" w:lineRule="auto"/>
      </w:pPr>
      <w:r>
        <w:rPr>
          <w:rFonts w:ascii="黑体" w:hAnsi="黑体" w:eastAsia="黑体"/>
          <w:b/>
          <w:color w:val="1A477A"/>
          <w:sz w:val="22"/>
        </w:rPr>
        <w:t>荣誉奖励</w:t>
      </w:r>
    </w:p>
    <w:p w14:paraId="33BB1B92">
      <w:pPr>
        <w:spacing w:before="20" w:after="0" w:line="276" w:lineRule="auto"/>
        <w:jc w:val="both"/>
        <w:rPr>
          <w:rFonts w:hint="eastAsia" w:eastAsia="宋体"/>
          <w:lang w:eastAsia="zh-CN"/>
        </w:rPr>
      </w:pPr>
      <w:r>
        <w:rPr>
          <w:rFonts w:ascii="宋体" w:hAnsi="宋体" w:eastAsia="宋体"/>
          <w:b w:val="0"/>
          <w:color w:val="333333"/>
          <w:sz w:val="18"/>
        </w:rPr>
        <w:t>北京大学优秀毕业生、优秀学生干部、十佳志愿者标兵｜第 31 届挑战杯二等奖</w:t>
      </w:r>
      <w:r>
        <w:rPr>
          <w:rFonts w:hint="eastAsia"/>
          <w:b w:val="0"/>
          <w:color w:val="333333"/>
          <w:sz w:val="18"/>
          <w:lang w:eastAsia="zh-CN"/>
        </w:rPr>
        <w:t>《</w:t>
      </w:r>
      <w:r>
        <w:rPr>
          <w:rFonts w:ascii="宋体" w:hAnsi="宋体" w:eastAsia="宋体"/>
          <w:b w:val="0"/>
          <w:color w:val="333333"/>
          <w:sz w:val="18"/>
        </w:rPr>
        <w:t>支教团口述史研究</w:t>
      </w:r>
      <w:r>
        <w:rPr>
          <w:rFonts w:hint="eastAsia"/>
          <w:b w:val="0"/>
          <w:color w:val="333333"/>
          <w:sz w:val="18"/>
          <w:lang w:eastAsia="zh-CN"/>
        </w:rPr>
        <w:t>》</w:t>
      </w:r>
      <w:r>
        <w:rPr>
          <w:rFonts w:ascii="宋体" w:hAnsi="宋体" w:eastAsia="宋体"/>
          <w:b w:val="0"/>
          <w:color w:val="333333"/>
          <w:sz w:val="18"/>
        </w:rPr>
        <w:t>｜学术文化节三等奖《呦呦鹿鸣：从印度到中国的鹿形象》｜课程优秀论文奖《冥府絮语——〈吉尔伽美什史诗〉再创作》，综合体现扎实学业功底、科研素养与人文综合能力与全面发展的综合素养与特长水平</w:t>
      </w:r>
      <w:r>
        <w:rPr>
          <w:rFonts w:hint="eastAsia"/>
          <w:b w:val="0"/>
          <w:color w:val="333333"/>
          <w:sz w:val="18"/>
          <w:lang w:eastAsia="zh-CN"/>
        </w:rPr>
        <w:t>。</w:t>
      </w:r>
    </w:p>
    <w:p w14:paraId="071817DB">
      <w:pPr>
        <w:pBdr>
          <w:bottom w:val="single" w:color="1A477A" w:sz="4" w:space="2"/>
        </w:pBdr>
        <w:spacing w:before="100" w:after="20" w:line="276" w:lineRule="auto"/>
      </w:pPr>
      <w:r>
        <w:rPr>
          <w:rFonts w:ascii="黑体" w:hAnsi="黑体" w:eastAsia="黑体"/>
          <w:b/>
          <w:color w:val="1A477A"/>
          <w:sz w:val="22"/>
        </w:rPr>
        <w:t>自我评价</w:t>
      </w:r>
    </w:p>
    <w:p w14:paraId="376E46E9">
      <w:pPr>
        <w:spacing w:before="0" w:after="0" w:line="276" w:lineRule="auto"/>
        <w:ind w:left="215" w:hanging="215"/>
        <w:jc w:val="both"/>
        <w:rPr>
          <w:rFonts w:hint="eastAsia" w:eastAsia="宋体"/>
          <w:lang w:eastAsia="zh-CN"/>
        </w:rPr>
      </w:pPr>
      <w:r>
        <w:rPr>
          <w:rFonts w:ascii="宋体" w:hAnsi="宋体" w:eastAsia="宋体"/>
          <w:b w:val="0"/>
          <w:color w:val="333333"/>
          <w:sz w:val="18"/>
        </w:rPr>
        <w:t>• 文史功底扎实，高考语文 136 分，持有高中语文教资，擅长文本细读、写作指导与文学赏析；四年家教、支教与教研经历，熟悉初高中认知特点，善于学情诊断与个性化方案设计；我认为新教培时代，学生最需要的不仅是分数，更是在 AI 与信息过载背景下培养思辨力与表达自信，让语文课堂连接经典与生活、知识</w:t>
      </w:r>
      <w:r>
        <w:rPr>
          <w:rFonts w:hint="eastAsia"/>
          <w:b w:val="0"/>
          <w:color w:val="333333"/>
          <w:sz w:val="18"/>
          <w:lang w:eastAsia="zh-CN"/>
        </w:rPr>
        <w:t>。</w:t>
      </w:r>
    </w:p>
    <w:sectPr>
      <w:pgSz w:w="12240" w:h="15840"/>
      <w:pgMar w:top="567" w:right="907" w:bottom="510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5F35D1"/>
    <w:rsid w:val="5BD62BCB"/>
    <w:rsid w:val="6C36F8C7"/>
    <w:rsid w:val="77CB7BE5"/>
    <w:rsid w:val="DFE1C73A"/>
    <w:rsid w:val="F777A468"/>
    <w:rsid w:val="F7FE19BB"/>
    <w:rsid w:val="FD5AB75C"/>
    <w:rsid w:val="FDD7D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color w:val="333333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儷宋 Pro" w:hAnsi="儷宋 Pro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儷宋 Pro" w:hAnsi="儷宋 Pro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1354</Words>
  <Characters>1529</Characters>
  <Lines>0</Lines>
  <Paragraphs>0</Paragraphs>
  <TotalTime>6</TotalTime>
  <ScaleCrop>false</ScaleCrop>
  <LinksUpToDate>false</LinksUpToDate>
  <CharactersWithSpaces>1764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韦润芃</cp:lastModifiedBy>
  <dcterms:modified xsi:type="dcterms:W3CDTF">2026-06-10T20:06:52Z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EAD369B1A0ED36ACB151296ABDFAB906_42</vt:lpwstr>
  </property>
</Properties>
</file>