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293B"/>
          <w:sz w:val="56"/>
        </w:rPr>
        <w:t>SHRFLOW EMAIL ENGINE</w:t>
      </w:r>
    </w:p>
    <w:p>
      <w:pPr>
        <w:spacing w:after="480"/>
        <w:jc w:val="center"/>
      </w:pPr>
      <w:r>
        <w:rPr>
          <w:rFonts w:ascii="Arial" w:hAnsi="Arial"/>
          <w:color w:val="475569"/>
          <w:sz w:val="32"/>
        </w:rPr>
        <w:t>Platform Telemetry, SMTP Bounce Science, and Machine Learning Analytics</w:t>
      </w:r>
    </w:p>
    <w:p/>
    <w:p/>
    <w:p/>
    <w:p/>
    <w:p/>
    <w:p/>
    <w:p/>
    <w:p/>
    <w:p>
      <w:pPr>
        <w:spacing w:after="120"/>
        <w:jc w:val="center"/>
      </w:pPr>
      <w:r>
        <w:rPr>
          <w:rFonts w:ascii="Calibri" w:hAnsi="Calibri"/>
          <w:color w:val="64748B"/>
          <w:sz w:val="22"/>
        </w:rPr>
        <w:t>Prepared by:</w:t>
      </w:r>
    </w:p>
    <w:p>
      <w:pPr>
        <w:spacing w:after="120"/>
        <w:jc w:val="center"/>
      </w:pPr>
      <w:r>
        <w:rPr>
          <w:rFonts w:ascii="Calibri" w:hAnsi="Calibri"/>
          <w:color w:val="64748B"/>
          <w:sz w:val="22"/>
        </w:rPr>
        <w:t>Vinay · Meghana · Manikanta · Mahendar · Aarya Nandan</w:t>
      </w:r>
    </w:p>
    <w:p>
      <w:pPr>
        <w:spacing w:after="120"/>
        <w:jc w:val="center"/>
      </w:pPr>
      <w:r>
        <w:rPr>
          <w:rFonts w:ascii="Calibri" w:hAnsi="Calibri"/>
          <w:color w:val="64748B"/>
          <w:sz w:val="22"/>
        </w:rPr>
        <w:t>Document Classification: System Architecture &amp; Presentation Reference Manual</w:t>
      </w:r>
    </w:p>
    <w:p>
      <w:pPr>
        <w:spacing w:after="120"/>
        <w:jc w:val="center"/>
      </w:pPr>
      <w:r>
        <w:rPr>
          <w:rFonts w:ascii="Calibri" w:hAnsi="Calibri"/>
          <w:color w:val="64748B"/>
          <w:sz w:val="22"/>
        </w:rPr>
        <w:t>Release Version: 1.0.0 (Stable Production)</w:t>
      </w:r>
    </w:p>
    <w:p>
      <w:pPr>
        <w:spacing w:after="120"/>
        <w:jc w:val="center"/>
      </w:pPr>
      <w:r>
        <w:rPr>
          <w:rFonts w:ascii="Calibri" w:hAnsi="Calibri"/>
          <w:color w:val="64748B"/>
          <w:sz w:val="22"/>
        </w:rPr>
        <w:t>Release Date: May 2026</w:t>
      </w:r>
    </w:p>
    <w:p>
      <w:pPr>
        <w:spacing w:after="120"/>
        <w:jc w:val="center"/>
      </w:pPr>
      <w:r>
        <w:rPr>
          <w:rFonts w:ascii="Calibri" w:hAnsi="Calibri"/>
          <w:color w:val="64748B"/>
          <w:sz w:val="22"/>
        </w:rPr>
        <w:t>Copyright © 2026 ShrFlow. All rights reserved.</w:t>
      </w:r>
    </w:p>
    <w:p>
      <w:r>
        <w:br w:type="page"/>
      </w:r>
    </w:p>
    <w:p>
      <w:pPr>
        <w:keepNext/>
        <w:spacing w:before="480" w:after="160"/>
      </w:pPr>
      <w:r>
        <w:rPr>
          <w:rFonts w:ascii="Arial" w:hAnsi="Arial"/>
          <w:b/>
          <w:color w:val="0F172A"/>
          <w:sz w:val="36"/>
        </w:rPr>
        <w:t>1. Executive Summary &amp; Telemetry Pipeline</w:t>
      </w:r>
    </w:p>
    <w:p>
      <w:pPr>
        <w:spacing w:after="160" w:line="276" w:lineRule="auto"/>
      </w:pPr>
      <w:r>
        <w:rPr>
          <w:rFonts w:ascii="Calibri" w:hAnsi="Calibri"/>
          <w:color w:val="334155"/>
          <w:sz w:val="22"/>
        </w:rPr>
        <w:t>Modern enterprise communication requires more than simple batch sending; it demands deep statistical visibility, real-time monitoring, and automatic deliverability protection to ensure that sent emails reach the recipient inboxes. ShrFlow is a self-hosted email engine designed to support high-performance campaign delivery with built-in multi-tenant isolation, real-time telemetry pipelines, and predictive analytics model structures. This document serves as the official project submission engineering manual and 20-minute presentation reference script for our developer team.</w:t>
      </w:r>
    </w:p>
    <w:p>
      <w:pPr>
        <w:keepNext/>
        <w:spacing w:before="320" w:after="120"/>
      </w:pPr>
      <w:r>
        <w:rPr>
          <w:rFonts w:ascii="Arial" w:hAnsi="Arial"/>
          <w:b/>
          <w:color w:val="1E293B"/>
          <w:sz w:val="28"/>
        </w:rPr>
        <w:t>1.1 Core Telemetry &amp; Ingestion Architecture</w:t>
      </w:r>
    </w:p>
    <w:p>
      <w:pPr>
        <w:spacing w:after="160" w:line="276" w:lineRule="auto"/>
      </w:pPr>
      <w:r>
        <w:rPr>
          <w:rFonts w:ascii="Calibri" w:hAnsi="Calibri"/>
          <w:color w:val="334155"/>
          <w:sz w:val="22"/>
        </w:rPr>
        <w:t>To deliver accurate, live interaction statistics, the platform captures every lifecycle transition of an outbound email. The tracking workflow begins before the message is ever sent, during the template pre-compilation phase. Sending thousands of emails simultaneously can create intense traffic spikes. To handle this, the backend decouples campaign launching from SMTP transmission. The API creates a Campaign row in PostgreSQL and generates PENDING rows in the campaign_dispatch table for every contact, publishing these tasks to a dedicated RabbitMQ queue. Persistent worker processes consume tasks, format payloads, and update statuses to DISPATCHED or FAILED.</w:t>
      </w:r>
    </w:p>
    <w:p>
      <w:pPr>
        <w:keepNext/>
        <w:spacing w:before="320" w:after="120"/>
      </w:pPr>
      <w:r>
        <w:rPr>
          <w:rFonts w:ascii="Arial" w:hAnsi="Arial"/>
          <w:b/>
          <w:color w:val="1E293B"/>
          <w:sz w:val="28"/>
        </w:rPr>
        <w:t>1.2 The Database &amp; Event Recording System</w:t>
      </w:r>
    </w:p>
    <w:p>
      <w:pPr>
        <w:spacing w:after="160" w:line="276" w:lineRule="auto"/>
      </w:pPr>
      <w:r>
        <w:rPr>
          <w:rFonts w:ascii="Calibri" w:hAnsi="Calibri"/>
          <w:color w:val="334155"/>
          <w:sz w:val="22"/>
        </w:rPr>
        <w:t>Every telemetry interaction — opens, clicks, bounces, unsubscribes — is recorded in a centralized relational model. The email_events table holds granular attributes: event_type, contact_id, dispatch_id, source, ip_address, user_agent, is_bot, click_x, and click_y. This allows the system to aggregate rates in real time. We implement strict indexes on campaign_id + event_type (on email_events) and campaign_id + status (on campaign_dispatch) to guarantee that our complex analytics and smart insights queries resolve in under 5 milliseconds.</w:t>
      </w:r>
    </w:p>
    <w:p>
      <w:r>
        <w:br w:type="page"/>
      </w:r>
    </w:p>
    <w:p>
      <w:pPr>
        <w:keepNext/>
        <w:spacing w:before="480" w:after="160"/>
      </w:pPr>
      <w:r>
        <w:rPr>
          <w:rFonts w:ascii="Arial" w:hAnsi="Arial"/>
          <w:b/>
          <w:color w:val="0F172A"/>
          <w:sz w:val="36"/>
        </w:rPr>
        <w:t>2. Presenter 1: Vinay — Core Ingestion, Open Rates &amp; Chatbot</w:t>
      </w:r>
    </w:p>
    <w:p>
      <w:pPr>
        <w:keepNext/>
        <w:spacing w:before="320" w:after="120"/>
      </w:pPr>
      <w:r>
        <w:rPr>
          <w:rFonts w:ascii="Arial" w:hAnsi="Arial"/>
          <w:b/>
          <w:color w:val="1E293B"/>
          <w:sz w:val="28"/>
        </w:rPr>
        <w:t>2.1 Sent, Failed, and Total Telemetry Calculations</w:t>
      </w:r>
    </w:p>
    <w:p>
      <w:pPr>
        <w:spacing w:after="160" w:line="276" w:lineRule="auto"/>
      </w:pPr>
      <w:r>
        <w:rPr>
          <w:rFonts w:ascii="Calibri" w:hAnsi="Calibri"/>
          <w:color w:val="334155"/>
          <w:sz w:val="22"/>
        </w:rPr>
        <w:t>The baseline telemetry of a campaign is computed by verifying campaign ownership and running counting queries against the dispatch log. The metrics are defined as:</w:t>
      </w:r>
    </w:p>
    <w:p>
      <w:pPr>
        <w:pStyle w:val="ListBullet"/>
        <w:spacing w:after="80"/>
        <w:ind w:left="360"/>
      </w:pPr>
      <w:r>
        <w:rPr>
          <w:rFonts w:ascii="Calibri" w:hAnsi="Calibri"/>
          <w:b/>
          <w:color w:val="1E293B"/>
          <w:sz w:val="22"/>
        </w:rPr>
        <w:t xml:space="preserve">Sent: </w:t>
      </w:r>
      <w:r>
        <w:rPr>
          <w:rFonts w:ascii="Calibri" w:hAnsi="Calibri"/>
          <w:color w:val="334155"/>
          <w:sz w:val="22"/>
        </w:rPr>
        <w:t>The total number of dispatches successfully hand-off to the mail server. Query reads from campaign_dispatch where status = 'DISPATCHED'.</w:t>
      </w:r>
    </w:p>
    <w:p>
      <w:pPr>
        <w:pStyle w:val="ListBullet"/>
        <w:spacing w:after="80"/>
        <w:ind w:left="360"/>
      </w:pPr>
      <w:r>
        <w:rPr>
          <w:rFonts w:ascii="Calibri" w:hAnsi="Calibri"/>
          <w:b/>
          <w:color w:val="1E293B"/>
          <w:sz w:val="22"/>
        </w:rPr>
        <w:t xml:space="preserve">Failed: </w:t>
      </w:r>
      <w:r>
        <w:rPr>
          <w:rFonts w:ascii="Calibri" w:hAnsi="Calibri"/>
          <w:color w:val="334155"/>
          <w:sz w:val="22"/>
        </w:rPr>
        <w:t>The count of immediate SMTP handshake or socket failures. Query reads from campaign_dispatch where status = 'FAILED'.</w:t>
      </w:r>
    </w:p>
    <w:p>
      <w:pPr>
        <w:pStyle w:val="ListBullet"/>
        <w:spacing w:after="80"/>
        <w:ind w:left="360"/>
      </w:pPr>
      <w:r>
        <w:rPr>
          <w:rFonts w:ascii="Calibri" w:hAnsi="Calibri"/>
          <w:b/>
          <w:color w:val="1E293B"/>
          <w:sz w:val="22"/>
        </w:rPr>
        <w:t xml:space="preserve">Total Attempted: </w:t>
      </w:r>
      <w:r>
        <w:rPr>
          <w:rFonts w:ascii="Calibri" w:hAnsi="Calibri"/>
          <w:color w:val="334155"/>
          <w:sz w:val="22"/>
        </w:rPr>
        <w:t>The cumulative sum of attempted dispatches (Sent + Failed).</w:t>
      </w:r>
    </w:p>
    <w:p>
      <w:pPr>
        <w:pStyle w:val="ListBullet"/>
        <w:spacing w:after="80"/>
        <w:ind w:left="360"/>
      </w:pPr>
      <w:r>
        <w:rPr>
          <w:rFonts w:ascii="Calibri" w:hAnsi="Calibri"/>
          <w:b/>
          <w:color w:val="1E293B"/>
          <w:sz w:val="22"/>
        </w:rPr>
        <w:t xml:space="preserve">Bounce Rate: </w:t>
      </w:r>
      <w:r>
        <w:rPr>
          <w:rFonts w:ascii="Calibri" w:hAnsi="Calibri"/>
          <w:color w:val="334155"/>
          <w:sz w:val="22"/>
        </w:rPr>
        <w:t>Calculated as (Bounces / Total Attempted) * 100.</w:t>
      </w:r>
    </w:p>
    <w:p>
      <w:pPr>
        <w:keepNext/>
        <w:spacing w:before="320" w:after="120"/>
      </w:pPr>
      <w:r>
        <w:rPr>
          <w:rFonts w:ascii="Arial" w:hAnsi="Arial"/>
          <w:b/>
          <w:color w:val="1E293B"/>
          <w:sz w:val="28"/>
        </w:rPr>
        <w:t>2.2 Open Rate Logic &amp; Bot Protection Filters</w:t>
      </w:r>
    </w:p>
    <w:p>
      <w:pPr>
        <w:spacing w:after="160" w:line="276" w:lineRule="auto"/>
      </w:pPr>
      <w:r>
        <w:rPr>
          <w:rFonts w:ascii="Calibri" w:hAnsi="Calibri"/>
          <w:color w:val="334155"/>
          <w:sz w:val="22"/>
        </w:rPr>
        <w:t>The open rate is the percentage of unique human subscribers who open an email. During pre-compilation in email_handler.py, the worker appends a hidden 1x1 transparent pixel GIF just before the closing body tag. The image sources our tracking gateway API, carrying the dispatch ID and a secure HMAC signature. This signature ensures the ID is valid and prevents tampering.</w:t>
      </w:r>
    </w:p>
    <w:p>
      <w:pPr>
        <w:spacing w:after="160" w:line="276" w:lineRule="auto"/>
      </w:pPr>
      <w:r>
        <w:rPr>
          <w:rFonts w:ascii="Calibri" w:hAnsi="Calibri"/>
          <w:color w:val="334155"/>
          <w:sz w:val="22"/>
        </w:rPr>
        <w:t>When the recipient's mail client loads the HTML, it triggers a GET request to our server. The server verifies the signature, classifies the traffic source, and returns the transparent image bytes. To prevent image-caching, we send strict cache-control headers. To prevent image pre-loaders (such as Apple MPP or Gmail Image Proxy) from skewing human engagement statistics, we check the request's IP address and User-Agent against a database of known proxies, flagging automated hits as is_bot = True. The open rate calculation deduplicates duplicate opens by keeping only the first open event per dispatch ID.</w:t>
      </w:r>
    </w:p>
    <w:p>
      <w:pPr>
        <w:keepNext/>
        <w:spacing w:before="320" w:after="120"/>
      </w:pPr>
      <w:r>
        <w:rPr>
          <w:rFonts w:ascii="Arial" w:hAnsi="Arial"/>
          <w:b/>
          <w:color w:val="1E293B"/>
          <w:sz w:val="28"/>
        </w:rPr>
        <w:t>2.3 No-Key Conversational AI Chatbot</w:t>
      </w:r>
    </w:p>
    <w:p>
      <w:pPr>
        <w:spacing w:after="160" w:line="276" w:lineRule="auto"/>
      </w:pPr>
      <w:r>
        <w:rPr>
          <w:rFonts w:ascii="Calibri" w:hAnsi="Calibri"/>
          <w:color w:val="334155"/>
          <w:sz w:val="22"/>
        </w:rPr>
        <w:t>The floating chatbot assistant lets users query live analytics in plain English. Rather than using expensive LLM APIs (which require keys, introduce latency, and cost money), the chat system parses queries locally using keyword-token extraction. It detects terms like 'open', 'click', 'bounce', and 'contact', then queries the database for the active tenant to return live statistics and recommendations (e.g., suggesting better call-to-actions when click rates are low).</w:t>
      </w:r>
    </w:p>
    <w:p>
      <w:pPr>
        <w:keepNext/>
        <w:spacing w:before="320" w:after="120"/>
      </w:pPr>
      <w:r>
        <w:rPr>
          <w:rFonts w:ascii="Arial" w:hAnsi="Arial"/>
          <w:b/>
          <w:color w:val="1E293B"/>
          <w:sz w:val="28"/>
        </w:rPr>
        <w:t>2.4 Developer Code Path Reference</w:t>
      </w:r>
    </w:p>
    <w:p>
      <w:pPr>
        <w:pStyle w:val="ListBullet"/>
        <w:spacing w:after="80"/>
        <w:ind w:left="360"/>
      </w:pPr>
      <w:r>
        <w:rPr>
          <w:rFonts w:ascii="Calibri" w:hAnsi="Calibri"/>
          <w:color w:val="334155"/>
          <w:sz w:val="22"/>
        </w:rPr>
        <w:t>Open Tracking Endpoint: GET /analytics/track/open/{dispatch_id} in platform/api/routes/tracking.py</w:t>
      </w:r>
    </w:p>
    <w:p>
      <w:pPr>
        <w:pStyle w:val="ListBullet"/>
        <w:spacing w:after="80"/>
        <w:ind w:left="360"/>
      </w:pPr>
      <w:r>
        <w:rPr>
          <w:rFonts w:ascii="Calibri" w:hAnsi="Calibri"/>
          <w:color w:val="334155"/>
          <w:sz w:val="22"/>
        </w:rPr>
        <w:t>Pixel Injection Function: _inject_tracking_pixel in platform/worker/handlers/email_handler.py</w:t>
      </w:r>
    </w:p>
    <w:p>
      <w:pPr>
        <w:pStyle w:val="ListBullet"/>
        <w:spacing w:after="80"/>
        <w:ind w:left="360"/>
      </w:pPr>
      <w:r>
        <w:rPr>
          <w:rFonts w:ascii="Calibri" w:hAnsi="Calibri"/>
          <w:color w:val="334155"/>
          <w:sz w:val="22"/>
        </w:rPr>
        <w:t>Chatbot API Endpoint: POST /analytics/chat in platform/api/routes/analytics.py</w:t>
      </w:r>
    </w:p>
    <w:p>
      <w:pPr>
        <w:pStyle w:val="ListBullet"/>
        <w:spacing w:after="80"/>
        <w:ind w:left="360"/>
      </w:pPr>
      <w:r>
        <w:rPr>
          <w:rFonts w:ascii="Calibri" w:hAnsi="Calibri"/>
          <w:color w:val="334155"/>
          <w:sz w:val="22"/>
        </w:rPr>
        <w:t>Chatbot Frontend: platform/client/src/components/analytics/AIChatbot.tsx</w:t>
      </w:r>
    </w:p>
    <w:p>
      <w:pPr>
        <w:spacing w:before="200" w:after="80"/>
      </w:pPr>
      <w:r>
        <w:rPr>
          <w:rFonts w:ascii="Arial" w:hAnsi="Arial"/>
          <w:b/>
          <w:color w:val="0E7490"/>
          <w:sz w:val="22"/>
        </w:rPr>
        <w:t>🖥️ UI Demo Steps — Vinay (Core Ingestion, Open Rates &amp; Chatbot)</w:t>
      </w:r>
    </w:p>
    <w:p>
      <w:pPr>
        <w:pStyle w:val="ListBullet"/>
        <w:spacing w:after="80"/>
        <w:ind w:left="360"/>
      </w:pPr>
      <w:r>
        <w:rPr>
          <w:rFonts w:ascii="Calibri" w:hAnsi="Calibri"/>
          <w:color w:val="334155"/>
          <w:sz w:val="22"/>
        </w:rPr>
        <w:t>Navigate to the main Dashboard showing 'Sent', 'Failed', and 'Open Rate' metrics.</w:t>
      </w:r>
    </w:p>
    <w:p>
      <w:pPr>
        <w:pStyle w:val="ListBullet"/>
        <w:spacing w:after="80"/>
        <w:ind w:left="360"/>
      </w:pPr>
      <w:r>
        <w:rPr>
          <w:rFonts w:ascii="Calibri" w:hAnsi="Calibri"/>
          <w:color w:val="334155"/>
          <w:sz w:val="22"/>
        </w:rPr>
        <w:t>Click the floating Chatbot icon in the bottom right corner of the dashboard.</w:t>
      </w:r>
    </w:p>
    <w:p>
      <w:pPr>
        <w:pStyle w:val="ListBullet"/>
        <w:spacing w:after="80"/>
        <w:ind w:left="360"/>
      </w:pPr>
      <w:r>
        <w:rPr>
          <w:rFonts w:ascii="Calibri" w:hAnsi="Calibri"/>
          <w:color w:val="334155"/>
          <w:sz w:val="22"/>
        </w:rPr>
        <w:t>Type 'What is my open rate?' and demonstrate the immediate, database-driven response.</w:t>
      </w:r>
    </w:p>
    <w:p>
      <w:pPr>
        <w:pStyle w:val="ListBullet"/>
        <w:spacing w:after="80"/>
        <w:ind w:left="360"/>
      </w:pPr>
      <w:r>
        <w:rPr>
          <w:rFonts w:ascii="Calibri" w:hAnsi="Calibri"/>
          <w:color w:val="334155"/>
          <w:sz w:val="22"/>
        </w:rPr>
        <w:t>Type 'Explain my bounces' and highlight the breakdown of hard and soft failures.</w:t>
      </w:r>
    </w:p>
    <w:p>
      <w:pPr>
        <w:spacing w:before="160" w:after="160" w:line="276" w:lineRule="auto"/>
        <w:ind w:left="360" w:right="360"/>
      </w:pPr>
      <w:r>
        <w:rPr>
          <w:rFonts w:ascii="Georgia" w:hAnsi="Georgia"/>
          <w:i/>
          <w:color w:val="64748B"/>
          <w:sz w:val="22"/>
        </w:rPr>
        <w:t>"Good morning, judges. My name is Vinay. I am responsible for the telemetry ingestion pipeline, open-rate calculations, and our self-hosted AI Chatbot. When a campaign launches, our worker generates dispatch records. To track opens, we inject a hidden 1x1 pixel image with an HMAC signature. When the recipient opens the email, their client loads the image. We check their IP and User-Agent string to filter out automated proxy views (like Gmail or Apple Mail Privacy Protection). This gives us clean, unique open rates. Finally, our local chatbot lets users query these metrics in plain English without external API dependencies. Next, Meghana will discuss coordinate heatmaps."</w:t>
      </w:r>
    </w:p>
    <w:p>
      <w:r>
        <w:br w:type="page"/>
      </w:r>
    </w:p>
    <w:p>
      <w:pPr>
        <w:keepNext/>
        <w:spacing w:before="480" w:after="160"/>
      </w:pPr>
      <w:r>
        <w:rPr>
          <w:rFonts w:ascii="Arial" w:hAnsi="Arial"/>
          <w:b/>
          <w:color w:val="0F172A"/>
          <w:sz w:val="36"/>
        </w:rPr>
        <w:t>3. Presenter 2: Meghana — Heatmaps, Unsubscribes &amp; Insights</w:t>
      </w:r>
    </w:p>
    <w:p>
      <w:pPr>
        <w:keepNext/>
        <w:spacing w:before="320" w:after="120"/>
      </w:pPr>
      <w:r>
        <w:rPr>
          <w:rFonts w:ascii="Arial" w:hAnsi="Arial"/>
          <w:b/>
          <w:color w:val="1E293B"/>
          <w:sz w:val="28"/>
        </w:rPr>
        <w:t>3.1 Click Coordinate Capture &amp; Heatmap Overlay</w:t>
      </w:r>
    </w:p>
    <w:p>
      <w:pPr>
        <w:spacing w:after="160" w:line="276" w:lineRule="auto"/>
      </w:pPr>
      <w:r>
        <w:rPr>
          <w:rFonts w:ascii="Calibri" w:hAnsi="Calibri"/>
          <w:color w:val="334155"/>
          <w:sz w:val="22"/>
        </w:rPr>
        <w:t>Measuring clicks indicates engagement, but mapping click locations shows how layout drives interaction. During link wrapping, we capture relative coordinate clicks within the template. The API endpoint /track/click extracts click_x and click_y coordinates from the query string and saves them. The frontend aggregates these coordinates to render a coordinate heatmap overlay on the campaign detail page, helping marketers design higher-converting templates.</w:t>
      </w:r>
    </w:p>
    <w:p>
      <w:pPr>
        <w:keepNext/>
        <w:spacing w:before="320" w:after="120"/>
      </w:pPr>
      <w:r>
        <w:rPr>
          <w:rFonts w:ascii="Arial" w:hAnsi="Arial"/>
          <w:b/>
          <w:color w:val="1E293B"/>
          <w:sz w:val="28"/>
        </w:rPr>
        <w:t>3.2 Compliant Unsubscribe Engine &amp; Dynamic HMAC Tokens</w:t>
      </w:r>
    </w:p>
    <w:p>
      <w:pPr>
        <w:spacing w:after="160" w:line="276" w:lineRule="auto"/>
      </w:pPr>
      <w:r>
        <w:rPr>
          <w:rFonts w:ascii="Calibri" w:hAnsi="Calibri"/>
          <w:color w:val="334155"/>
          <w:sz w:val="22"/>
        </w:rPr>
        <w:t>Under GDPR and CAN-SPAM regulations, an unsubscribe link is mandatory. We use secure, signed unsubscribe tokens. The background worker generates an unsubscribe token by combining the contact_id and campaign_id and signing them with HMAC-SHA256 using our server secret.</w:t>
      </w:r>
    </w:p>
    <w:p>
      <w:pPr>
        <w:spacing w:after="160" w:line="276" w:lineRule="auto"/>
      </w:pPr>
      <w:r>
        <w:rPr>
          <w:rFonts w:ascii="Calibri" w:hAnsi="Calibri"/>
          <w:color w:val="334155"/>
          <w:sz w:val="22"/>
        </w:rPr>
        <w:t>When clicked, the /unsubscribe route verifies the signature. If valid, it updates the contact status to 'unsubscribed' and records the unsubscribe event. Future campaigns filter out these contacts automatically by injecting a status check in the query.</w:t>
      </w:r>
    </w:p>
    <w:p>
      <w:pPr>
        <w:keepNext/>
        <w:spacing w:before="320" w:after="120"/>
      </w:pPr>
      <w:r>
        <w:rPr>
          <w:rFonts w:ascii="Arial" w:hAnsi="Arial"/>
          <w:b/>
          <w:color w:val="1E293B"/>
          <w:sz w:val="28"/>
        </w:rPr>
        <w:t>3.3 Smart Insights &amp; Anomaly Detection Algorithm</w:t>
      </w:r>
    </w:p>
    <w:p>
      <w:pPr>
        <w:spacing w:after="160" w:line="276" w:lineRule="auto"/>
      </w:pPr>
      <w:r>
        <w:rPr>
          <w:rFonts w:ascii="Calibri" w:hAnsi="Calibri"/>
          <w:color w:val="334155"/>
          <w:sz w:val="22"/>
        </w:rPr>
        <w:t>The smart insights engine evaluates historical campaign performance to identify anomalies and suggest improvements. It generates three types of alerts:</w:t>
      </w:r>
    </w:p>
    <w:p>
      <w:pPr>
        <w:pStyle w:val="ListBullet"/>
        <w:spacing w:after="80"/>
        <w:ind w:left="360"/>
      </w:pPr>
      <w:r>
        <w:rPr>
          <w:rFonts w:ascii="Calibri" w:hAnsi="Calibri"/>
          <w:b/>
          <w:color w:val="1E293B"/>
          <w:sz w:val="22"/>
        </w:rPr>
        <w:t xml:space="preserve">Optimal Send Time: </w:t>
      </w:r>
      <w:r>
        <w:rPr>
          <w:rFonts w:ascii="Calibri" w:hAnsi="Calibri"/>
          <w:color w:val="334155"/>
          <w:sz w:val="22"/>
        </w:rPr>
        <w:t>Suggests specific days and hours to send emails based on the tenant's historical open events.</w:t>
      </w:r>
    </w:p>
    <w:p>
      <w:pPr>
        <w:pStyle w:val="ListBullet"/>
        <w:spacing w:after="80"/>
        <w:ind w:left="360"/>
      </w:pPr>
      <w:r>
        <w:rPr>
          <w:rFonts w:ascii="Calibri" w:hAnsi="Calibri"/>
          <w:b/>
          <w:color w:val="1E293B"/>
          <w:sz w:val="22"/>
        </w:rPr>
        <w:t xml:space="preserve">Baseline Comparison: </w:t>
      </w:r>
      <w:r>
        <w:rPr>
          <w:rFonts w:ascii="Calibri" w:hAnsi="Calibri"/>
          <w:color w:val="334155"/>
          <w:sz w:val="22"/>
        </w:rPr>
        <w:t>Compares the latest campaign's open rate against the average of the last 9 campaigns. If it drops by &gt;2%, it flags a warning; if it rises, it suggests analyzing the subject line.</w:t>
      </w:r>
    </w:p>
    <w:p>
      <w:pPr>
        <w:pStyle w:val="ListBullet"/>
        <w:spacing w:after="80"/>
        <w:ind w:left="360"/>
      </w:pPr>
      <w:r>
        <w:rPr>
          <w:rFonts w:ascii="Calibri" w:hAnsi="Calibri"/>
          <w:b/>
          <w:color w:val="1E293B"/>
          <w:sz w:val="22"/>
        </w:rPr>
        <w:t xml:space="preserve">Bounce Anomalies: </w:t>
      </w:r>
      <w:r>
        <w:rPr>
          <w:rFonts w:ascii="Calibri" w:hAnsi="Calibri"/>
          <w:color w:val="334155"/>
          <w:sz w:val="22"/>
        </w:rPr>
        <w:t>Flags a high-priority warning if the campaign bounce rate reaches or exceeds 5%, suggesting list cleaning and domain validation.</w:t>
      </w:r>
    </w:p>
    <w:p>
      <w:pPr>
        <w:keepNext/>
        <w:spacing w:before="320" w:after="120"/>
      </w:pPr>
      <w:r>
        <w:rPr>
          <w:rFonts w:ascii="Arial" w:hAnsi="Arial"/>
          <w:b/>
          <w:color w:val="1E293B"/>
          <w:sz w:val="28"/>
        </w:rPr>
        <w:t>3.4 Developer Code Path Reference</w:t>
      </w:r>
    </w:p>
    <w:p>
      <w:pPr>
        <w:pStyle w:val="ListBullet"/>
        <w:spacing w:after="80"/>
        <w:ind w:left="360"/>
      </w:pPr>
      <w:r>
        <w:rPr>
          <w:rFonts w:ascii="Calibri" w:hAnsi="Calibri"/>
          <w:color w:val="334155"/>
          <w:sz w:val="22"/>
        </w:rPr>
        <w:t>Click Route: GET /analytics/track/click in platform/api/routes/tracking.py</w:t>
      </w:r>
    </w:p>
    <w:p>
      <w:pPr>
        <w:pStyle w:val="ListBullet"/>
        <w:spacing w:after="80"/>
        <w:ind w:left="360"/>
      </w:pPr>
      <w:r>
        <w:rPr>
          <w:rFonts w:ascii="Calibri" w:hAnsi="Calibri"/>
          <w:color w:val="334155"/>
          <w:sz w:val="22"/>
        </w:rPr>
        <w:t>Unsubscribe Route: GET /unsubscribe in platform/api/routes/unsubscribe.py</w:t>
      </w:r>
    </w:p>
    <w:p>
      <w:pPr>
        <w:pStyle w:val="ListBullet"/>
        <w:spacing w:after="80"/>
        <w:ind w:left="360"/>
      </w:pPr>
      <w:r>
        <w:rPr>
          <w:rFonts w:ascii="Calibri" w:hAnsi="Calibri"/>
          <w:color w:val="334155"/>
          <w:sz w:val="22"/>
        </w:rPr>
        <w:t>Smart Insights Endpoint: GET /analytics/smart-insights in platform/api/routes/analytics.py</w:t>
      </w:r>
    </w:p>
    <w:p>
      <w:pPr>
        <w:pStyle w:val="ListBullet"/>
        <w:spacing w:after="80"/>
        <w:ind w:left="360"/>
      </w:pPr>
      <w:r>
        <w:rPr>
          <w:rFonts w:ascii="Calibri" w:hAnsi="Calibri"/>
          <w:color w:val="334155"/>
          <w:sz w:val="22"/>
        </w:rPr>
        <w:t>Smart Insights UI: platform/client/src/components/analytics/SmartInsights.tsx</w:t>
      </w:r>
    </w:p>
    <w:p>
      <w:pPr>
        <w:spacing w:before="200" w:after="80"/>
      </w:pPr>
      <w:r>
        <w:rPr>
          <w:rFonts w:ascii="Arial" w:hAnsi="Arial"/>
          <w:b/>
          <w:color w:val="0E7490"/>
          <w:sz w:val="22"/>
        </w:rPr>
        <w:t>🖥️ UI Demo Steps — Meghana (Heatmaps, Unsubscribes &amp; Insights)</w:t>
      </w:r>
    </w:p>
    <w:p>
      <w:pPr>
        <w:pStyle w:val="ListBullet"/>
        <w:spacing w:after="80"/>
        <w:ind w:left="360"/>
      </w:pPr>
      <w:r>
        <w:rPr>
          <w:rFonts w:ascii="Calibri" w:hAnsi="Calibri"/>
          <w:color w:val="334155"/>
          <w:sz w:val="22"/>
        </w:rPr>
        <w:t>Open a completed campaign's analytics page.</w:t>
      </w:r>
    </w:p>
    <w:p>
      <w:pPr>
        <w:pStyle w:val="ListBullet"/>
        <w:spacing w:after="80"/>
        <w:ind w:left="360"/>
      </w:pPr>
      <w:r>
        <w:rPr>
          <w:rFonts w:ascii="Calibri" w:hAnsi="Calibri"/>
          <w:color w:val="334155"/>
          <w:sz w:val="22"/>
        </w:rPr>
        <w:t>Hover over the click coordinates display to show where users clicked on the template.</w:t>
      </w:r>
    </w:p>
    <w:p>
      <w:pPr>
        <w:pStyle w:val="ListBullet"/>
        <w:spacing w:after="80"/>
        <w:ind w:left="360"/>
      </w:pPr>
      <w:r>
        <w:rPr>
          <w:rFonts w:ascii="Calibri" w:hAnsi="Calibri"/>
          <w:color w:val="334155"/>
          <w:sz w:val="22"/>
        </w:rPr>
        <w:t>Show the 'Smart Insights' widget on the dashboard, explaining the send-time recommendation.</w:t>
      </w:r>
    </w:p>
    <w:p>
      <w:pPr>
        <w:pStyle w:val="ListBullet"/>
        <w:spacing w:after="80"/>
        <w:ind w:left="360"/>
      </w:pPr>
      <w:r>
        <w:rPr>
          <w:rFonts w:ascii="Calibri" w:hAnsi="Calibri"/>
          <w:color w:val="334155"/>
          <w:sz w:val="22"/>
        </w:rPr>
        <w:t>Show an unsubscribe confirmation in action and its reflection in the audience table.</w:t>
      </w:r>
    </w:p>
    <w:p>
      <w:pPr>
        <w:spacing w:before="160" w:after="160" w:line="276" w:lineRule="auto"/>
        <w:ind w:left="360" w:right="360"/>
      </w:pPr>
      <w:r>
        <w:rPr>
          <w:rFonts w:ascii="Georgia" w:hAnsi="Georgia"/>
          <w:i/>
          <w:color w:val="64748B"/>
          <w:sz w:val="22"/>
        </w:rPr>
        <w:t>"Hello, my name is Meghana. I will present our click coordinate heatmaps, secure unsubscribe loop, and the Smart Insights engine. We track the exact coordinates where subscribers click inside our emails. We save these coordinates to render a click heatmap overlay, showing which design blocks get the most engagement. To ensure privacy compliance, we generate secure unsubscribe links using HMAC-SHA256 signatures. Clicking the link instantly updates the database to exclude that contact from future sends. Finally, our Smart Insights engine monitors delivery quality, automatically flagging high bounce rates or changes in open rates compared to historical averages. Next, Manikanta will present our forecasting models."</w:t>
      </w:r>
    </w:p>
    <w:p>
      <w:r>
        <w:br w:type="page"/>
      </w:r>
    </w:p>
    <w:p>
      <w:pPr>
        <w:keepNext/>
        <w:spacing w:before="480" w:after="160"/>
      </w:pPr>
      <w:r>
        <w:rPr>
          <w:rFonts w:ascii="Arial" w:hAnsi="Arial"/>
          <w:b/>
          <w:color w:val="0F172A"/>
          <w:sz w:val="36"/>
        </w:rPr>
        <w:t>4. Presenter 3: Manikanta — Predictive Analytics &amp; Click Redirects</w:t>
      </w:r>
    </w:p>
    <w:p>
      <w:pPr>
        <w:keepNext/>
        <w:spacing w:before="320" w:after="120"/>
      </w:pPr>
      <w:r>
        <w:rPr>
          <w:rFonts w:ascii="Arial" w:hAnsi="Arial"/>
          <w:b/>
          <w:color w:val="1E293B"/>
          <w:sz w:val="28"/>
        </w:rPr>
        <w:t>4.1 Time-Series Predictive Forecasting via WMA</w:t>
      </w:r>
    </w:p>
    <w:p>
      <w:pPr>
        <w:spacing w:after="160" w:line="276" w:lineRule="auto"/>
      </w:pPr>
      <w:r>
        <w:rPr>
          <w:rFonts w:ascii="Calibri" w:hAnsi="Calibri"/>
          <w:color w:val="334155"/>
          <w:sz w:val="22"/>
        </w:rPr>
        <w:t>The predictive analytics layer evaluates historical campaigns to forecast future performance, helping senders improve their marketing strategies. The /analytics/predictive endpoint calculates expected open and click rates for the next campaign. The engine pulls data from up to the last 10 campaigns and computes a moving average where recent campaigns are weighted more heavily, ensuring that recent shifts in subscriber behavior are reflected.</w:t>
      </w:r>
    </w:p>
    <w:p>
      <w:pPr>
        <w:keepNext/>
        <w:spacing w:before="320" w:after="120"/>
      </w:pPr>
      <w:r>
        <w:rPr>
          <w:rFonts w:ascii="Arial" w:hAnsi="Arial"/>
          <w:b/>
          <w:color w:val="1E293B"/>
          <w:sz w:val="28"/>
        </w:rPr>
        <w:t>4.2 Trend Slope Classification &amp; Statistical Confidence</w:t>
      </w:r>
    </w:p>
    <w:p>
      <w:pPr>
        <w:spacing w:after="160" w:line="276" w:lineRule="auto"/>
      </w:pPr>
      <w:r>
        <w:rPr>
          <w:rFonts w:ascii="Calibri" w:hAnsi="Calibri"/>
          <w:color w:val="334155"/>
          <w:sz w:val="22"/>
        </w:rPr>
        <w:t>The forecasting model compares the performance of the oldest campaign in the series against the most recent to determine the overall engagement trend. The slope is classified into one of three trends:</w:t>
      </w:r>
    </w:p>
    <w:p>
      <w:pPr>
        <w:pStyle w:val="ListBullet"/>
        <w:spacing w:after="80"/>
        <w:ind w:left="360"/>
      </w:pPr>
      <w:r>
        <w:rPr>
          <w:rFonts w:ascii="Calibri" w:hAnsi="Calibri"/>
          <w:b/>
          <w:color w:val="1E293B"/>
          <w:sz w:val="22"/>
        </w:rPr>
        <w:t xml:space="preserve">Upward Trend: </w:t>
      </w:r>
      <w:r>
        <w:rPr>
          <w:rFonts w:ascii="Calibri" w:hAnsi="Calibri"/>
          <w:color w:val="334155"/>
          <w:sz w:val="22"/>
        </w:rPr>
        <w:t>Average engagement is growing by &gt; 1% (e.g., due to improving list quality).</w:t>
      </w:r>
    </w:p>
    <w:p>
      <w:pPr>
        <w:pStyle w:val="ListBullet"/>
        <w:spacing w:after="80"/>
        <w:ind w:left="360"/>
      </w:pPr>
      <w:r>
        <w:rPr>
          <w:rFonts w:ascii="Calibri" w:hAnsi="Calibri"/>
          <w:b/>
          <w:color w:val="1E293B"/>
          <w:sz w:val="22"/>
        </w:rPr>
        <w:t xml:space="preserve">Downward Trend: </w:t>
      </w:r>
      <w:r>
        <w:rPr>
          <w:rFonts w:ascii="Calibri" w:hAnsi="Calibri"/>
          <w:color w:val="334155"/>
          <w:sz w:val="22"/>
        </w:rPr>
        <w:t>Average engagement is dropping by &gt; 1% (warning the sender of potential list fatigue).</w:t>
      </w:r>
    </w:p>
    <w:p>
      <w:pPr>
        <w:pStyle w:val="ListBullet"/>
        <w:spacing w:after="80"/>
        <w:ind w:left="360"/>
      </w:pPr>
      <w:r>
        <w:rPr>
          <w:rFonts w:ascii="Calibri" w:hAnsi="Calibri"/>
          <w:b/>
          <w:color w:val="1E293B"/>
          <w:sz w:val="22"/>
        </w:rPr>
        <w:t xml:space="preserve">Stable Trend: </w:t>
      </w:r>
      <w:r>
        <w:rPr>
          <w:rFonts w:ascii="Calibri" w:hAnsi="Calibri"/>
          <w:color w:val="334155"/>
          <w:sz w:val="22"/>
        </w:rPr>
        <w:t>Performance is flat, staying within a +/- 1% range.</w:t>
      </w:r>
    </w:p>
    <w:p>
      <w:pPr>
        <w:spacing w:after="160" w:line="276" w:lineRule="auto"/>
      </w:pPr>
      <w:r>
        <w:rPr>
          <w:rFonts w:ascii="Calibri" w:hAnsi="Calibri"/>
          <w:color w:val="334155"/>
          <w:sz w:val="22"/>
        </w:rPr>
        <w:t>Forecasting accuracy depends on data volume. To reflect this, the model calculates a confidence score based on the number of sent campaigns: starting at 65% for a single campaign and scaling up to 92% once a history of 8 or more campaigns is established. This ensures administrators understand the statistical reliability of the predictions.</w:t>
      </w:r>
    </w:p>
    <w:p>
      <w:pPr>
        <w:keepNext/>
        <w:spacing w:before="320" w:after="120"/>
      </w:pPr>
      <w:r>
        <w:rPr>
          <w:rFonts w:ascii="Arial" w:hAnsi="Arial"/>
          <w:b/>
          <w:color w:val="1E293B"/>
          <w:sz w:val="28"/>
        </w:rPr>
        <w:t>4.3 Low-Latency Click Tracking &amp; Redirect Gateway</w:t>
      </w:r>
    </w:p>
    <w:p>
      <w:pPr>
        <w:spacing w:after="160" w:line="276" w:lineRule="auto"/>
      </w:pPr>
      <w:r>
        <w:rPr>
          <w:rFonts w:ascii="Calibri" w:hAnsi="Calibri"/>
          <w:color w:val="334155"/>
          <w:sz w:val="22"/>
        </w:rPr>
        <w:t>Link click tracking is implemented by rewriting all links inside the email body to route through our /track/click endpoint. The original URL is base64url-encoded and signed with an HMAC signature. When clicked, the server logs the click event and returns an HTTP 302 'Found' redirect response to send the browser to the real destination URL in less than 50 milliseconds.</w:t>
      </w:r>
    </w:p>
    <w:p>
      <w:pPr>
        <w:spacing w:after="160" w:line="276" w:lineRule="auto"/>
      </w:pPr>
      <w:r>
        <w:rPr>
          <w:rFonts w:ascii="Calibri" w:hAnsi="Calibri"/>
          <w:color w:val="334155"/>
          <w:sz w:val="22"/>
        </w:rPr>
        <w:t>To prevent automated security scanners from inflating click rates, we check if a click occurs within 2 seconds of the open event. If the click happens instantly after the open, it's flagged as an automated scanner and marked as a bot click.</w:t>
      </w:r>
    </w:p>
    <w:p>
      <w:pPr>
        <w:keepNext/>
        <w:spacing w:before="320" w:after="120"/>
      </w:pPr>
      <w:r>
        <w:rPr>
          <w:rFonts w:ascii="Arial" w:hAnsi="Arial"/>
          <w:b/>
          <w:color w:val="1E293B"/>
          <w:sz w:val="28"/>
        </w:rPr>
        <w:t>4.4 Developer Code Path Reference</w:t>
      </w:r>
    </w:p>
    <w:p>
      <w:pPr>
        <w:pStyle w:val="ListBullet"/>
        <w:spacing w:after="80"/>
        <w:ind w:left="360"/>
      </w:pPr>
      <w:r>
        <w:rPr>
          <w:rFonts w:ascii="Calibri" w:hAnsi="Calibri"/>
          <w:color w:val="334155"/>
          <w:sz w:val="22"/>
        </w:rPr>
        <w:t>Predictive API Endpoint: GET /analytics/predictive in platform/api/routes/analytics.py</w:t>
      </w:r>
    </w:p>
    <w:p>
      <w:pPr>
        <w:pStyle w:val="ListBullet"/>
        <w:spacing w:after="80"/>
        <w:ind w:left="360"/>
      </w:pPr>
      <w:r>
        <w:rPr>
          <w:rFonts w:ascii="Calibri" w:hAnsi="Calibri"/>
          <w:color w:val="334155"/>
          <w:sz w:val="22"/>
        </w:rPr>
        <w:t>Click Gateway Endpoint: GET /analytics/track/click in platform/api/routes/tracking.py</w:t>
      </w:r>
    </w:p>
    <w:p>
      <w:pPr>
        <w:pStyle w:val="ListBullet"/>
        <w:spacing w:after="80"/>
        <w:ind w:left="360"/>
      </w:pPr>
      <w:r>
        <w:rPr>
          <w:rFonts w:ascii="Calibri" w:hAnsi="Calibri"/>
          <w:color w:val="334155"/>
          <w:sz w:val="22"/>
        </w:rPr>
        <w:t>Predictive UI: platform/client/src/components/analytics/PredictiveAnalytics.tsx</w:t>
      </w:r>
    </w:p>
    <w:p>
      <w:pPr>
        <w:spacing w:before="200" w:after="80"/>
      </w:pPr>
      <w:r>
        <w:rPr>
          <w:rFonts w:ascii="Arial" w:hAnsi="Arial"/>
          <w:b/>
          <w:color w:val="0E7490"/>
          <w:sz w:val="22"/>
        </w:rPr>
        <w:t>🖥️ UI Demo Steps — Manikanta (Predictive Analytics &amp; Click Redirects)</w:t>
      </w:r>
    </w:p>
    <w:p>
      <w:pPr>
        <w:pStyle w:val="ListBullet"/>
        <w:spacing w:after="80"/>
        <w:ind w:left="360"/>
      </w:pPr>
      <w:r>
        <w:rPr>
          <w:rFonts w:ascii="Calibri" w:hAnsi="Calibri"/>
          <w:color w:val="334155"/>
          <w:sz w:val="22"/>
        </w:rPr>
        <w:t>Navigate to the 'Predictive Analytics' card on the main dashboard tab.</w:t>
      </w:r>
    </w:p>
    <w:p>
      <w:pPr>
        <w:pStyle w:val="ListBullet"/>
        <w:spacing w:after="80"/>
        <w:ind w:left="360"/>
      </w:pPr>
      <w:r>
        <w:rPr>
          <w:rFonts w:ascii="Calibri" w:hAnsi="Calibri"/>
          <w:color w:val="334155"/>
          <w:sz w:val="22"/>
        </w:rPr>
        <w:t>Explain the three ring gauges: Expected Open Rate, Expected Click Rate, and Model Confidence.</w:t>
      </w:r>
    </w:p>
    <w:p>
      <w:pPr>
        <w:pStyle w:val="ListBullet"/>
        <w:spacing w:after="80"/>
        <w:ind w:left="360"/>
      </w:pPr>
      <w:r>
        <w:rPr>
          <w:rFonts w:ascii="Calibri" w:hAnsi="Calibri"/>
          <w:color w:val="334155"/>
          <w:sz w:val="22"/>
        </w:rPr>
        <w:t>Highlight the Trend Indicator box (Upward/Downward/Stable) based on campaign history.</w:t>
      </w:r>
    </w:p>
    <w:p>
      <w:pPr>
        <w:pStyle w:val="ListBullet"/>
        <w:spacing w:after="80"/>
        <w:ind w:left="360"/>
      </w:pPr>
      <w:r>
        <w:rPr>
          <w:rFonts w:ascii="Calibri" w:hAnsi="Calibri"/>
          <w:color w:val="334155"/>
          <w:sz w:val="22"/>
        </w:rPr>
        <w:t>Demonstrate clicking a link in a test email and show the fast, under-50ms redirect.</w:t>
      </w:r>
    </w:p>
    <w:p>
      <w:pPr>
        <w:spacing w:before="160" w:after="160" w:line="276" w:lineRule="auto"/>
        <w:ind w:left="360" w:right="360"/>
      </w:pPr>
      <w:r>
        <w:rPr>
          <w:rFonts w:ascii="Georgia" w:hAnsi="Georgia"/>
          <w:i/>
          <w:color w:val="64748B"/>
          <w:sz w:val="22"/>
        </w:rPr>
        <w:t>"Good morning, my name is Manikanta. I will present our Predictive Analytics forecasting models, engagement trend classifications, and the low-latency click redirect gateway. Our predictive analytics engine forecasts how your next email campaign will perform. By pulling data from up to the last ten campaigns, our algorithm calculates the expected open and click rates. We also calculate a dynamic confidence score based on your sending history—starting at 65% for new accounts and scaling up to 92% as more data is collected. To track engagement trends, the engine analyzes the performance slope across campaigns. If user interaction rates improve by more than 1%, it reports an 'Upward Trend'. If interaction drops by more than 1%, it warns the marketer of potential audience fatigue. Finally, click tracking is handled by our redirect gateway. The original URL is base64-encoded and secured with an HMAC signature. When clicked, the server logs the event and redirects the subscriber using an HTTP 302 response in under 50 milliseconds. To prevent automated security scanners from inflating click rates, we flag clicks that occur within 2 seconds of the open event as bot traffic. Next, Mahendar will present our bounce processing architecture."</w:t>
      </w:r>
    </w:p>
    <w:p>
      <w:r>
        <w:br w:type="page"/>
      </w:r>
    </w:p>
    <w:p>
      <w:pPr>
        <w:keepNext/>
        <w:spacing w:before="480" w:after="160"/>
      </w:pPr>
      <w:r>
        <w:rPr>
          <w:rFonts w:ascii="Arial" w:hAnsi="Arial"/>
          <w:b/>
          <w:color w:val="0F172A"/>
          <w:sz w:val="36"/>
        </w:rPr>
        <w:t>5. Presenter 4: Mahendar — Subscriber Intelligence &amp; Bounce Science</w:t>
      </w:r>
    </w:p>
    <w:p>
      <w:pPr>
        <w:keepNext/>
        <w:spacing w:before="320" w:after="120"/>
      </w:pPr>
      <w:r>
        <w:rPr>
          <w:rFonts w:ascii="Arial" w:hAnsi="Arial"/>
          <w:b/>
          <w:color w:val="1E293B"/>
          <w:sz w:val="28"/>
        </w:rPr>
        <w:t>5.1 Subscriber Intelligence &amp; Behavioral Segmentation</w:t>
      </w:r>
    </w:p>
    <w:p>
      <w:pPr>
        <w:spacing w:after="160" w:line="276" w:lineRule="auto"/>
      </w:pPr>
      <w:r>
        <w:rPr>
          <w:rFonts w:ascii="Calibri" w:hAnsi="Calibri"/>
          <w:color w:val="334155"/>
          <w:sz w:val="22"/>
        </w:rPr>
        <w:t>A healthy email list is segmented by engagement. The Subscriber Intelligence engine groups the contact base dynamically based on their interaction history, helping senders target active users and re-engage inactive ones. The backend route /subscriber-intelligence scans the database to group subscribers into three engagement tiers:</w:t>
      </w:r>
    </w:p>
    <w:p>
      <w:pPr>
        <w:pStyle w:val="ListBullet"/>
        <w:spacing w:after="80"/>
        <w:ind w:left="360"/>
      </w:pPr>
      <w:r>
        <w:rPr>
          <w:rFonts w:ascii="Calibri" w:hAnsi="Calibri"/>
          <w:b/>
          <w:color w:val="1E293B"/>
          <w:sz w:val="22"/>
        </w:rPr>
        <w:t xml:space="preserve">Highly Engaged: </w:t>
      </w:r>
      <w:r>
        <w:rPr>
          <w:rFonts w:ascii="Calibri" w:hAnsi="Calibri"/>
          <w:color w:val="334155"/>
          <w:sz w:val="22"/>
        </w:rPr>
        <w:t>Contact has &gt;= 3 recorded open/click events. Recommended strategy: Target with promotional offers, reviews, and loyalty rewards.</w:t>
      </w:r>
    </w:p>
    <w:p>
      <w:pPr>
        <w:pStyle w:val="ListBullet"/>
        <w:spacing w:after="80"/>
        <w:ind w:left="360"/>
      </w:pPr>
      <w:r>
        <w:rPr>
          <w:rFonts w:ascii="Calibri" w:hAnsi="Calibri"/>
          <w:b/>
          <w:color w:val="1E293B"/>
          <w:sz w:val="22"/>
        </w:rPr>
        <w:t xml:space="preserve">Moderately Engaged: </w:t>
      </w:r>
      <w:r>
        <w:rPr>
          <w:rFonts w:ascii="Calibri" w:hAnsi="Calibri"/>
          <w:color w:val="334155"/>
          <w:sz w:val="22"/>
        </w:rPr>
        <w:t>Contact has 1 or 2 open/click events. Recommended strategy: Send regular newsletters and surveys to build brand affinity.</w:t>
      </w:r>
    </w:p>
    <w:p>
      <w:pPr>
        <w:pStyle w:val="ListBullet"/>
        <w:spacing w:after="80"/>
        <w:ind w:left="360"/>
      </w:pPr>
      <w:r>
        <w:rPr>
          <w:rFonts w:ascii="Calibri" w:hAnsi="Calibri"/>
          <w:b/>
          <w:color w:val="1E293B"/>
          <w:sz w:val="22"/>
        </w:rPr>
        <w:t xml:space="preserve">Inactive List: </w:t>
      </w:r>
      <w:r>
        <w:rPr>
          <w:rFonts w:ascii="Calibri" w:hAnsi="Calibri"/>
          <w:color w:val="334155"/>
          <w:sz w:val="22"/>
        </w:rPr>
        <w:t>Contact has 0 open/click events in database. Recommended strategy: Run a win-back re-engagement campaign, or purge to protect reputation.</w:t>
      </w:r>
    </w:p>
    <w:p>
      <w:pPr>
        <w:keepNext/>
        <w:spacing w:before="320" w:after="120"/>
      </w:pPr>
      <w:r>
        <w:rPr>
          <w:rFonts w:ascii="Arial" w:hAnsi="Arial"/>
          <w:b/>
          <w:color w:val="1E293B"/>
          <w:sz w:val="28"/>
        </w:rPr>
        <w:t>5.2 Hard Bounces vs. Soft Bounces (Deliverability Science)</w:t>
      </w:r>
    </w:p>
    <w:p>
      <w:pPr>
        <w:spacing w:after="160" w:line="276" w:lineRule="auto"/>
      </w:pPr>
      <w:r>
        <w:rPr>
          <w:rFonts w:ascii="Calibri" w:hAnsi="Calibri"/>
          <w:color w:val="334155"/>
          <w:sz w:val="22"/>
        </w:rPr>
        <w:t>Bounces are categorized into two types based on the permanence of the delivery failure: hard bounces and soft bounces. Hard bounces (5xx SMTP Codes) are permanent delivery failures. These occur when an email address does not exist, the domain is invalid, or the recipient server has blocked the sender. Hard bounces are critical deliverability threats and must be managed immediately. Soft bounces (4xx SMTP Codes) are temporary delivery failures. These occur when a recipient's inbox is full, their mail server is temporarily down, or the message exceeds file size limits. The system will retry sending to soft-bouncing addresses for up to 72 hours before marking them as failed.</w:t>
      </w:r>
    </w:p>
    <w:p>
      <w:pPr>
        <w:keepNext/>
        <w:spacing w:before="320" w:after="120"/>
      </w:pPr>
      <w:r>
        <w:rPr>
          <w:rFonts w:ascii="Arial" w:hAnsi="Arial"/>
          <w:b/>
          <w:color w:val="1E293B"/>
          <w:sz w:val="28"/>
        </w:rPr>
        <w:t>5.3 Webhook Event Processing &amp; Suppression Lists</w:t>
      </w:r>
    </w:p>
    <w:p>
      <w:pPr>
        <w:spacing w:after="160" w:line="276" w:lineRule="auto"/>
      </w:pPr>
      <w:r>
        <w:rPr>
          <w:rFonts w:ascii="Calibri" w:hAnsi="Calibri"/>
          <w:color w:val="334155"/>
          <w:sz w:val="22"/>
        </w:rPr>
        <w:t>When an email bounces, the recipient's mail server sends a bounce notification to the SMTP delivery relay. The relay processes this bounce and fires a POST webhook request to the platform's webhook endpoint /webhooks/delivery. The FastAPI server parses this webhook payload, extracts the bounce code and description, and inserts a 'bounce' event row into email_events, linking it to the campaign and contact. To protect sender reputation, hard-bouncing contacts must never be emailed again. When a 'bounce' event is recorded, a database trigger or worker process updates the contact's status in the contacts table to 'bounced' or 'unsubscribed'. Future campaign queries filter out these contacts automatically: .eq('status', 'active').</w:t>
      </w:r>
    </w:p>
    <w:p>
      <w:pPr>
        <w:keepNext/>
        <w:spacing w:before="320" w:after="120"/>
      </w:pPr>
      <w:r>
        <w:rPr>
          <w:rFonts w:ascii="Arial" w:hAnsi="Arial"/>
          <w:b/>
          <w:color w:val="1E293B"/>
          <w:sz w:val="28"/>
        </w:rPr>
        <w:t>5.4 Developer Code Path Reference</w:t>
      </w:r>
    </w:p>
    <w:p>
      <w:pPr>
        <w:pStyle w:val="ListBullet"/>
        <w:spacing w:after="80"/>
        <w:ind w:left="360"/>
      </w:pPr>
      <w:r>
        <w:rPr>
          <w:rFonts w:ascii="Calibri" w:hAnsi="Calibri"/>
          <w:color w:val="334155"/>
          <w:sz w:val="22"/>
        </w:rPr>
        <w:t>Subscriber Intelligence API: GET /analytics/subscriber-intelligence in platform/api/routes/analytics.py</w:t>
      </w:r>
    </w:p>
    <w:p>
      <w:pPr>
        <w:pStyle w:val="ListBullet"/>
        <w:spacing w:after="80"/>
        <w:ind w:left="360"/>
      </w:pPr>
      <w:r>
        <w:rPr>
          <w:rFonts w:ascii="Calibri" w:hAnsi="Calibri"/>
          <w:color w:val="334155"/>
          <w:sz w:val="22"/>
        </w:rPr>
        <w:t>Webhook Route: POST /webhooks/delivery in platform/api/routes/webhooks.py</w:t>
      </w:r>
    </w:p>
    <w:p>
      <w:pPr>
        <w:pStyle w:val="ListBullet"/>
        <w:spacing w:after="80"/>
        <w:ind w:left="360"/>
      </w:pPr>
      <w:r>
        <w:rPr>
          <w:rFonts w:ascii="Calibri" w:hAnsi="Calibri"/>
          <w:color w:val="334155"/>
          <w:sz w:val="22"/>
        </w:rPr>
        <w:t>Subscriber Intelligence Component: platform/client/src/components/analytics/SubscriberIntelligence.tsx</w:t>
      </w:r>
    </w:p>
    <w:p>
      <w:pPr>
        <w:spacing w:before="200" w:after="80"/>
      </w:pPr>
      <w:r>
        <w:rPr>
          <w:rFonts w:ascii="Arial" w:hAnsi="Arial"/>
          <w:b/>
          <w:color w:val="0E7490"/>
          <w:sz w:val="22"/>
        </w:rPr>
        <w:t>🖥️ UI Demo Steps — Mahendar (Subscriber Intelligence &amp; Bounce Science)</w:t>
      </w:r>
    </w:p>
    <w:p>
      <w:pPr>
        <w:pStyle w:val="ListBullet"/>
        <w:spacing w:after="80"/>
        <w:ind w:left="360"/>
      </w:pPr>
      <w:r>
        <w:rPr>
          <w:rFonts w:ascii="Calibri" w:hAnsi="Calibri"/>
          <w:color w:val="334155"/>
          <w:sz w:val="22"/>
        </w:rPr>
        <w:t>Point to the 'Subscriber Intelligence' widget on the dashboard.</w:t>
      </w:r>
    </w:p>
    <w:p>
      <w:pPr>
        <w:pStyle w:val="ListBullet"/>
        <w:spacing w:after="80"/>
        <w:ind w:left="360"/>
      </w:pPr>
      <w:r>
        <w:rPr>
          <w:rFonts w:ascii="Calibri" w:hAnsi="Calibri"/>
          <w:color w:val="334155"/>
          <w:sz w:val="22"/>
        </w:rPr>
        <w:t>Demonstrate the stacked color bar representing highly, moderately, and inactive segments.</w:t>
      </w:r>
    </w:p>
    <w:p>
      <w:pPr>
        <w:pStyle w:val="ListBullet"/>
        <w:spacing w:after="80"/>
        <w:ind w:left="360"/>
      </w:pPr>
      <w:r>
        <w:rPr>
          <w:rFonts w:ascii="Calibri" w:hAnsi="Calibri"/>
          <w:color w:val="334155"/>
          <w:sz w:val="22"/>
        </w:rPr>
        <w:t>Show the campaign bounce logs and explain how 5xx codes trigger automatic suppression.</w:t>
      </w:r>
    </w:p>
    <w:p>
      <w:pPr>
        <w:pStyle w:val="ListBullet"/>
        <w:spacing w:after="80"/>
        <w:ind w:left="360"/>
      </w:pPr>
      <w:r>
        <w:rPr>
          <w:rFonts w:ascii="Calibri" w:hAnsi="Calibri"/>
          <w:color w:val="334155"/>
          <w:sz w:val="22"/>
        </w:rPr>
        <w:t>Show how 4xx errors are queued in RabbitMQ for retries.</w:t>
      </w:r>
    </w:p>
    <w:p>
      <w:pPr>
        <w:spacing w:before="160" w:after="160" w:line="276" w:lineRule="auto"/>
        <w:ind w:left="360" w:right="360"/>
      </w:pPr>
      <w:r>
        <w:rPr>
          <w:rFonts w:ascii="Georgia" w:hAnsi="Georgia"/>
          <w:i/>
          <w:color w:val="64748B"/>
          <w:sz w:val="22"/>
        </w:rPr>
        <w:t>"Good morning, my name is Mahendar, and I will discuss our Subscriber Intelligence engine and the details of our bounce processing architecture. Our subscriber intelligence model monitors user activity. By analyzing the interaction history in our database, it segments subscribers in real time into three categories: Highly Engaged, Moderately Engaged, and Inactive. This segmentation is displayed as a stacked bar chart on the dashboard, letting senders easily target their most active users or run re-engagement campaigns. Managing bounces is critical for protecting domain reputation. We process bounces by analyzing raw SMTP codes. A 5xx error indicates a permanent failure (like a non-existent email address). The system immediately flags these contacts as 'bounced' in the database and suppresses them from future sends. A 4xx error indicates a temporary failure, such as a full mailbox. Instead of failing the delivery, the system places the message in a RabbitMQ retry queue with an exponential backoff, retrying the delivery for up to 72 hours. This helps maximize successful deliveries without risking blocklists. Next, Aarya Nandan will present our send-time heatmap."</w:t>
      </w:r>
    </w:p>
    <w:p>
      <w:r>
        <w:br w:type="page"/>
      </w:r>
    </w:p>
    <w:p>
      <w:pPr>
        <w:keepNext/>
        <w:spacing w:before="480" w:after="160"/>
      </w:pPr>
      <w:r>
        <w:rPr>
          <w:rFonts w:ascii="Arial" w:hAnsi="Arial"/>
          <w:b/>
          <w:color w:val="0F172A"/>
          <w:sz w:val="36"/>
        </w:rPr>
        <w:t>6. Presenter 5: Aarya Nandan — Optimal Send Time Heatmap</w:t>
      </w:r>
    </w:p>
    <w:p>
      <w:pPr>
        <w:keepNext/>
        <w:spacing w:before="320" w:after="120"/>
      </w:pPr>
      <w:r>
        <w:rPr>
          <w:rFonts w:ascii="Arial" w:hAnsi="Arial"/>
          <w:b/>
          <w:color w:val="1E293B"/>
          <w:sz w:val="28"/>
        </w:rPr>
        <w:t>6.1 Heatmap Concept &amp; Value</w:t>
      </w:r>
    </w:p>
    <w:p>
      <w:pPr>
        <w:spacing w:after="160" w:line="276" w:lineRule="auto"/>
      </w:pPr>
      <w:r>
        <w:rPr>
          <w:rFonts w:ascii="Calibri" w:hAnsi="Calibri"/>
          <w:color w:val="334155"/>
          <w:sz w:val="22"/>
        </w:rPr>
        <w:t>Email open rates are highly dependent on the day and time of delivery. To optimize this, the platform provides an interactive engagement heatmap visualizing when a tenant's subscribers are most active.</w:t>
      </w:r>
    </w:p>
    <w:p>
      <w:pPr>
        <w:keepNext/>
        <w:spacing w:before="320" w:after="120"/>
      </w:pPr>
      <w:r>
        <w:rPr>
          <w:rFonts w:ascii="Arial" w:hAnsi="Arial"/>
          <w:b/>
          <w:color w:val="1E293B"/>
          <w:sz w:val="28"/>
        </w:rPr>
        <w:t>6.2 Data Ingestion &amp; 7x24 Matrix Binning</w:t>
      </w:r>
    </w:p>
    <w:p>
      <w:pPr>
        <w:spacing w:after="160" w:line="276" w:lineRule="auto"/>
      </w:pPr>
      <w:r>
        <w:rPr>
          <w:rFonts w:ascii="Calibri" w:hAnsi="Calibri"/>
          <w:color w:val="334155"/>
          <w:sz w:val="22"/>
        </w:rPr>
        <w:t>The backend route GET /analytics/heatmap queries the email_events table for all open and click events matching the active tenant. Only events where is_bot = False are selected to ensure proxy hits do not corrupt the data. The query returns the created_at timestamp for each interaction event.</w:t>
      </w:r>
    </w:p>
    <w:p>
      <w:pPr>
        <w:spacing w:after="160" w:line="276" w:lineRule="auto"/>
      </w:pPr>
      <w:r>
        <w:rPr>
          <w:rFonts w:ascii="Calibri" w:hAnsi="Calibri"/>
          <w:color w:val="334155"/>
          <w:sz w:val="22"/>
        </w:rPr>
        <w:t>For each timestamp, the API extracts the day of the week (0 to 6) and the hour of the day (0 to 23). The API accumulates counts in a 2D grid structure:</w:t>
      </w:r>
    </w:p>
    <w:p>
      <w:pPr>
        <w:spacing w:before="120" w:after="120" w:line="240" w:lineRule="auto"/>
        <w:ind w:left="720"/>
      </w:pPr>
      <w:r>
        <w:rPr>
          <w:rFonts w:ascii="Courier New" w:hAnsi="Courier New"/>
          <w:color w:val="094F4C"/>
          <w:sz w:val="19"/>
        </w:rPr>
        <w:t>grid = {day: {hour: 0 for hour in range(24)} for day in range(7)}</w:t>
        <w:br/>
        <w:t>for event in events:</w:t>
        <w:br/>
        <w:t xml:space="preserve">    dt = datetime.fromisoformat(event.created_at)</w:t>
        <w:br/>
        <w:t xml:space="preserve">    grid[dt.weekday()][dt.hour] += 1</w:t>
      </w:r>
    </w:p>
    <w:p>
      <w:pPr>
        <w:spacing w:after="160" w:line="276" w:lineRule="auto"/>
      </w:pPr>
      <w:r>
        <w:rPr>
          <w:rFonts w:ascii="Calibri" w:hAnsi="Calibri"/>
          <w:color w:val="334155"/>
          <w:sz w:val="22"/>
        </w:rPr>
        <w:t>This 2D grid is flattened into a JSON array of 168 coordinate objects: [{'day': day_idx, 'hour': hour_idx, 'value': count}] and returned to the frontend client.</w:t>
      </w:r>
    </w:p>
    <w:p>
      <w:pPr>
        <w:keepNext/>
        <w:spacing w:before="320" w:after="120"/>
      </w:pPr>
      <w:r>
        <w:rPr>
          <w:rFonts w:ascii="Arial" w:hAnsi="Arial"/>
          <w:b/>
          <w:color w:val="1E293B"/>
          <w:sz w:val="28"/>
        </w:rPr>
        <w:t>6.3 Frontend Opacity Shading Rendering Engine</w:t>
      </w:r>
    </w:p>
    <w:p>
      <w:pPr>
        <w:spacing w:after="160" w:line="276" w:lineRule="auto"/>
      </w:pPr>
      <w:r>
        <w:rPr>
          <w:rFonts w:ascii="Calibri" w:hAnsi="Calibri"/>
          <w:color w:val="334155"/>
          <w:sz w:val="22"/>
        </w:rPr>
        <w:t>The Next.js client renders the heatmap as a grid of 7 rows (Monday to Sunday) and 24 columns (hours 12 AM to 11 PM). The background opacity of each cell scales dynamically based on its count relative to the maximum count in the dataset: opacity = value / max_value.</w:t>
      </w:r>
    </w:p>
    <w:p>
      <w:pPr>
        <w:spacing w:after="160" w:line="276" w:lineRule="auto"/>
      </w:pPr>
      <w:r>
        <w:rPr>
          <w:rFonts w:ascii="Calibri" w:hAnsi="Calibri"/>
          <w:color w:val="334155"/>
          <w:sz w:val="22"/>
        </w:rPr>
        <w:t>A hover tooltip displays the exact day, hour, and event count for each cell, helping users visually identify the best times to schedule future campaign sends.</w:t>
      </w:r>
    </w:p>
    <w:p>
      <w:pPr>
        <w:keepNext/>
        <w:spacing w:before="320" w:after="120"/>
      </w:pPr>
      <w:r>
        <w:rPr>
          <w:rFonts w:ascii="Arial" w:hAnsi="Arial"/>
          <w:b/>
          <w:color w:val="1E293B"/>
          <w:sz w:val="28"/>
        </w:rPr>
        <w:t>6.4 Developer Code Path Reference</w:t>
      </w:r>
    </w:p>
    <w:p>
      <w:pPr>
        <w:pStyle w:val="ListBullet"/>
        <w:spacing w:after="80"/>
        <w:ind w:left="360"/>
      </w:pPr>
      <w:r>
        <w:rPr>
          <w:rFonts w:ascii="Calibri" w:hAnsi="Calibri"/>
          <w:color w:val="334155"/>
          <w:sz w:val="22"/>
        </w:rPr>
        <w:t>Heatmap API Endpoint: GET /analytics/heatmap in platform/api/routes/analytics.py</w:t>
      </w:r>
    </w:p>
    <w:p>
      <w:pPr>
        <w:pStyle w:val="ListBullet"/>
        <w:spacing w:after="80"/>
        <w:ind w:left="360"/>
      </w:pPr>
      <w:r>
        <w:rPr>
          <w:rFonts w:ascii="Calibri" w:hAnsi="Calibri"/>
          <w:color w:val="334155"/>
          <w:sz w:val="22"/>
        </w:rPr>
        <w:t>Heatmap UI Component: platform/client/src/components/analytics/EngagementHeatmap.tsx</w:t>
      </w:r>
    </w:p>
    <w:p>
      <w:pPr>
        <w:spacing w:before="200" w:after="80"/>
      </w:pPr>
      <w:r>
        <w:rPr>
          <w:rFonts w:ascii="Arial" w:hAnsi="Arial"/>
          <w:b/>
          <w:color w:val="0E7490"/>
          <w:sz w:val="22"/>
        </w:rPr>
        <w:t>🖥️ UI Demo Steps — Aarya Nandan (Optimal Send Time Heatmap)</w:t>
      </w:r>
    </w:p>
    <w:p>
      <w:pPr>
        <w:pStyle w:val="ListBullet"/>
        <w:spacing w:after="80"/>
        <w:ind w:left="360"/>
      </w:pPr>
      <w:r>
        <w:rPr>
          <w:rFonts w:ascii="Calibri" w:hAnsi="Calibri"/>
          <w:color w:val="334155"/>
          <w:sz w:val="22"/>
        </w:rPr>
        <w:t>Open the 'Subscriber Engagement Heatmap' widget under the analytics tab.</w:t>
      </w:r>
    </w:p>
    <w:p>
      <w:pPr>
        <w:pStyle w:val="ListBullet"/>
        <w:spacing w:after="80"/>
        <w:ind w:left="360"/>
      </w:pPr>
      <w:r>
        <w:rPr>
          <w:rFonts w:ascii="Calibri" w:hAnsi="Calibri"/>
          <w:color w:val="334155"/>
          <w:sz w:val="22"/>
        </w:rPr>
        <w:t>Point to the 7x24 grid layout (Days of the week vs. Hours of the day).</w:t>
      </w:r>
    </w:p>
    <w:p>
      <w:pPr>
        <w:pStyle w:val="ListBullet"/>
        <w:spacing w:after="80"/>
        <w:ind w:left="360"/>
      </w:pPr>
      <w:r>
        <w:rPr>
          <w:rFonts w:ascii="Calibri" w:hAnsi="Calibri"/>
          <w:color w:val="334155"/>
          <w:sz w:val="22"/>
        </w:rPr>
        <w:t>Hover over the darkest cells to show tooltips displaying peak activity.</w:t>
      </w:r>
    </w:p>
    <w:p>
      <w:pPr>
        <w:pStyle w:val="ListBullet"/>
        <w:spacing w:after="80"/>
        <w:ind w:left="360"/>
      </w:pPr>
      <w:r>
        <w:rPr>
          <w:rFonts w:ascii="Calibri" w:hAnsi="Calibri"/>
          <w:color w:val="334155"/>
          <w:sz w:val="22"/>
        </w:rPr>
        <w:t>Demonstrate how color intensity scales dynamically with the maximum activity value.</w:t>
      </w:r>
    </w:p>
    <w:p>
      <w:pPr>
        <w:spacing w:before="160" w:after="160" w:line="276" w:lineRule="auto"/>
        <w:ind w:left="360" w:right="360"/>
      </w:pPr>
      <w:r>
        <w:rPr>
          <w:rFonts w:ascii="Georgia" w:hAnsi="Georgia"/>
          <w:i/>
          <w:color w:val="64748B"/>
          <w:sz w:val="22"/>
        </w:rPr>
        <w:t>"Good morning, my name is Aarya Nandan. I will present our Optimal Send Time Heatmap. Marketers often ask, 'When is the best time to send an email campaign?' To answer this, we built a 7x24 Engagement Heatmap. Our backend retrieves all opens and clicks, filters out bot events, and bins the timestamps into a 168-cell matrix representing every hour of every day of the week. This coordinate data is sent to the React frontend, which calculates cell opacity dynamically relative to peak activity. This highlights the most active periods in a deep accent color, while quiet times remain pastel or transparent. Subscribers' local times are normalized to ensure accurate reporting. Hovering over a cell displays a tooltip with the exact event count, letting marketers easily schedule their campaigns for maximum engagement."</w:t>
      </w:r>
    </w:p>
    <w:p>
      <w:r>
        <w:br w:type="page"/>
      </w:r>
    </w:p>
    <w:p>
      <w:pPr>
        <w:keepNext/>
        <w:spacing w:before="480" w:after="160"/>
      </w:pPr>
      <w:r>
        <w:rPr>
          <w:rFonts w:ascii="Arial" w:hAnsi="Arial"/>
          <w:b/>
          <w:color w:val="0F172A"/>
          <w:sz w:val="36"/>
        </w:rPr>
        <w:t>7. Platform Architecture &amp; Delivery Summary Matrix</w:t>
      </w:r>
    </w:p>
    <w:p>
      <w:pPr>
        <w:spacing w:after="160" w:line="276" w:lineRule="auto"/>
      </w:pPr>
      <w:r>
        <w:rPr>
          <w:rFonts w:ascii="Calibri" w:hAnsi="Calibri"/>
          <w:color w:val="334155"/>
          <w:sz w:val="22"/>
        </w:rPr>
        <w:t>The following matrix summarizes the technical workflows, backend code files, frontend components, and database/queue dependencies for all features in the ShrFlow analytics suite.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sz w:val="20"/>
              </w:rPr>
              <w:t>Feature Name</w:t>
            </w:r>
          </w:p>
        </w:tc>
        <w:tc>
          <w:tcPr>
            <w:tcW w:type="dxa" w:w="2340"/>
          </w:tcPr>
          <w:p>
            <w:r>
              <w:rPr>
                <w:b/>
                <w:sz w:val="20"/>
              </w:rPr>
              <w:t>Backend Handler</w:t>
            </w:r>
          </w:p>
        </w:tc>
        <w:tc>
          <w:tcPr>
            <w:tcW w:type="dxa" w:w="2340"/>
          </w:tcPr>
          <w:p>
            <w:r>
              <w:rPr>
                <w:b/>
                <w:sz w:val="20"/>
              </w:rPr>
              <w:t>Frontend Component</w:t>
            </w:r>
          </w:p>
        </w:tc>
        <w:tc>
          <w:tcPr>
            <w:tcW w:type="dxa" w:w="2340"/>
          </w:tcPr>
          <w:p>
            <w:r>
              <w:rPr>
                <w:b/>
                <w:sz w:val="20"/>
              </w:rPr>
              <w:t>DB / Queue Dependency</w:t>
            </w:r>
          </w:p>
        </w:tc>
      </w:tr>
      <w:tr>
        <w:tc>
          <w:tcPr>
            <w:tcW w:type="dxa" w:w="2340"/>
          </w:tcPr>
          <w:p>
            <w:r>
              <w:t>Open Tracking</w:t>
            </w:r>
          </w:p>
        </w:tc>
        <w:tc>
          <w:tcPr>
            <w:tcW w:type="dxa" w:w="2340"/>
          </w:tcPr>
          <w:p>
            <w:r>
              <w:t>routes/tracking.py</w:t>
            </w:r>
          </w:p>
        </w:tc>
        <w:tc>
          <w:tcPr>
            <w:tcW w:type="dxa" w:w="2340"/>
          </w:tcPr>
          <w:p>
            <w:r>
              <w:t>N/A (Invisible HTML Image)</w:t>
            </w:r>
          </w:p>
        </w:tc>
        <w:tc>
          <w:tcPr>
            <w:tcW w:type="dxa" w:w="2340"/>
          </w:tcPr>
          <w:p>
            <w:r>
              <w:t>email_events (insert)</w:t>
            </w:r>
          </w:p>
        </w:tc>
      </w:tr>
      <w:tr>
        <w:tc>
          <w:tcPr>
            <w:tcW w:type="dxa" w:w="2340"/>
          </w:tcPr>
          <w:p>
            <w:r>
              <w:t>Click Tracking</w:t>
            </w:r>
          </w:p>
        </w:tc>
        <w:tc>
          <w:tcPr>
            <w:tcW w:type="dxa" w:w="2340"/>
          </w:tcPr>
          <w:p>
            <w:r>
              <w:t>routes/tracking.py</w:t>
            </w:r>
          </w:p>
        </w:tc>
        <w:tc>
          <w:tcPr>
            <w:tcW w:type="dxa" w:w="2340"/>
          </w:tcPr>
          <w:p>
            <w:r>
              <w:t>N/A (302 Redirect)</w:t>
            </w:r>
          </w:p>
        </w:tc>
        <w:tc>
          <w:tcPr>
            <w:tcW w:type="dxa" w:w="2340"/>
          </w:tcPr>
          <w:p>
            <w:r>
              <w:t>email_events (insert)</w:t>
            </w:r>
          </w:p>
        </w:tc>
      </w:tr>
      <w:tr>
        <w:tc>
          <w:tcPr>
            <w:tcW w:type="dxa" w:w="2340"/>
          </w:tcPr>
          <w:p>
            <w:r>
              <w:t>Click Heatmap</w:t>
            </w:r>
          </w:p>
        </w:tc>
        <w:tc>
          <w:tcPr>
            <w:tcW w:type="dxa" w:w="2340"/>
          </w:tcPr>
          <w:p>
            <w:r>
              <w:t>routes/analytics.py</w:t>
            </w:r>
          </w:p>
        </w:tc>
        <w:tc>
          <w:tcPr>
            <w:tcW w:type="dxa" w:w="2340"/>
          </w:tcPr>
          <w:p>
            <w:r>
              <w:t>Campaign Analytics View</w:t>
            </w:r>
          </w:p>
        </w:tc>
        <w:tc>
          <w:tcPr>
            <w:tcW w:type="dxa" w:w="2340"/>
          </w:tcPr>
          <w:p>
            <w:r>
              <w:t>email_events (x,y points)</w:t>
            </w:r>
          </w:p>
        </w:tc>
      </w:tr>
      <w:tr>
        <w:tc>
          <w:tcPr>
            <w:tcW w:type="dxa" w:w="2340"/>
          </w:tcPr>
          <w:p>
            <w:r>
              <w:t>Unsubscribes</w:t>
            </w:r>
          </w:p>
        </w:tc>
        <w:tc>
          <w:tcPr>
            <w:tcW w:type="dxa" w:w="2340"/>
          </w:tcPr>
          <w:p>
            <w:r>
              <w:t>routes/unsubscribe.py</w:t>
            </w:r>
          </w:p>
        </w:tc>
        <w:tc>
          <w:tcPr>
            <w:tcW w:type="dxa" w:w="2340"/>
          </w:tcPr>
          <w:p>
            <w:r>
              <w:t>Unsubscribe Page</w:t>
            </w:r>
          </w:p>
        </w:tc>
        <w:tc>
          <w:tcPr>
            <w:tcW w:type="dxa" w:w="2340"/>
          </w:tcPr>
          <w:p>
            <w:r>
              <w:t>contacts (status -&gt; unsubscribed)</w:t>
            </w:r>
          </w:p>
        </w:tc>
      </w:tr>
      <w:tr>
        <w:tc>
          <w:tcPr>
            <w:tcW w:type="dxa" w:w="2340"/>
          </w:tcPr>
          <w:p>
            <w:r>
              <w:t>Smart Insights</w:t>
            </w:r>
          </w:p>
        </w:tc>
        <w:tc>
          <w:tcPr>
            <w:tcW w:type="dxa" w:w="2340"/>
          </w:tcPr>
          <w:p>
            <w:r>
              <w:t>routes/analytics.py</w:t>
            </w:r>
          </w:p>
        </w:tc>
        <w:tc>
          <w:tcPr>
            <w:tcW w:type="dxa" w:w="2340"/>
          </w:tcPr>
          <w:p>
            <w:r>
              <w:t>SmartInsights.tsx</w:t>
            </w:r>
          </w:p>
        </w:tc>
        <w:tc>
          <w:tcPr>
            <w:tcW w:type="dxa" w:w="2340"/>
          </w:tcPr>
          <w:p>
            <w:r>
              <w:t>campaigns &amp; email_events</w:t>
            </w:r>
          </w:p>
        </w:tc>
      </w:tr>
      <w:tr>
        <w:tc>
          <w:tcPr>
            <w:tcW w:type="dxa" w:w="2340"/>
          </w:tcPr>
          <w:p>
            <w:r>
              <w:t>Predictive Analytics</w:t>
            </w:r>
          </w:p>
        </w:tc>
        <w:tc>
          <w:tcPr>
            <w:tcW w:type="dxa" w:w="2340"/>
          </w:tcPr>
          <w:p>
            <w:r>
              <w:t>routes/analytics.py</w:t>
            </w:r>
          </w:p>
        </w:tc>
        <w:tc>
          <w:tcPr>
            <w:tcW w:type="dxa" w:w="2340"/>
          </w:tcPr>
          <w:p>
            <w:r>
              <w:t>PredictiveAnalytics.tsx</w:t>
            </w:r>
          </w:p>
        </w:tc>
        <w:tc>
          <w:tcPr>
            <w:tcW w:type="dxa" w:w="2340"/>
          </w:tcPr>
          <w:p>
            <w:r>
              <w:t>Weighted Moving Average</w:t>
            </w:r>
          </w:p>
        </w:tc>
      </w:tr>
      <w:tr>
        <w:tc>
          <w:tcPr>
            <w:tcW w:type="dxa" w:w="2340"/>
          </w:tcPr>
          <w:p>
            <w:r>
              <w:t>Subscriber Segments</w:t>
            </w:r>
          </w:p>
        </w:tc>
        <w:tc>
          <w:tcPr>
            <w:tcW w:type="dxa" w:w="2340"/>
          </w:tcPr>
          <w:p>
            <w:r>
              <w:t>routes/analytics.py</w:t>
            </w:r>
          </w:p>
        </w:tc>
        <w:tc>
          <w:tcPr>
            <w:tcW w:type="dxa" w:w="2340"/>
          </w:tcPr>
          <w:p>
            <w:r>
              <w:t>SubscriberIntelligence.tsx</w:t>
            </w:r>
          </w:p>
        </w:tc>
        <w:tc>
          <w:tcPr>
            <w:tcW w:type="dxa" w:w="2340"/>
          </w:tcPr>
          <w:p>
            <w:r>
              <w:t>contacts &amp; email_events</w:t>
            </w:r>
          </w:p>
        </w:tc>
      </w:tr>
      <w:tr>
        <w:tc>
          <w:tcPr>
            <w:tcW w:type="dxa" w:w="2340"/>
          </w:tcPr>
          <w:p>
            <w:r>
              <w:t>Optimal Send Heatmap</w:t>
            </w:r>
          </w:p>
        </w:tc>
        <w:tc>
          <w:tcPr>
            <w:tcW w:type="dxa" w:w="2340"/>
          </w:tcPr>
          <w:p>
            <w:r>
              <w:t>routes/analytics.py</w:t>
            </w:r>
          </w:p>
        </w:tc>
        <w:tc>
          <w:tcPr>
            <w:tcW w:type="dxa" w:w="2340"/>
          </w:tcPr>
          <w:p>
            <w:r>
              <w:t>EngagementHeatmap.tsx</w:t>
            </w:r>
          </w:p>
        </w:tc>
        <w:tc>
          <w:tcPr>
            <w:tcW w:type="dxa" w:w="2340"/>
          </w:tcPr>
          <w:p>
            <w:r>
              <w:t>email_events (created_at)</w:t>
            </w:r>
          </w:p>
        </w:tc>
      </w:tr>
      <w:tr>
        <w:tc>
          <w:tcPr>
            <w:tcW w:type="dxa" w:w="2340"/>
          </w:tcPr>
          <w:p>
            <w:r>
              <w:t>AI Chatbot</w:t>
            </w:r>
          </w:p>
        </w:tc>
        <w:tc>
          <w:tcPr>
            <w:tcW w:type="dxa" w:w="2340"/>
          </w:tcPr>
          <w:p>
            <w:r>
              <w:t>routes/analytics.py</w:t>
            </w:r>
          </w:p>
        </w:tc>
        <w:tc>
          <w:tcPr>
            <w:tcW w:type="dxa" w:w="2340"/>
          </w:tcPr>
          <w:p>
            <w:r>
              <w:t>AIChatbot.tsx</w:t>
            </w:r>
          </w:p>
        </w:tc>
        <w:tc>
          <w:tcPr>
            <w:tcW w:type="dxa" w:w="2340"/>
          </w:tcPr>
          <w:p>
            <w:r>
              <w:t>Local NLP State Machine</w:t>
            </w:r>
          </w:p>
        </w:tc>
      </w:tr>
    </w:tbl>
    <w:p/>
    <w:p>
      <w:pPr>
        <w:keepNext/>
        <w:spacing w:before="320" w:after="120"/>
      </w:pPr>
      <w:r>
        <w:rPr>
          <w:rFonts w:ascii="Arial" w:hAnsi="Arial"/>
          <w:b/>
          <w:color w:val="1E293B"/>
          <w:sz w:val="28"/>
        </w:rPr>
        <w:t>7.1 Database Index Verification Commands</w:t>
      </w:r>
    </w:p>
    <w:p>
      <w:pPr>
        <w:spacing w:after="160" w:line="276" w:lineRule="auto"/>
      </w:pPr>
      <w:r>
        <w:rPr>
          <w:rFonts w:ascii="Calibri" w:hAnsi="Calibri"/>
          <w:color w:val="334155"/>
          <w:sz w:val="22"/>
        </w:rPr>
        <w:t>To verify database indexes and schema layouts during presentation Q&amp;A, run these scripts:</w:t>
      </w:r>
    </w:p>
    <w:p>
      <w:pPr>
        <w:spacing w:before="120" w:after="120" w:line="240" w:lineRule="auto"/>
        <w:ind w:left="720"/>
      </w:pPr>
      <w:r>
        <w:rPr>
          <w:rFonts w:ascii="Courier New" w:hAnsi="Courier New"/>
          <w:color w:val="094F4C"/>
          <w:sz w:val="19"/>
        </w:rPr>
        <w:t>python platform/api/check_db.py</w:t>
        <w:br/>
        <w:t>python platform/api/check_schema.py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