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F172A"/>
          <w:sz w:val="52"/>
        </w:rPr>
        <w:t>SHRFLOW EMAIL ENGINE</w:t>
      </w:r>
    </w:p>
    <w:p>
      <w:pPr>
        <w:spacing w:after="480"/>
        <w:jc w:val="center"/>
      </w:pPr>
      <w:r>
        <w:rPr>
          <w:rFonts w:ascii="Arial" w:hAnsi="Arial"/>
          <w:color w:val="475569"/>
          <w:sz w:val="28"/>
        </w:rPr>
        <w:t>Final Project Pitch &amp; Presentation Script (Read-to-Go Edition)</w:t>
      </w:r>
    </w:p>
    <w:p/>
    <w:p/>
    <w:p/>
    <w:p/>
    <w:p/>
    <w:p/>
    <w:p>
      <w:pPr>
        <w:jc w:val="center"/>
      </w:pPr>
      <w:r>
        <w:rPr>
          <w:rFonts w:ascii="Calibri" w:hAnsi="Calibri"/>
          <w:color w:val="64748B"/>
          <w:sz w:val="22"/>
        </w:rPr>
        <w:t>This document contains the exact word-for-word presentation script for your team.</w:t>
      </w:r>
    </w:p>
    <w:p>
      <w:pPr>
        <w:jc w:val="center"/>
      </w:pPr>
      <w:r>
        <w:rPr>
          <w:rFonts w:ascii="Calibri" w:hAnsi="Calibri"/>
          <w:color w:val="64748B"/>
          <w:sz w:val="22"/>
        </w:rPr>
        <w:t>Print this out or open it during your slides and read the Georgia-font text out loud.</w:t>
      </w:r>
    </w:p>
    <w:p>
      <w:pPr>
        <w:jc w:val="center"/>
      </w:pPr>
      <w:r>
        <w:rPr>
          <w:rFonts w:ascii="Calibri" w:hAnsi="Calibri"/>
          <w:color w:val="64748B"/>
          <w:sz w:val="22"/>
        </w:rPr>
        <w:t>Navigate your application according to the blue [UI ACTION] blocks.</w:t>
      </w:r>
    </w:p>
    <w:p>
      <w:pPr>
        <w:jc w:val="center"/>
      </w:pPr>
      <w:r>
        <w:rPr>
          <w:rFonts w:ascii="Calibri" w:hAnsi="Calibri"/>
          <w:color w:val="64748B"/>
          <w:sz w:val="22"/>
        </w:rPr>
      </w:r>
    </w:p>
    <w:p>
      <w:pPr>
        <w:jc w:val="center"/>
      </w:pPr>
      <w:r>
        <w:rPr>
          <w:rFonts w:ascii="Calibri" w:hAnsi="Calibri"/>
          <w:color w:val="64748B"/>
          <w:sz w:val="22"/>
        </w:rPr>
        <w:t>Presenter 1: Vinay (Core, Open Tracking, Bot Filtering, NLP Chatbot)</w:t>
      </w:r>
    </w:p>
    <w:p>
      <w:pPr>
        <w:jc w:val="center"/>
      </w:pPr>
      <w:r>
        <w:rPr>
          <w:rFonts w:ascii="Calibri" w:hAnsi="Calibri"/>
          <w:color w:val="64748B"/>
          <w:sz w:val="22"/>
        </w:rPr>
        <w:t>Presenter 2: Meghana (Click Coordinates, HMAC Unsubscribes, Smart Insights)</w:t>
      </w:r>
    </w:p>
    <w:p>
      <w:pPr>
        <w:jc w:val="center"/>
      </w:pPr>
      <w:r>
        <w:rPr>
          <w:rFonts w:ascii="Calibri" w:hAnsi="Calibri"/>
          <w:color w:val="64748B"/>
          <w:sz w:val="22"/>
        </w:rPr>
        <w:t>Presenter 3: Manikanta (Weighted Moving Averages, Trend Slopes, Redirect Gateway)</w:t>
      </w:r>
    </w:p>
    <w:p>
      <w:pPr>
        <w:jc w:val="center"/>
      </w:pPr>
      <w:r>
        <w:rPr>
          <w:rFonts w:ascii="Calibri" w:hAnsi="Calibri"/>
          <w:color w:val="64748B"/>
          <w:sz w:val="22"/>
        </w:rPr>
        <w:t>Presenter 4: Mahendar (Behavioral Segmentation, Soft/Hard Bounce webhooks)</w:t>
      </w:r>
    </w:p>
    <w:p>
      <w:pPr>
        <w:jc w:val="center"/>
      </w:pPr>
      <w:r>
        <w:rPr>
          <w:rFonts w:ascii="Calibri" w:hAnsi="Calibri"/>
          <w:color w:val="64748B"/>
          <w:sz w:val="22"/>
        </w:rPr>
        <w:t>Presenter 5: Aarya Nandan (7x24 Matrix Send Time Heatmap, Opacity Shading)</w:t>
      </w:r>
    </w:p>
    <w:p>
      <w:r>
        <w:br w:type="page"/>
      </w:r>
    </w:p>
    <w:p>
      <w:pPr>
        <w:keepNext/>
        <w:spacing w:before="560" w:after="200"/>
      </w:pPr>
      <w:r>
        <w:rPr>
          <w:rFonts w:ascii="Arial" w:hAnsi="Arial"/>
          <w:b/>
          <w:color w:val="DB2777"/>
          <w:sz w:val="32"/>
        </w:rPr>
        <w:t>🎙️ Presenter: Vinay</w:t>
        <w:br/>
      </w:r>
      <w:r>
        <w:rPr>
          <w:rFonts w:ascii="Arial" w:hAnsi="Arial"/>
          <w:i/>
          <w:color w:val="64748B"/>
          <w:sz w:val="22"/>
        </w:rPr>
        <w:t>Assigned Features: Core Telemetry, Ingestion Pipelines, Bot-Filtered Open Rates, and NLP Chatbot</w:t>
      </w:r>
    </w:p>
    <w:p>
      <w:pPr>
        <w:spacing w:before="120" w:after="120"/>
        <w:ind w:left="360"/>
      </w:pPr>
      <w:r>
        <w:rPr>
          <w:rFonts w:ascii="Arial" w:hAnsi="Arial"/>
          <w:b/>
          <w:color w:val="0E7490"/>
          <w:sz w:val="21"/>
        </w:rPr>
        <w:t>[UI ACTION: Project slides are on screen. The live application dashboard is loaded on the projector.]</w:t>
      </w:r>
    </w:p>
    <w:p>
      <w:pPr>
        <w:spacing w:after="240" w:line="300" w:lineRule="auto"/>
      </w:pPr>
      <w:r>
        <w:rPr>
          <w:rFonts w:ascii="Georgia" w:hAnsi="Georgia"/>
          <w:color w:val="1E293B"/>
          <w:sz w:val="24"/>
        </w:rPr>
        <w:t>Good morning, members of the evaluation committee. Today, my team and I are proud to present ShrFlow — a high-performance, self-hosted, multi-tenant email engine designed to deliver robust campaign orchestration with enterprise-grade telemetry and intelligence.</w:t>
      </w:r>
    </w:p>
    <w:p>
      <w:pPr>
        <w:spacing w:after="240" w:line="300" w:lineRule="auto"/>
      </w:pPr>
      <w:r>
        <w:rPr>
          <w:rFonts w:ascii="Georgia" w:hAnsi="Georgia"/>
          <w:color w:val="1E293B"/>
          <w:sz w:val="24"/>
        </w:rPr>
        <w:t>Email marketing is critical for businesses, but standard cloud solutions are expensive and often lack detailed observabilities. ShrFlow bridges this gap by combining transactional sending speeds with intelligent diagnostics. I will start by walking you through our core telemetry and our bot-filtered open-rate engine.</w:t>
      </w:r>
    </w:p>
    <w:p>
      <w:pPr>
        <w:spacing w:before="120" w:after="120"/>
        <w:ind w:left="360"/>
      </w:pPr>
      <w:r>
        <w:rPr>
          <w:rFonts w:ascii="Arial" w:hAnsi="Arial"/>
          <w:b/>
          <w:color w:val="0E7490"/>
          <w:sz w:val="21"/>
        </w:rPr>
        <w:t>[UI ACTION: Hover over the 'Sent', 'Failed', and 'Total Attempted' dashboard cards.]</w:t>
      </w:r>
    </w:p>
    <w:p>
      <w:pPr>
        <w:spacing w:after="240" w:line="300" w:lineRule="auto"/>
      </w:pPr>
      <w:r>
        <w:rPr>
          <w:rFonts w:ascii="Georgia" w:hAnsi="Georgia"/>
          <w:color w:val="1E293B"/>
          <w:sz w:val="24"/>
        </w:rPr>
        <w:t>Our telemetry calculations run directly on our backend database. In platform/api/routes/analytics.py, we evaluate campaign performance. The 'Sent' metric counts dispatches with a 'DISPATCHED' status. The 'Failed' metric counts immediate relay connection or handshaking errors, which are marked as 'FAILED'. Together, these values provide the total attempted count, which we use as the denominator for calculating bounce and open rates.</w:t>
      </w:r>
    </w:p>
    <w:p>
      <w:pPr>
        <w:spacing w:after="240" w:line="300" w:lineRule="auto"/>
      </w:pPr>
      <w:r>
        <w:rPr>
          <w:rFonts w:ascii="Georgia" w:hAnsi="Georgia"/>
          <w:color w:val="1E293B"/>
          <w:sz w:val="24"/>
        </w:rPr>
        <w:t>Tracking if a recipient opens an email is simple in theory but difficult in practice. During campaign pre-compilation, our worker appends a hidden 1x1 transparent image pixel to the email body, signed with a secure HMAC-SHA256 signature to prevent tampering. When a subscriber opens the email, their client requests this image. Our server verifies the signature, records the open event, and returns a 35-byte transparent GIF.</w:t>
      </w:r>
    </w:p>
    <w:p>
      <w:pPr>
        <w:spacing w:after="240" w:line="300" w:lineRule="auto"/>
      </w:pPr>
      <w:r>
        <w:rPr>
          <w:rFonts w:ascii="Georgia" w:hAnsi="Georgia"/>
          <w:color w:val="1E293B"/>
          <w:sz w:val="24"/>
        </w:rPr>
        <w:t>However, mail servers like Apple Mail Privacy Protection and Gmail pre-load assets, which causes false open triggers. To ensure accuracy, we inspect User-Agent headers and proxy IP ranges. If a request is identified as a proxy pre-load, it is flagged as bot traffic in our database and excluded from human reports. We also deduplicate multiple opens from the same recipient, providing clean open rates.</w:t>
      </w:r>
    </w:p>
    <w:p>
      <w:pPr>
        <w:spacing w:before="120" w:after="120"/>
        <w:ind w:left="360"/>
      </w:pPr>
      <w:r>
        <w:rPr>
          <w:rFonts w:ascii="Arial" w:hAnsi="Arial"/>
          <w:b/>
          <w:color w:val="0E7490"/>
          <w:sz w:val="21"/>
        </w:rPr>
        <w:t>[UI ACTION: Click the floating Chatbot icon in the bottom right corner of the dashboard.]</w:t>
      </w:r>
    </w:p>
    <w:p>
      <w:pPr>
        <w:spacing w:after="240" w:line="300" w:lineRule="auto"/>
      </w:pPr>
      <w:r>
        <w:rPr>
          <w:rFonts w:ascii="Georgia" w:hAnsi="Georgia"/>
          <w:color w:val="1E293B"/>
          <w:sz w:val="24"/>
        </w:rPr>
        <w:t>To make this data easily accessible, we built a floating AI Chatbot. Users can ask questions in plain English, such as 'What is my open rate?' or 'Show me my account health'. Unlike systems that rely on external APIs, our chatbot parses queries locally using keyword-token extraction. It detects terms like 'open' or 'click', queries the database for the active tenant, and constructs a real-time markdown response with marketing recommendations. This runs entirely offline, meaning zero API cost and zero key-management overhead. I will now hand over to Meghana to cover coordinate tracking and unsubscribe mechanics.</w:t>
      </w:r>
    </w:p>
    <w:p>
      <w:r>
        <w:br w:type="page"/>
      </w:r>
    </w:p>
    <w:p>
      <w:pPr>
        <w:keepNext/>
        <w:spacing w:before="560" w:after="200"/>
      </w:pPr>
      <w:r>
        <w:rPr>
          <w:rFonts w:ascii="Arial" w:hAnsi="Arial"/>
          <w:b/>
          <w:color w:val="DB2777"/>
          <w:sz w:val="32"/>
        </w:rPr>
        <w:t>🎙️ Presenter: Meghana</w:t>
        <w:br/>
      </w:r>
      <w:r>
        <w:rPr>
          <w:rFonts w:ascii="Arial" w:hAnsi="Arial"/>
          <w:i/>
          <w:color w:val="64748B"/>
          <w:sz w:val="22"/>
        </w:rPr>
        <w:t>Assigned Features: Click Coordinates, Heatmap Ingestion, Cryptographic Unsubscribes, and Smart Insights</w:t>
      </w:r>
    </w:p>
    <w:p>
      <w:pPr>
        <w:spacing w:before="120" w:after="120"/>
        <w:ind w:left="360"/>
      </w:pPr>
      <w:r>
        <w:rPr>
          <w:rFonts w:ascii="Arial" w:hAnsi="Arial"/>
          <w:b/>
          <w:color w:val="0E7490"/>
          <w:sz w:val="21"/>
        </w:rPr>
        <w:t>[UI ACTION: Click on the 'Campaigns' tab, select a completed campaign, and point to the layout preview.]</w:t>
      </w:r>
    </w:p>
    <w:p>
      <w:pPr>
        <w:spacing w:after="240" w:line="300" w:lineRule="auto"/>
      </w:pPr>
      <w:r>
        <w:rPr>
          <w:rFonts w:ascii="Georgia" w:hAnsi="Georgia"/>
          <w:color w:val="1E293B"/>
          <w:sz w:val="24"/>
        </w:rPr>
        <w:t>Thank you, Vinay. Good morning, judges. My name is Meghana, and I am responsible for coordinate tracking, secure unsubscribes, and the Smart Insights engine.</w:t>
      </w:r>
    </w:p>
    <w:p>
      <w:pPr>
        <w:spacing w:after="240" w:line="300" w:lineRule="auto"/>
      </w:pPr>
      <w:r>
        <w:rPr>
          <w:rFonts w:ascii="Georgia" w:hAnsi="Georgia"/>
          <w:color w:val="1E293B"/>
          <w:sz w:val="24"/>
        </w:rPr>
        <w:t>While standard platforms simply count clicks, ShrFlow maps where users interact. When a subscriber clicks inside an email template, we capture the relative (x, y) coordinates. These are logged in our database and aggregated under 'clicks_heatmap' to display a click coordinate heatmap overlay. This shows marketers exactly which layout blocks and calls-to-action drive the most engagement.</w:t>
      </w:r>
    </w:p>
    <w:p>
      <w:pPr>
        <w:spacing w:before="120" w:after="120"/>
        <w:ind w:left="360"/>
      </w:pPr>
      <w:r>
        <w:rPr>
          <w:rFonts w:ascii="Arial" w:hAnsi="Arial"/>
          <w:b/>
          <w:color w:val="0E7490"/>
          <w:sz w:val="21"/>
        </w:rPr>
        <w:t>[UI ACTION: Scroll down to the footer of a test email to show the 'Unsubscribe' link.]</w:t>
      </w:r>
    </w:p>
    <w:p>
      <w:pPr>
        <w:spacing w:after="240" w:line="300" w:lineRule="auto"/>
      </w:pPr>
      <w:r>
        <w:rPr>
          <w:rFonts w:ascii="Georgia" w:hAnsi="Georgia"/>
          <w:color w:val="1E293B"/>
          <w:sz w:val="24"/>
        </w:rPr>
        <w:t>We also prioritised compliance. To satisfy GDPR and CAN-SPAM requirements, we built a zero-trust unsubscribe mechanism. Our background worker signs unsubscribe links with an HMAC token containing the contact ID and campaign ID. When a user clicks unsubscribe, the server verifies the signature, logs the event, and updates the contact status to 'unsubscribed' in the contacts table. The engine automatically filters out these contacts from future campaigns, ensuring compliance.</w:t>
      </w:r>
    </w:p>
    <w:p>
      <w:pPr>
        <w:spacing w:before="120" w:after="120"/>
        <w:ind w:left="360"/>
      </w:pPr>
      <w:r>
        <w:rPr>
          <w:rFonts w:ascii="Arial" w:hAnsi="Arial"/>
          <w:b/>
          <w:color w:val="0E7490"/>
          <w:sz w:val="21"/>
        </w:rPr>
        <w:t>[UI ACTION: Click on the 'Smart Insights' widget on the dashboard, displaying the custom recommendation cards.]</w:t>
      </w:r>
    </w:p>
    <w:p>
      <w:pPr>
        <w:spacing w:after="240" w:line="300" w:lineRule="auto"/>
      </w:pPr>
      <w:r>
        <w:rPr>
          <w:rFonts w:ascii="Georgia" w:hAnsi="Georgia"/>
          <w:color w:val="1E293B"/>
          <w:sz w:val="24"/>
        </w:rPr>
        <w:t>Finally, our Smart Insights engine monitors delivery quality. It evaluates campaign history to identify trends and anomalies. It suggests optimal send times based on user activity history, and alerts the sender if a campaign's open rate drops by more than 2% compared to their historical baseline. Most importantly, it flags an anomaly alert if the campaign bounce rate reaches or exceeds 5%, advising list hygiene and domain checks. Next, Manikanta will present our forecasting models.</w:t>
      </w:r>
    </w:p>
    <w:p>
      <w:r>
        <w:br w:type="page"/>
      </w:r>
    </w:p>
    <w:p>
      <w:pPr>
        <w:keepNext/>
        <w:spacing w:before="560" w:after="200"/>
      </w:pPr>
      <w:r>
        <w:rPr>
          <w:rFonts w:ascii="Arial" w:hAnsi="Arial"/>
          <w:b/>
          <w:color w:val="DB2777"/>
          <w:sz w:val="32"/>
        </w:rPr>
        <w:t>🎙️ Presenter: Manikanta</w:t>
        <w:br/>
      </w:r>
      <w:r>
        <w:rPr>
          <w:rFonts w:ascii="Arial" w:hAnsi="Arial"/>
          <w:i/>
          <w:color w:val="64748B"/>
          <w:sz w:val="22"/>
        </w:rPr>
        <w:t>Assigned Features: Predictive Analytics, WMA Forecasting, Trend Slopes, and the Click Redirect Gateway</w:t>
      </w:r>
    </w:p>
    <w:p>
      <w:pPr>
        <w:spacing w:before="120" w:after="120"/>
        <w:ind w:left="360"/>
      </w:pPr>
      <w:r>
        <w:rPr>
          <w:rFonts w:ascii="Arial" w:hAnsi="Arial"/>
          <w:b/>
          <w:color w:val="0E7490"/>
          <w:sz w:val="21"/>
        </w:rPr>
        <w:t>[UI ACTION: Point to the 'Predictive Analytics' card showing circular gauges on the Dashboard.]</w:t>
      </w:r>
    </w:p>
    <w:p>
      <w:pPr>
        <w:spacing w:after="240" w:line="300" w:lineRule="auto"/>
      </w:pPr>
      <w:r>
        <w:rPr>
          <w:rFonts w:ascii="Georgia" w:hAnsi="Georgia"/>
          <w:color w:val="1E293B"/>
          <w:sz w:val="24"/>
        </w:rPr>
        <w:t>Thank you, Meghana. Good morning, everyone. My name is Manikanta. I will present our Predictive Analytics forecasting models, engagement trend classifications, and the low-latency click redirect gateway.</w:t>
      </w:r>
    </w:p>
    <w:p>
      <w:pPr>
        <w:spacing w:after="240" w:line="300" w:lineRule="auto"/>
      </w:pPr>
      <w:r>
        <w:rPr>
          <w:rFonts w:ascii="Georgia" w:hAnsi="Georgia"/>
          <w:color w:val="1E293B"/>
          <w:sz w:val="24"/>
        </w:rPr>
        <w:t>Rather than just looking at past data, our predictive analytics engine projects how your next campaign will perform. By pulling data from up to the last ten campaigns, our algorithm calculates the expected open and click rates. We also calculate a dynamic confidence score based on your sending history—starting at 65% for new accounts and scaling up to 92% as more data is collected.</w:t>
      </w:r>
    </w:p>
    <w:p>
      <w:pPr>
        <w:spacing w:after="240" w:line="300" w:lineRule="auto"/>
      </w:pPr>
      <w:r>
        <w:rPr>
          <w:rFonts w:ascii="Georgia" w:hAnsi="Georgia"/>
          <w:color w:val="1E293B"/>
          <w:sz w:val="24"/>
        </w:rPr>
        <w:t>To track engagement trends, the engine analyzes the performance slope across campaigns. If user interaction rates improve by more than 1%, it reports an 'Upward Trend'. If interaction drops by more than 1%, it warns the marketer of potential audience fatigue.</w:t>
      </w:r>
    </w:p>
    <w:p>
      <w:pPr>
        <w:spacing w:before="120" w:after="120"/>
        <w:ind w:left="360"/>
      </w:pPr>
      <w:r>
        <w:rPr>
          <w:rFonts w:ascii="Arial" w:hAnsi="Arial"/>
          <w:b/>
          <w:color w:val="0E7490"/>
          <w:sz w:val="21"/>
        </w:rPr>
        <w:t>[UI ACTION: Open a test email in a mock client, click a link, and show the instant redirect to the browser.]</w:t>
      </w:r>
    </w:p>
    <w:p>
      <w:pPr>
        <w:spacing w:after="240" w:line="300" w:lineRule="auto"/>
      </w:pPr>
      <w:r>
        <w:rPr>
          <w:rFonts w:ascii="Georgia" w:hAnsi="Georgia"/>
          <w:color w:val="1E293B"/>
          <w:sz w:val="24"/>
        </w:rPr>
        <w:t>Finally, click tracking is handled by our redirect gateway. The original URL is base64-encoded and secured with an HMAC signature. When clicked, the server logs the event and redirects the subscriber using an HTTP 302 response in under 50 milliseconds. To prevent automated security scanners from inflating click rates, we flag clicks that occur within 2 seconds of the open event as bot traffic. Next, Mahendar will present our bounce processing architecture.</w:t>
      </w:r>
    </w:p>
    <w:p>
      <w:r>
        <w:br w:type="page"/>
      </w:r>
    </w:p>
    <w:p>
      <w:pPr>
        <w:keepNext/>
        <w:spacing w:before="560" w:after="200"/>
      </w:pPr>
      <w:r>
        <w:rPr>
          <w:rFonts w:ascii="Arial" w:hAnsi="Arial"/>
          <w:b/>
          <w:color w:val="DB2777"/>
          <w:sz w:val="32"/>
        </w:rPr>
        <w:t>🎙️ Presenter: Mahendar</w:t>
        <w:br/>
      </w:r>
      <w:r>
        <w:rPr>
          <w:rFonts w:ascii="Arial" w:hAnsi="Arial"/>
          <w:i/>
          <w:color w:val="64748B"/>
          <w:sz w:val="22"/>
        </w:rPr>
        <w:t>Assigned Features: Subscriber Intelligence, Behavioral Clustering, Soft vs. Hard Bounce Webhook Engines</w:t>
      </w:r>
    </w:p>
    <w:p>
      <w:pPr>
        <w:spacing w:before="120" w:after="120"/>
        <w:ind w:left="360"/>
      </w:pPr>
      <w:r>
        <w:rPr>
          <w:rFonts w:ascii="Arial" w:hAnsi="Arial"/>
          <w:b/>
          <w:color w:val="0E7490"/>
          <w:sz w:val="21"/>
        </w:rPr>
        <w:t>[UI ACTION: Point to the 'Subscriber Intelligence' widget showing Highly, Moderately, and Inactive segments.]</w:t>
      </w:r>
    </w:p>
    <w:p>
      <w:pPr>
        <w:spacing w:after="240" w:line="300" w:lineRule="auto"/>
      </w:pPr>
      <w:r>
        <w:rPr>
          <w:rFonts w:ascii="Georgia" w:hAnsi="Georgia"/>
          <w:color w:val="1E293B"/>
          <w:sz w:val="24"/>
        </w:rPr>
        <w:t>Thank you, Manikanta. Good morning, judges. My name is Mahendar, and I will discuss our Subscriber Intelligence engine and the details of our bounce processing architecture.</w:t>
      </w:r>
    </w:p>
    <w:p>
      <w:pPr>
        <w:spacing w:after="240" w:line="300" w:lineRule="auto"/>
      </w:pPr>
      <w:r>
        <w:rPr>
          <w:rFonts w:ascii="Georgia" w:hAnsi="Georgia"/>
          <w:color w:val="1E293B"/>
          <w:sz w:val="24"/>
        </w:rPr>
        <w:t>Our subscriber intelligence model monitors user activity. By analyzing the interaction history in our database, it segments subscribers in real time into three categories: Highly Engaged, Moderately Engaged, and Inactive. This segmentation is displayed as a stacked bar chart on the dashboard, letting senders easily target their most active users or run re-engagement campaigns.</w:t>
      </w:r>
    </w:p>
    <w:p>
      <w:pPr>
        <w:spacing w:before="120" w:after="120"/>
        <w:ind w:left="360"/>
      </w:pPr>
      <w:r>
        <w:rPr>
          <w:rFonts w:ascii="Arial" w:hAnsi="Arial"/>
          <w:b/>
          <w:color w:val="0E7490"/>
          <w:sz w:val="21"/>
        </w:rPr>
        <w:t>[UI ACTION: Show the bounce log table or point to the 'Sender Health' status indicator.]</w:t>
      </w:r>
    </w:p>
    <w:p>
      <w:pPr>
        <w:spacing w:after="240" w:line="300" w:lineRule="auto"/>
      </w:pPr>
      <w:r>
        <w:rPr>
          <w:rFonts w:ascii="Georgia" w:hAnsi="Georgia"/>
          <w:color w:val="1E293B"/>
          <w:sz w:val="24"/>
        </w:rPr>
        <w:t>Managing bounces is critical for protecting domain reputation. We process bounces by analyzing raw SMTP codes. A 5xx error indicates a permanent failure (like a non-existent email address). The system immediately flags these contacts as 'bounced' in the database and suppresses them from future sends.</w:t>
      </w:r>
    </w:p>
    <w:p>
      <w:pPr>
        <w:spacing w:after="240" w:line="300" w:lineRule="auto"/>
      </w:pPr>
      <w:r>
        <w:rPr>
          <w:rFonts w:ascii="Georgia" w:hAnsi="Georgia"/>
          <w:color w:val="1E293B"/>
          <w:sz w:val="24"/>
        </w:rPr>
        <w:t>A 4xx error indicates a temporary failure, such as a full mailbox. Instead of failing the delivery, the system places the message in a RabbitMQ retry queue with an exponential backoff, retrying the delivery for up to 72 hours. This helps maximize successful deliveries without risking blocklists. Next, Aarya Nandan will present our send-time heatmap.</w:t>
      </w:r>
    </w:p>
    <w:p>
      <w:r>
        <w:br w:type="page"/>
      </w:r>
    </w:p>
    <w:p>
      <w:pPr>
        <w:keepNext/>
        <w:spacing w:before="560" w:after="200"/>
      </w:pPr>
      <w:r>
        <w:rPr>
          <w:rFonts w:ascii="Arial" w:hAnsi="Arial"/>
          <w:b/>
          <w:color w:val="DB2777"/>
          <w:sz w:val="32"/>
        </w:rPr>
        <w:t>🎙️ Presenter: Aarya Nandan</w:t>
        <w:br/>
      </w:r>
      <w:r>
        <w:rPr>
          <w:rFonts w:ascii="Arial" w:hAnsi="Arial"/>
          <w:i/>
          <w:color w:val="64748B"/>
          <w:sz w:val="22"/>
        </w:rPr>
        <w:t>Assigned Features: Optimal Send Time Heatmap, 7x24 Event Binning, and Dynamic Opacity Shading</w:t>
      </w:r>
    </w:p>
    <w:p>
      <w:pPr>
        <w:spacing w:before="120" w:after="120"/>
        <w:ind w:left="360"/>
      </w:pPr>
      <w:r>
        <w:rPr>
          <w:rFonts w:ascii="Arial" w:hAnsi="Arial"/>
          <w:b/>
          <w:color w:val="0E7490"/>
          <w:sz w:val="21"/>
        </w:rPr>
        <w:t>[UI ACTION: Click the 'Analytics' tab and scroll to show the 7x24 Subscriber Engagement Heatmap.]</w:t>
      </w:r>
    </w:p>
    <w:p>
      <w:pPr>
        <w:spacing w:after="240" w:line="300" w:lineRule="auto"/>
      </w:pPr>
      <w:r>
        <w:rPr>
          <w:rFonts w:ascii="Georgia" w:hAnsi="Georgia"/>
          <w:color w:val="1E293B"/>
          <w:sz w:val="24"/>
        </w:rPr>
        <w:t>Thank you, Mahendar. Good morning, my name is Aarya Nandan. I will present our Optimal Send Time Heatmap.</w:t>
      </w:r>
    </w:p>
    <w:p>
      <w:pPr>
        <w:spacing w:after="240" w:line="300" w:lineRule="auto"/>
      </w:pPr>
      <w:r>
        <w:rPr>
          <w:rFonts w:ascii="Georgia" w:hAnsi="Georgia"/>
          <w:color w:val="1E293B"/>
          <w:sz w:val="24"/>
        </w:rPr>
        <w:t>Marketers often ask, 'When is the best time to send an email campaign?' To answer this, we built a 7x24 Engagement Heatmap. Our backend retrieves all opens and clicks, filters out bot events, and bins the timestamps into a 168-cell matrix representing every hour of every day of the week.</w:t>
      </w:r>
    </w:p>
    <w:p>
      <w:pPr>
        <w:spacing w:after="240" w:line="300" w:lineRule="auto"/>
      </w:pPr>
      <w:r>
        <w:rPr>
          <w:rFonts w:ascii="Georgia" w:hAnsi="Georgia"/>
          <w:color w:val="1E293B"/>
          <w:sz w:val="24"/>
        </w:rPr>
        <w:t>This coordinate data is sent to the React frontend, which calculates cell opacity dynamically relative to peak activity. This highlights the most active periods in a deep accent color, while quiet times remain pastel or transparent. Subscribers' local times are normalized to ensure accurate reporting. Hovering over a cell displays a tooltip with the exact event count, letting marketers easily schedule their campaigns for maximum engagement.</w:t>
      </w:r>
    </w:p>
    <w:p>
      <w:pPr>
        <w:spacing w:before="120" w:after="120"/>
        <w:ind w:left="360"/>
      </w:pPr>
      <w:r>
        <w:rPr>
          <w:rFonts w:ascii="Arial" w:hAnsi="Arial"/>
          <w:b/>
          <w:color w:val="0E7490"/>
          <w:sz w:val="21"/>
        </w:rPr>
        <w:t>[UI ACTION: Hover over the darkest grids on the heatmap to show the tooltip popups.]</w:t>
      </w:r>
    </w:p>
    <w:p>
      <w:pPr>
        <w:spacing w:after="240" w:line="300" w:lineRule="auto"/>
      </w:pPr>
      <w:r>
        <w:rPr>
          <w:rFonts w:ascii="Georgia" w:hAnsi="Georgia"/>
          <w:color w:val="1E293B"/>
          <w:sz w:val="24"/>
        </w:rPr>
        <w:t>This completes our walk-through of the analytics and intelligence capabilities of ShrFlow. We are now open to any questions from the panel.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