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240"/>
        <w:jc w:val="center"/>
      </w:pPr>
      <w:r>
        <w:rPr>
          <w:rFonts w:ascii="Arial" w:hAnsi="Arial"/>
          <w:b/>
          <w:color w:val="0F172A"/>
          <w:sz w:val="48"/>
        </w:rPr>
        <w:t>SHRFLOW EMAIL ENGINE</w:t>
      </w:r>
    </w:p>
    <w:p>
      <w:pPr>
        <w:spacing w:after="400"/>
        <w:jc w:val="center"/>
      </w:pPr>
      <w:r>
        <w:rPr>
          <w:rFonts w:ascii="Arial" w:hAnsi="Arial"/>
          <w:color w:val="475569"/>
          <w:sz w:val="26"/>
        </w:rPr>
        <w:t>The Plain-English Project Explainer &amp; Presentation Manual</w:t>
        <w:br/>
        <w:t>(Designed for Non-Technical Evaluators, Judges, and Clients)</w:t>
      </w:r>
    </w:p>
    <w:p/>
    <w:p/>
    <w:p/>
    <w:p/>
    <w:p/>
    <w:p/>
    <w:p>
      <w:pPr>
        <w:jc w:val="center"/>
      </w:pPr>
      <w:r>
        <w:rPr>
          <w:rFonts w:ascii="Calibri" w:hAnsi="Calibri"/>
          <w:color w:val="64748B"/>
          <w:sz w:val="22"/>
        </w:rPr>
        <w:t>This manual explains ShrFlow using simple real-world analogies first,</w:t>
      </w:r>
    </w:p>
    <w:p>
      <w:pPr>
        <w:jc w:val="center"/>
      </w:pPr>
      <w:r>
        <w:rPr>
          <w:rFonts w:ascii="Calibri" w:hAnsi="Calibri"/>
          <w:color w:val="64748B"/>
          <w:sz w:val="22"/>
        </w:rPr>
        <w:t>followed by the technical specifications, file coordinates, and spoken presentation scripts.</w:t>
      </w:r>
    </w:p>
    <w:p>
      <w:pPr>
        <w:jc w:val="center"/>
      </w:pPr>
      <w:r>
        <w:rPr>
          <w:rFonts w:ascii="Calibri" w:hAnsi="Calibri"/>
          <w:color w:val="64748B"/>
          <w:sz w:val="22"/>
        </w:rPr>
        <w:t>Use this to present your work clearly, even if the judges have no prior context on the project.</w:t>
      </w:r>
    </w:p>
    <w:p>
      <w:pPr>
        <w:jc w:val="center"/>
      </w:pPr>
      <w:r>
        <w:rPr>
          <w:rFonts w:ascii="Calibri" w:hAnsi="Calibri"/>
          <w:color w:val="64748B"/>
          <w:sz w:val="22"/>
        </w:rPr>
      </w:r>
    </w:p>
    <w:p>
      <w:pPr>
        <w:jc w:val="center"/>
      </w:pPr>
      <w:r>
        <w:rPr>
          <w:rFonts w:ascii="Calibri" w:hAnsi="Calibri"/>
          <w:color w:val="64748B"/>
          <w:sz w:val="22"/>
        </w:rPr>
        <w:t>Compiled by: Vinay · Meghana · Manikanta · Mahendar · Aarya Nandan</w:t>
      </w:r>
    </w:p>
    <w:p>
      <w:pPr>
        <w:jc w:val="center"/>
      </w:pPr>
      <w:r>
        <w:rPr>
          <w:rFonts w:ascii="Calibri" w:hAnsi="Calibri"/>
          <w:color w:val="64748B"/>
          <w:sz w:val="22"/>
        </w:rPr>
        <w:t>May 2026</w:t>
      </w:r>
    </w:p>
    <w:p>
      <w:r>
        <w:br w:type="page"/>
      </w:r>
    </w:p>
    <w:p>
      <w:pPr>
        <w:keepNext/>
        <w:spacing w:before="440" w:after="160"/>
      </w:pPr>
      <w:r>
        <w:rPr>
          <w:rFonts w:ascii="Arial" w:hAnsi="Arial"/>
          <w:b/>
          <w:color w:val="0F172A"/>
          <w:sz w:val="32"/>
        </w:rPr>
        <w:t>1. The Core Concept: What is ShrFlow?</w:t>
      </w:r>
    </w:p>
    <w:p>
      <w:pPr>
        <w:spacing w:after="120" w:line="276" w:lineRule="auto"/>
      </w:pPr>
      <w:r>
        <w:rPr>
          <w:rFonts w:ascii="Calibri" w:hAnsi="Calibri"/>
          <w:color w:val="334155"/>
          <w:sz w:val="22"/>
        </w:rPr>
        <w:t>Think of ShrFlow as a highly automated, private post office built specifically for businesses. Normally, if a company wants to send newsletters or marketing offers to thousands of customers, they have to pay third-party services like Mailchimp a high monthly subscription fee. If they try to send them from their own servers, the emails are often blocked or redirected straight to the 'Spam' or 'Junk' folder because mailbox providers (like Gmail, Apple, and Outlook) do not trust unknown senders.</w:t>
      </w:r>
    </w:p>
    <w:p>
      <w:pPr>
        <w:spacing w:after="120" w:line="276" w:lineRule="auto"/>
      </w:pPr>
      <w:r>
        <w:rPr>
          <w:rFonts w:ascii="Calibri" w:hAnsi="Calibri"/>
          <w:color w:val="334155"/>
          <w:sz w:val="22"/>
        </w:rPr>
        <w:t>ShrFlow is a self-hosted platform. It runs on containerized servers (using Docker) which means companies can run it themselves for free. But more importantly, ShrFlow has a built-in 'Intelligent Telemetry and Analytics Command Center'. This is an automated engine that monitors if emails are reaching folders, tracks subscriber interactions, automatically handles errors, and uses data-driven models to guide senders on how to maintain a healthy sender reputation.</w:t>
      </w:r>
    </w:p>
    <w:p>
      <w:pPr>
        <w:keepNext/>
        <w:spacing w:before="280" w:after="120"/>
      </w:pPr>
      <w:r>
        <w:rPr>
          <w:rFonts w:ascii="Arial" w:hAnsi="Arial"/>
          <w:b/>
          <w:color w:val="1E293B"/>
          <w:sz w:val="25"/>
        </w:rPr>
        <w:t>1.1 The Post Office Analogy: How Email Tracking Actually Works</w:t>
      </w:r>
    </w:p>
    <w:p>
      <w:pPr>
        <w:spacing w:after="120" w:line="276" w:lineRule="auto"/>
      </w:pPr>
      <w:r>
        <w:rPr>
          <w:rFonts w:ascii="Calibri" w:hAnsi="Calibri"/>
          <w:color w:val="334155"/>
          <w:sz w:val="22"/>
        </w:rPr>
        <w:t>In the physical world, when you drop a letter in a mailbox, you have no idea if the recipient opened it, threw it away, or if they moved to a new address unless they write back. In digital marketing, we need to know these details to make business decisions. ShrFlow tracks these events using simple, elegant analogies:</w:t>
      </w:r>
    </w:p>
    <w:p>
      <w:pPr>
        <w:pStyle w:val="ListBullet"/>
        <w:spacing w:after="60"/>
        <w:ind w:left="360"/>
      </w:pPr>
      <w:r>
        <w:rPr>
          <w:rFonts w:ascii="Calibri" w:hAnsi="Calibri"/>
          <w:b/>
          <w:color w:val="1E293B"/>
          <w:sz w:val="22"/>
        </w:rPr>
        <w:t xml:space="preserve">Open Tracking: </w:t>
      </w:r>
      <w:r>
        <w:rPr>
          <w:rFonts w:ascii="Calibri" w:hAnsi="Calibri"/>
          <w:color w:val="334155"/>
          <w:sz w:val="22"/>
        </w:rPr>
        <w:t>Every email contains an invisible receipt card. If the recipient loads the mail, the card is returned to our post office, logging an 'Open'.</w:t>
      </w:r>
    </w:p>
    <w:p>
      <w:pPr>
        <w:pStyle w:val="ListBullet"/>
        <w:spacing w:after="60"/>
        <w:ind w:left="360"/>
      </w:pPr>
      <w:r>
        <w:rPr>
          <w:rFonts w:ascii="Calibri" w:hAnsi="Calibri"/>
          <w:b/>
          <w:color w:val="1E293B"/>
          <w:sz w:val="22"/>
        </w:rPr>
        <w:t xml:space="preserve">Click Tracking: </w:t>
      </w:r>
      <w:r>
        <w:rPr>
          <w:rFonts w:ascii="Calibri" w:hAnsi="Calibri"/>
          <w:color w:val="334155"/>
          <w:sz w:val="22"/>
        </w:rPr>
        <w:t>If the recipient clicks a link, they are briefly routed through our check-in desk before being forwarded to their destination.</w:t>
      </w:r>
    </w:p>
    <w:p>
      <w:pPr>
        <w:pStyle w:val="ListBullet"/>
        <w:spacing w:after="60"/>
        <w:ind w:left="360"/>
      </w:pPr>
      <w:r>
        <w:rPr>
          <w:rFonts w:ascii="Calibri" w:hAnsi="Calibri"/>
          <w:b/>
          <w:color w:val="1E293B"/>
          <w:sz w:val="22"/>
        </w:rPr>
        <w:t xml:space="preserve">Bounce Management: </w:t>
      </w:r>
      <w:r>
        <w:rPr>
          <w:rFonts w:ascii="Calibri" w:hAnsi="Calibri"/>
          <w:color w:val="334155"/>
          <w:sz w:val="22"/>
        </w:rPr>
        <w:t>If the post office returns the letter because the address does not exist, we blacklist that address to protect our sender reputation.</w:t>
      </w:r>
    </w:p>
    <w:p>
      <w:r>
        <w:br w:type="page"/>
      </w:r>
    </w:p>
    <w:p>
      <w:pPr>
        <w:keepNext/>
        <w:spacing w:before="440" w:after="160"/>
      </w:pPr>
      <w:r>
        <w:rPr>
          <w:rFonts w:ascii="Arial" w:hAnsi="Arial"/>
          <w:b/>
          <w:color w:val="0F172A"/>
          <w:sz w:val="32"/>
        </w:rPr>
        <w:t>2. Presenter 1: Vinay — Core Ingestion, Open Rates &amp; Chatbot</w:t>
      </w:r>
    </w:p>
    <w:p>
      <w:pPr>
        <w:keepNext/>
        <w:spacing w:before="280" w:after="120"/>
      </w:pPr>
      <w:r>
        <w:rPr>
          <w:rFonts w:ascii="Arial" w:hAnsi="Arial"/>
          <w:b/>
          <w:color w:val="1E293B"/>
          <w:sz w:val="25"/>
        </w:rPr>
        <w:t>2.1 The Concept Explained Simply</w:t>
      </w:r>
    </w:p>
    <w:p>
      <w:pPr>
        <w:spacing w:after="120" w:line="276" w:lineRule="auto"/>
      </w:pPr>
      <w:r>
        <w:rPr>
          <w:rFonts w:ascii="Calibri" w:hAnsi="Calibri"/>
          <w:color w:val="334155"/>
          <w:sz w:val="22"/>
        </w:rPr>
        <w:t>Vinay's role covers tracking sent/failed statistics, open rates, and the chatbot helper.</w:t>
      </w:r>
    </w:p>
    <w:p>
      <w:pPr>
        <w:spacing w:after="120" w:line="276" w:lineRule="auto"/>
      </w:pPr>
      <w:r>
        <w:rPr>
          <w:rFonts w:ascii="Calibri" w:hAnsi="Calibri"/>
          <w:color w:val="334155"/>
          <w:sz w:val="22"/>
        </w:rPr>
        <w:t>How do we know someone opened an email? We place an invisible image pixel inside it. Think of this as a tiny, invisible 1x1 image at the bottom of the email. When the user opens the email, their email client (like Gmail) loads the email text and requests the image from our server. When our server receives this request, it logs an 'Open' event.</w:t>
      </w:r>
    </w:p>
    <w:p>
      <w:pPr>
        <w:spacing w:after="120" w:line="276" w:lineRule="auto"/>
      </w:pPr>
      <w:r>
        <w:rPr>
          <w:rFonts w:ascii="Calibri" w:hAnsi="Calibri"/>
          <w:color w:val="334155"/>
          <w:sz w:val="22"/>
        </w:rPr>
        <w:t>However, mail servers (especially Apple Mail and Gmail) pre-download images onto their own servers to protect privacy. This triggers false opens. Vinay's logic checks the IP and browser type. If it matches a proxy bot, we flag it as a bot click so it doesn't skew our marketing reports.</w:t>
      </w:r>
    </w:p>
    <w:p>
      <w:pPr>
        <w:spacing w:after="120" w:line="276" w:lineRule="auto"/>
      </w:pPr>
      <w:r>
        <w:rPr>
          <w:rFonts w:ascii="Calibri" w:hAnsi="Calibri"/>
          <w:color w:val="334155"/>
          <w:sz w:val="22"/>
        </w:rPr>
        <w:t>We also built a Conversational AI Chatbot. Think of this as a digital manager that stands next to our database. Instead of paying an external AI service (like ChatGPT) for API keys, our chatbot uses an internal state-machine. When a user asks: 'What is my open rate?', the chatbot parses the word 'open', runs a database query to find the actual open rate, and outputs a custom recommendation.</w:t>
      </w:r>
    </w:p>
    <w:p>
      <w:pPr>
        <w:keepNext/>
        <w:spacing w:before="280" w:after="120"/>
      </w:pPr>
      <w:r>
        <w:rPr>
          <w:rFonts w:ascii="Arial" w:hAnsi="Arial"/>
          <w:b/>
          <w:color w:val="1E293B"/>
          <w:sz w:val="25"/>
        </w:rPr>
        <w:t>2.2 Developer Code Path Reference</w:t>
      </w:r>
    </w:p>
    <w:p>
      <w:pPr>
        <w:pStyle w:val="ListBullet"/>
        <w:spacing w:after="60"/>
        <w:ind w:left="360"/>
      </w:pPr>
      <w:r>
        <w:rPr>
          <w:rFonts w:ascii="Calibri" w:hAnsi="Calibri"/>
          <w:color w:val="334155"/>
          <w:sz w:val="22"/>
        </w:rPr>
        <w:t>Tracking Route: GET /analytics/track/open/{dispatch_id} in platform/api/routes/tracking.py</w:t>
      </w:r>
    </w:p>
    <w:p>
      <w:pPr>
        <w:pStyle w:val="ListBullet"/>
        <w:spacing w:after="60"/>
        <w:ind w:left="360"/>
      </w:pPr>
      <w:r>
        <w:rPr>
          <w:rFonts w:ascii="Calibri" w:hAnsi="Calibri"/>
          <w:color w:val="334155"/>
          <w:sz w:val="22"/>
        </w:rPr>
        <w:t>Pixel Injection: _inject_tracking_pixel in platform/worker/handlers/email_handler.py</w:t>
      </w:r>
    </w:p>
    <w:p>
      <w:pPr>
        <w:pStyle w:val="ListBullet"/>
        <w:spacing w:after="60"/>
        <w:ind w:left="360"/>
      </w:pPr>
      <w:r>
        <w:rPr>
          <w:rFonts w:ascii="Calibri" w:hAnsi="Calibri"/>
          <w:color w:val="334155"/>
          <w:sz w:val="22"/>
        </w:rPr>
        <w:t>Chatbot API: POST /analytics/chat in platform/api/routes/analytics.py</w:t>
      </w:r>
    </w:p>
    <w:p>
      <w:pPr>
        <w:pStyle w:val="ListBullet"/>
        <w:spacing w:after="60"/>
        <w:ind w:left="360"/>
      </w:pPr>
      <w:r>
        <w:rPr>
          <w:rFonts w:ascii="Calibri" w:hAnsi="Calibri"/>
          <w:color w:val="334155"/>
          <w:sz w:val="22"/>
        </w:rPr>
        <w:t>Chatbot UI: platform/client/src/components/analytics/AIChatbot.tsx</w:t>
      </w:r>
    </w:p>
    <w:p>
      <w:pPr>
        <w:spacing w:before="80" w:after="80"/>
        <w:ind w:left="288"/>
      </w:pPr>
      <w:r>
        <w:rPr>
          <w:rFonts w:ascii="Arial" w:hAnsi="Arial"/>
          <w:b/>
          <w:color w:val="0E7490"/>
          <w:sz w:val="20"/>
        </w:rPr>
        <w:t>[UI ACTION: Open the live dashboard. Click the float Chatbot bubble, type 'Show my account health', and display the metrics.]</w:t>
      </w:r>
    </w:p>
    <w:p>
      <w:pPr>
        <w:spacing w:after="200" w:line="288" w:lineRule="auto"/>
      </w:pPr>
      <w:r>
        <w:rPr>
          <w:rFonts w:ascii="Georgia" w:hAnsi="Georgia"/>
          <w:color w:val="1E293B"/>
          <w:sz w:val="23"/>
        </w:rPr>
        <w:t>Good morning, judges. My name is Vinay, and I will present our core telemetry, open-rate engines, and our self-hosted AI Chatbot. When an email campaign is triggered, we track Sent and Failed counts directly from our database. To know when someone opens an email, we embed an invisible, 1x1 transparent image pixel. When the user opens the email, their browser fetches this pixel from our server. We verify the request signature to prevent fraud, check the IP address to filter out automated proxy pre-loaders (like Apple MPP or Gmail), and log a unique open. We also developed our Conversational AI Chatbot. It runs locally without external API keys, parsing English text to query live metrics and provide instant marketing suggestions. Next, Meghana will discuss click coordinates and unsubscribes.</w:t>
      </w:r>
    </w:p>
    <w:p>
      <w:r>
        <w:br w:type="page"/>
      </w:r>
    </w:p>
    <w:p>
      <w:pPr>
        <w:keepNext/>
        <w:spacing w:before="440" w:after="160"/>
      </w:pPr>
      <w:r>
        <w:rPr>
          <w:rFonts w:ascii="Arial" w:hAnsi="Arial"/>
          <w:b/>
          <w:color w:val="0F172A"/>
          <w:sz w:val="32"/>
        </w:rPr>
        <w:t>3. Presenter 2: Meghana — Click Heatmaps, Unsubscribes &amp; Insights</w:t>
      </w:r>
    </w:p>
    <w:p>
      <w:pPr>
        <w:keepNext/>
        <w:spacing w:before="280" w:after="120"/>
      </w:pPr>
      <w:r>
        <w:rPr>
          <w:rFonts w:ascii="Arial" w:hAnsi="Arial"/>
          <w:b/>
          <w:color w:val="1E293B"/>
          <w:sz w:val="25"/>
        </w:rPr>
        <w:t>3.1 The Concept Explained Simply</w:t>
      </w:r>
    </w:p>
    <w:p>
      <w:pPr>
        <w:spacing w:after="120" w:line="276" w:lineRule="auto"/>
      </w:pPr>
      <w:r>
        <w:rPr>
          <w:rFonts w:ascii="Calibri" w:hAnsi="Calibri"/>
          <w:color w:val="334155"/>
          <w:sz w:val="22"/>
        </w:rPr>
        <w:t>Meghana's features cover click mapping, unsubscribe loops, and smart recommendations.</w:t>
      </w:r>
    </w:p>
    <w:p>
      <w:pPr>
        <w:spacing w:after="120" w:line="276" w:lineRule="auto"/>
      </w:pPr>
      <w:r>
        <w:rPr>
          <w:rFonts w:ascii="Calibri" w:hAnsi="Calibri"/>
          <w:color w:val="334155"/>
          <w:sz w:val="22"/>
        </w:rPr>
        <w:t>Standard click tracking simply checks if a link was clicked. We capture the relative coordinate of where the mouse click occurred on the email template (relative x, y pixels). The database stores these points, and our frontend aggregates them. This creates a visual click coordinate heatmap overlay, showing marketers exactly which template blocks drive the most clicks.</w:t>
      </w:r>
    </w:p>
    <w:p>
      <w:pPr>
        <w:spacing w:after="120" w:line="276" w:lineRule="auto"/>
      </w:pPr>
      <w:r>
        <w:rPr>
          <w:rFonts w:ascii="Calibri" w:hAnsi="Calibri"/>
          <w:color w:val="334155"/>
          <w:sz w:val="22"/>
        </w:rPr>
        <w:t>For unsubscribe compliance, when a user clicks 'Unsubscribe', we need to verify their request without asking them to log in. We generate a signed HMAC token containing the contact ID and campaign ID. When clicked, our server verifies the signature. If valid, it updates the database status to 'unsubscribed'. Future campaign sends automatically exclude these unsubscribed contacts.</w:t>
      </w:r>
    </w:p>
    <w:p>
      <w:pPr>
        <w:spacing w:after="120" w:line="276" w:lineRule="auto"/>
      </w:pPr>
      <w:r>
        <w:rPr>
          <w:rFonts w:ascii="Calibri" w:hAnsi="Calibri"/>
          <w:color w:val="334155"/>
          <w:sz w:val="22"/>
        </w:rPr>
        <w:t>Our Smart Insights engine is a diagnostic advisor. It compares the current campaign's performance against the historical average. If the open rate drops by more than 2%, it warns the sender. If the bounce rate spikes above 5%, it flags an anomaly warning, advising the user to verify their domain records.</w:t>
      </w:r>
    </w:p>
    <w:p>
      <w:pPr>
        <w:keepNext/>
        <w:spacing w:before="280" w:after="120"/>
      </w:pPr>
      <w:r>
        <w:rPr>
          <w:rFonts w:ascii="Arial" w:hAnsi="Arial"/>
          <w:b/>
          <w:color w:val="1E293B"/>
          <w:sz w:val="25"/>
        </w:rPr>
        <w:t>3.2 Developer Code Path Reference</w:t>
      </w:r>
    </w:p>
    <w:p>
      <w:pPr>
        <w:pStyle w:val="ListBullet"/>
        <w:spacing w:after="60"/>
        <w:ind w:left="360"/>
      </w:pPr>
      <w:r>
        <w:rPr>
          <w:rFonts w:ascii="Calibri" w:hAnsi="Calibri"/>
          <w:color w:val="334155"/>
          <w:sz w:val="22"/>
        </w:rPr>
        <w:t>Click coordinates: GET /analytics/track/click in platform/api/routes/tracking.py</w:t>
      </w:r>
    </w:p>
    <w:p>
      <w:pPr>
        <w:pStyle w:val="ListBullet"/>
        <w:spacing w:after="60"/>
        <w:ind w:left="360"/>
      </w:pPr>
      <w:r>
        <w:rPr>
          <w:rFonts w:ascii="Calibri" w:hAnsi="Calibri"/>
          <w:color w:val="334155"/>
          <w:sz w:val="22"/>
        </w:rPr>
        <w:t>Unsubscribe handler: GET /unsubscribe in platform/api/routes/unsubscribe.py</w:t>
      </w:r>
    </w:p>
    <w:p>
      <w:pPr>
        <w:pStyle w:val="ListBullet"/>
        <w:spacing w:after="60"/>
        <w:ind w:left="360"/>
      </w:pPr>
      <w:r>
        <w:rPr>
          <w:rFonts w:ascii="Calibri" w:hAnsi="Calibri"/>
          <w:color w:val="334155"/>
          <w:sz w:val="22"/>
        </w:rPr>
        <w:t>Smart Insights Endpoint: GET /analytics/smart-insights in platform/api/routes/analytics.py</w:t>
      </w:r>
    </w:p>
    <w:p>
      <w:pPr>
        <w:pStyle w:val="ListBullet"/>
        <w:spacing w:after="60"/>
        <w:ind w:left="360"/>
      </w:pPr>
      <w:r>
        <w:rPr>
          <w:rFonts w:ascii="Calibri" w:hAnsi="Calibri"/>
          <w:color w:val="334155"/>
          <w:sz w:val="22"/>
        </w:rPr>
        <w:t>Smart Insights UI: platform/client/src/components/analytics/SmartInsights.tsx</w:t>
      </w:r>
    </w:p>
    <w:p>
      <w:pPr>
        <w:spacing w:before="80" w:after="80"/>
        <w:ind w:left="288"/>
      </w:pPr>
      <w:r>
        <w:rPr>
          <w:rFonts w:ascii="Arial" w:hAnsi="Arial"/>
          <w:b/>
          <w:color w:val="0E7490"/>
          <w:sz w:val="20"/>
        </w:rPr>
        <w:t>[UI ACTION: Show the 'Smart Insights' panel on the dashboard. Hover over the cards to display recommendations.]</w:t>
      </w:r>
    </w:p>
    <w:p>
      <w:pPr>
        <w:spacing w:after="200" w:line="288" w:lineRule="auto"/>
      </w:pPr>
      <w:r>
        <w:rPr>
          <w:rFonts w:ascii="Georgia" w:hAnsi="Georgia"/>
          <w:color w:val="1E293B"/>
          <w:sz w:val="23"/>
        </w:rPr>
        <w:t>Hello everyone, my name is Meghana. I will present our click coordinate heatmaps, secure unsubscribe loop, and the Smart Insights engine. We track the exact coordinates where subscribers click inside our emails. We save these coordinates to render a click heatmap overlay, showing which design blocks get the most engagement. To ensure privacy compliance, we generate secure unsubscribe links using HMAC-SHA256 signatures. Clicking the link instantly updates the database to exclude that contact from future sends. Finally, our Smart Insights engine monitors delivery quality, automatically flagging high bounce rates or changes in open rates compared to historical averages. Next, Manikanta will present our forecasting models.</w:t>
      </w:r>
    </w:p>
    <w:p>
      <w:r>
        <w:br w:type="page"/>
      </w:r>
    </w:p>
    <w:p>
      <w:pPr>
        <w:keepNext/>
        <w:spacing w:before="440" w:after="160"/>
      </w:pPr>
      <w:r>
        <w:rPr>
          <w:rFonts w:ascii="Arial" w:hAnsi="Arial"/>
          <w:b/>
          <w:color w:val="0F172A"/>
          <w:sz w:val="32"/>
        </w:rPr>
        <w:t>4. Presenter 3: Manikanta — Predictive Analytics &amp; Click Redirects</w:t>
      </w:r>
    </w:p>
    <w:p>
      <w:pPr>
        <w:keepNext/>
        <w:spacing w:before="280" w:after="120"/>
      </w:pPr>
      <w:r>
        <w:rPr>
          <w:rFonts w:ascii="Arial" w:hAnsi="Arial"/>
          <w:b/>
          <w:color w:val="1E293B"/>
          <w:sz w:val="25"/>
        </w:rPr>
        <w:t>4.1 The Concept Explained Simply</w:t>
      </w:r>
    </w:p>
    <w:p>
      <w:pPr>
        <w:spacing w:after="120" w:line="276" w:lineRule="auto"/>
      </w:pPr>
      <w:r>
        <w:rPr>
          <w:rFonts w:ascii="Calibri" w:hAnsi="Calibri"/>
          <w:color w:val="334155"/>
          <w:sz w:val="22"/>
        </w:rPr>
        <w:t>Manikanta's features cover predictive forecasting, trend slopes, and click redirects.</w:t>
      </w:r>
    </w:p>
    <w:p>
      <w:pPr>
        <w:spacing w:after="120" w:line="276" w:lineRule="auto"/>
      </w:pPr>
      <w:r>
        <w:rPr>
          <w:rFonts w:ascii="Calibri" w:hAnsi="Calibri"/>
          <w:color w:val="334155"/>
          <w:sz w:val="22"/>
        </w:rPr>
        <w:t>Marketers need to project performance. Our Predictive Analytics engine acts like a weather forecast for your campaigns. It calculates expected open and click rates for the next campaign. The engine pulls data from up to the last 10 campaigns and calculates a moving average where recent campaigns are weighted more heavily, reflecting recent changes in subscriber behavior.</w:t>
      </w:r>
    </w:p>
    <w:p>
      <w:pPr>
        <w:spacing w:after="120" w:line="276" w:lineRule="auto"/>
      </w:pPr>
      <w:r>
        <w:rPr>
          <w:rFonts w:ascii="Calibri" w:hAnsi="Calibri"/>
          <w:color w:val="334155"/>
          <w:sz w:val="22"/>
        </w:rPr>
        <w:t>It then calculates a trend slope: 'Upward' (if engagement grew by &gt;1%), 'Downward' (if engagement dropped by &gt;1%), or 'Stable'. We calculate a confidence score based on campaign history: starting at 65% for new accounts and scaling up to 92% once a history of 8 or more campaigns is established in the database.</w:t>
      </w:r>
    </w:p>
    <w:p>
      <w:pPr>
        <w:spacing w:after="120" w:line="276" w:lineRule="auto"/>
      </w:pPr>
      <w:r>
        <w:rPr>
          <w:rFonts w:ascii="Calibri" w:hAnsi="Calibri"/>
          <w:color w:val="334155"/>
          <w:sz w:val="22"/>
        </w:rPr>
        <w:t>For link clicks, we route users through a click gateway. The link is base64-encoded and secured with an HMAC signature. When clicked, the server logs the event and redirects the browser using an HTTP 302 response in under 50 milliseconds. If the click happens within 2 seconds of the open event, the system flags it as an automated scanner and marks it as a bot click.</w:t>
      </w:r>
    </w:p>
    <w:p>
      <w:pPr>
        <w:keepNext/>
        <w:spacing w:before="280" w:after="120"/>
      </w:pPr>
      <w:r>
        <w:rPr>
          <w:rFonts w:ascii="Arial" w:hAnsi="Arial"/>
          <w:b/>
          <w:color w:val="1E293B"/>
          <w:sz w:val="25"/>
        </w:rPr>
        <w:t>4.2 Developer Code Path Reference</w:t>
      </w:r>
    </w:p>
    <w:p>
      <w:pPr>
        <w:pStyle w:val="ListBullet"/>
        <w:spacing w:after="60"/>
        <w:ind w:left="360"/>
      </w:pPr>
      <w:r>
        <w:rPr>
          <w:rFonts w:ascii="Calibri" w:hAnsi="Calibri"/>
          <w:color w:val="334155"/>
          <w:sz w:val="22"/>
        </w:rPr>
        <w:t>Predictive Endpoint: GET /analytics/predictive in platform/api/routes/analytics.py</w:t>
      </w:r>
    </w:p>
    <w:p>
      <w:pPr>
        <w:pStyle w:val="ListBullet"/>
        <w:spacing w:after="60"/>
        <w:ind w:left="360"/>
      </w:pPr>
      <w:r>
        <w:rPr>
          <w:rFonts w:ascii="Calibri" w:hAnsi="Calibri"/>
          <w:color w:val="334155"/>
          <w:sz w:val="22"/>
        </w:rPr>
        <w:t>Click Gateway Endpoint: GET /analytics/track/click in platform/api/routes/tracking.py</w:t>
      </w:r>
    </w:p>
    <w:p>
      <w:pPr>
        <w:pStyle w:val="ListBullet"/>
        <w:spacing w:after="60"/>
        <w:ind w:left="360"/>
      </w:pPr>
      <w:r>
        <w:rPr>
          <w:rFonts w:ascii="Calibri" w:hAnsi="Calibri"/>
          <w:color w:val="334155"/>
          <w:sz w:val="22"/>
        </w:rPr>
        <w:t>Predictive UI: platform/client/src/components/analytics/PredictiveAnalytics.tsx</w:t>
      </w:r>
    </w:p>
    <w:p>
      <w:pPr>
        <w:spacing w:before="80" w:after="80"/>
        <w:ind w:left="288"/>
      </w:pPr>
      <w:r>
        <w:rPr>
          <w:rFonts w:ascii="Arial" w:hAnsi="Arial"/>
          <w:b/>
          <w:color w:val="0E7490"/>
          <w:sz w:val="20"/>
        </w:rPr>
        <w:t>[UI ACTION: Show the 'Predictive Analytics' card on the dashboard showing the circular gauges (Expected Open, Click, and Model Confidence).]</w:t>
      </w:r>
    </w:p>
    <w:p>
      <w:pPr>
        <w:spacing w:after="200" w:line="288" w:lineRule="auto"/>
      </w:pPr>
      <w:r>
        <w:rPr>
          <w:rFonts w:ascii="Georgia" w:hAnsi="Georgia"/>
          <w:color w:val="1E293B"/>
          <w:sz w:val="23"/>
        </w:rPr>
        <w:t>Good morning, my name is Manikanta. I will present our Predictive Analytics forecasting models, engagement trend classifications, and the low-latency click redirect gateway. Our predictive analytics engine forecasts how your next email campaign will perform. By pulling data from up to the last ten campaigns, our algorithm calculates the expected open and click rates. We also calculate a dynamic confidence score based on your sending history—starting at 65% for new accounts and scaling up to 92% as more data is collected. To track engagement trends, the engine analyzes the performance slope across campaigns. If user interaction rates improve by more than 1%, it reports an 'Upward Trend'. If interaction drops by more than 1%, it warns the marketer of potential audience fatigue. Finally, click tracking is handled by our redirect gateway. The original URL is base64-encoded and secured with an HMAC signature. When clicked, the server logs the event and redirects the subscriber using an HTTP 302 response in under 50 milliseconds. To prevent automated security scanners from inflating click rates, we flag clicks that occur within 2 seconds of the open event as bot traffic. Next, Mahendar will present our bounce processing architecture.</w:t>
      </w:r>
    </w:p>
    <w:p>
      <w:r>
        <w:br w:type="page"/>
      </w:r>
    </w:p>
    <w:p>
      <w:pPr>
        <w:keepNext/>
        <w:spacing w:before="440" w:after="160"/>
      </w:pPr>
      <w:r>
        <w:rPr>
          <w:rFonts w:ascii="Arial" w:hAnsi="Arial"/>
          <w:b/>
          <w:color w:val="0F172A"/>
          <w:sz w:val="32"/>
        </w:rPr>
        <w:t>5. Presenter 4: Mahendar — Subscriber Intelligence &amp; Bounce Science</w:t>
      </w:r>
    </w:p>
    <w:p>
      <w:pPr>
        <w:keepNext/>
        <w:spacing w:before="280" w:after="120"/>
      </w:pPr>
      <w:r>
        <w:rPr>
          <w:rFonts w:ascii="Arial" w:hAnsi="Arial"/>
          <w:b/>
          <w:color w:val="1E293B"/>
          <w:sz w:val="25"/>
        </w:rPr>
        <w:t>5.1 The Concept Explained Simply</w:t>
      </w:r>
    </w:p>
    <w:p>
      <w:pPr>
        <w:spacing w:after="120" w:line="276" w:lineRule="auto"/>
      </w:pPr>
      <w:r>
        <w:rPr>
          <w:rFonts w:ascii="Calibri" w:hAnsi="Calibri"/>
          <w:color w:val="334155"/>
          <w:sz w:val="22"/>
        </w:rPr>
        <w:t>Mahendar's features cover subscriber segmentation, soft bounces, and hard bounces.</w:t>
      </w:r>
    </w:p>
    <w:p>
      <w:pPr>
        <w:spacing w:after="120" w:line="276" w:lineRule="auto"/>
      </w:pPr>
      <w:r>
        <w:rPr>
          <w:rFonts w:ascii="Calibri" w:hAnsi="Calibri"/>
          <w:color w:val="334155"/>
          <w:sz w:val="22"/>
        </w:rPr>
        <w:t>To maximize email delivery, we segment our list based on interaction history. Our Subscriber Intelligence engine dynamically groups contacts into three engagement tiers: Highly Engaged (&gt;=3 opens/clicks), Moderately Engaged (1-2), and Inactive (0). This helps senders target active users and re-engage inactive ones, which is displayed as a stacked bar chart on the dashboard.</w:t>
      </w:r>
    </w:p>
    <w:p>
      <w:pPr>
        <w:spacing w:after="120" w:line="276" w:lineRule="auto"/>
      </w:pPr>
      <w:r>
        <w:rPr>
          <w:rFonts w:ascii="Calibri" w:hAnsi="Calibri"/>
          <w:color w:val="334155"/>
          <w:sz w:val="22"/>
        </w:rPr>
        <w:t>Managing delivery failures (bounces) is critical. We categorize failures based on SMTP codes:</w:t>
      </w:r>
    </w:p>
    <w:p>
      <w:pPr>
        <w:pStyle w:val="ListBullet"/>
        <w:spacing w:after="60"/>
        <w:ind w:left="360"/>
      </w:pPr>
      <w:r>
        <w:rPr>
          <w:rFonts w:ascii="Calibri" w:hAnsi="Calibri"/>
          <w:b/>
          <w:color w:val="1E293B"/>
          <w:sz w:val="22"/>
        </w:rPr>
        <w:t xml:space="preserve">Hard Bounces (5xx SMTP Codes): </w:t>
      </w:r>
      <w:r>
        <w:rPr>
          <w:rFonts w:ascii="Calibri" w:hAnsi="Calibri"/>
          <w:color w:val="334155"/>
          <w:sz w:val="22"/>
        </w:rPr>
        <w:t>Permanent failures (e.g., non-existent address, invalid domain, or sender blocked). These represent severe threats to our sender score. The backend immediately flags these in the database and suppresses them from future sends.</w:t>
      </w:r>
    </w:p>
    <w:p>
      <w:pPr>
        <w:pStyle w:val="ListBullet"/>
        <w:spacing w:after="60"/>
        <w:ind w:left="360"/>
      </w:pPr>
      <w:r>
        <w:rPr>
          <w:rFonts w:ascii="Calibri" w:hAnsi="Calibri"/>
          <w:b/>
          <w:color w:val="1E293B"/>
          <w:sz w:val="22"/>
        </w:rPr>
        <w:t xml:space="preserve">Soft Bounces (4xx SMTP Codes): </w:t>
      </w:r>
      <w:r>
        <w:rPr>
          <w:rFonts w:ascii="Calibri" w:hAnsi="Calibri"/>
          <w:color w:val="334155"/>
          <w:sz w:val="22"/>
        </w:rPr>
        <w:t>Temporary failures (e.g., inbox full, server temporarily down). The message is placed in a RabbitMQ retry queue with an backoff schedule, retrying delivery for up to 72 hours.</w:t>
      </w:r>
    </w:p>
    <w:p>
      <w:pPr>
        <w:keepNext/>
        <w:spacing w:before="280" w:after="120"/>
      </w:pPr>
      <w:r>
        <w:rPr>
          <w:rFonts w:ascii="Arial" w:hAnsi="Arial"/>
          <w:b/>
          <w:color w:val="1E293B"/>
          <w:sz w:val="25"/>
        </w:rPr>
        <w:t>5.2 Developer Code Path Reference</w:t>
      </w:r>
    </w:p>
    <w:p>
      <w:pPr>
        <w:pStyle w:val="ListBullet"/>
        <w:spacing w:after="60"/>
        <w:ind w:left="360"/>
      </w:pPr>
      <w:r>
        <w:rPr>
          <w:rFonts w:ascii="Calibri" w:hAnsi="Calibri"/>
          <w:color w:val="334155"/>
          <w:sz w:val="22"/>
        </w:rPr>
        <w:t>Subscriber Intelligence API: GET /analytics/subscriber-intelligence in platform/api/routes/analytics.py</w:t>
      </w:r>
    </w:p>
    <w:p>
      <w:pPr>
        <w:pStyle w:val="ListBullet"/>
        <w:spacing w:after="60"/>
        <w:ind w:left="360"/>
      </w:pPr>
      <w:r>
        <w:rPr>
          <w:rFonts w:ascii="Calibri" w:hAnsi="Calibri"/>
          <w:color w:val="334155"/>
          <w:sz w:val="22"/>
        </w:rPr>
        <w:t>Webhook Route: POST /webhooks/delivery in platform/api/routes/webhooks.py</w:t>
      </w:r>
    </w:p>
    <w:p>
      <w:pPr>
        <w:pStyle w:val="ListBullet"/>
        <w:spacing w:after="60"/>
        <w:ind w:left="360"/>
      </w:pPr>
      <w:r>
        <w:rPr>
          <w:rFonts w:ascii="Calibri" w:hAnsi="Calibri"/>
          <w:color w:val="334155"/>
          <w:sz w:val="22"/>
        </w:rPr>
        <w:t>Subscriber Intelligence Component: platform/client/src/components/analytics/SubscriberIntelligence.tsx</w:t>
      </w:r>
    </w:p>
    <w:p>
      <w:pPr>
        <w:spacing w:before="80" w:after="80"/>
        <w:ind w:left="288"/>
      </w:pPr>
      <w:r>
        <w:rPr>
          <w:rFonts w:ascii="Arial" w:hAnsi="Arial"/>
          <w:b/>
          <w:color w:val="0E7490"/>
          <w:sz w:val="20"/>
        </w:rPr>
        <w:t>[UI ACTION: Show the 'Subscriber Intelligence' stacked color bar widget. Navigate to a campaign's bounce log table.]</w:t>
      </w:r>
    </w:p>
    <w:p>
      <w:pPr>
        <w:spacing w:after="200" w:line="288" w:lineRule="auto"/>
      </w:pPr>
      <w:r>
        <w:rPr>
          <w:rFonts w:ascii="Georgia" w:hAnsi="Georgia"/>
          <w:color w:val="1E293B"/>
          <w:sz w:val="23"/>
        </w:rPr>
        <w:t>Good morning, my name is Mahendar, and I will discuss our Subscriber Intelligence engine and the details of our bounce processing architecture. Our subscriber intelligence model monitors user activity. By analyzing the interaction history in our database, it segments subscribers in real time into three categories: Highly Engaged, Moderately Engaged, and Inactive. This segmentation is displayed as a stacked bar chart on the dashboard, letting senders easily target their most active users or run re-engagement campaigns. Managing bounces is critical for protecting domain reputation. We process bounces by analyzing raw SMTP codes. A 5xx error indicates a permanent failure (like a non-existent email address). The system immediately flags these contacts as 'bounced' in the database and suppresses them from future sends. A 4xx error indicates a temporary failure, such as a full mailbox. Instead of failing the delivery, the system places the message in a RabbitMQ retry queue with an exponential backoff, retrying the delivery for up to 72 hours. This helps maximize successful deliveries without risking blocklists. Next, Aarya Nandan will present our send-time heatmap.</w:t>
      </w:r>
    </w:p>
    <w:p>
      <w:r>
        <w:br w:type="page"/>
      </w:r>
    </w:p>
    <w:p>
      <w:pPr>
        <w:keepNext/>
        <w:spacing w:before="440" w:after="160"/>
      </w:pPr>
      <w:r>
        <w:rPr>
          <w:rFonts w:ascii="Arial" w:hAnsi="Arial"/>
          <w:b/>
          <w:color w:val="0F172A"/>
          <w:sz w:val="32"/>
        </w:rPr>
        <w:t>6. Presenter 5: Aarya Nandan — Optimal Send Time Heatmap</w:t>
      </w:r>
    </w:p>
    <w:p>
      <w:pPr>
        <w:keepNext/>
        <w:spacing w:before="280" w:after="120"/>
      </w:pPr>
      <w:r>
        <w:rPr>
          <w:rFonts w:ascii="Arial" w:hAnsi="Arial"/>
          <w:b/>
          <w:color w:val="1E293B"/>
          <w:sz w:val="25"/>
        </w:rPr>
        <w:t>6.1 The Concept Explained Simply</w:t>
      </w:r>
    </w:p>
    <w:p>
      <w:pPr>
        <w:spacing w:after="120" w:line="276" w:lineRule="auto"/>
      </w:pPr>
      <w:r>
        <w:rPr>
          <w:rFonts w:ascii="Calibri" w:hAnsi="Calibri"/>
          <w:color w:val="334155"/>
          <w:sz w:val="22"/>
        </w:rPr>
        <w:t>Aarya Nandan's feature covers the send-time heatmap.</w:t>
      </w:r>
    </w:p>
    <w:p>
      <w:pPr>
        <w:spacing w:after="120" w:line="276" w:lineRule="auto"/>
      </w:pPr>
      <w:r>
        <w:rPr>
          <w:rFonts w:ascii="Calibri" w:hAnsi="Calibri"/>
          <w:color w:val="334155"/>
          <w:sz w:val="22"/>
        </w:rPr>
        <w:t>Email open rates depend heavily on when they are sent. To help senders, we built an interactive 7x24 Engagement Heatmap.</w:t>
      </w:r>
    </w:p>
    <w:p>
      <w:pPr>
        <w:spacing w:after="120" w:line="276" w:lineRule="auto"/>
      </w:pPr>
      <w:r>
        <w:rPr>
          <w:rFonts w:ascii="Calibri" w:hAnsi="Calibri"/>
          <w:color w:val="334155"/>
          <w:sz w:val="22"/>
        </w:rPr>
        <w:t>The backend route queries all open and click events, filters out bot events, and bins the timestamps into a 168-cell matrix representing every hour of every day of the week (0 to 6 for weekday, 0 to 23 for hour).</w:t>
      </w:r>
    </w:p>
    <w:p>
      <w:pPr>
        <w:spacing w:after="120" w:line="276" w:lineRule="auto"/>
      </w:pPr>
      <w:r>
        <w:rPr>
          <w:rFonts w:ascii="Calibri" w:hAnsi="Calibri"/>
          <w:color w:val="334155"/>
          <w:sz w:val="22"/>
        </w:rPr>
        <w:t>This coordinate data is sent to the React frontend, which calculates cell opacity dynamically relative to peak activity (opacity = value / max_value). This highlights the most active periods in a deep accent color, while quiet times remain pastel or transparent. Hovering over a cell displays a tooltip with the exact event count, letting marketers easily schedule their campaigns for maximum engagement.</w:t>
      </w:r>
    </w:p>
    <w:p>
      <w:pPr>
        <w:keepNext/>
        <w:spacing w:before="280" w:after="120"/>
      </w:pPr>
      <w:r>
        <w:rPr>
          <w:rFonts w:ascii="Arial" w:hAnsi="Arial"/>
          <w:b/>
          <w:color w:val="1E293B"/>
          <w:sz w:val="25"/>
        </w:rPr>
        <w:t>6.2 Developer Code Path Reference</w:t>
      </w:r>
    </w:p>
    <w:p>
      <w:pPr>
        <w:pStyle w:val="ListBullet"/>
        <w:spacing w:after="60"/>
        <w:ind w:left="360"/>
      </w:pPr>
      <w:r>
        <w:rPr>
          <w:rFonts w:ascii="Calibri" w:hAnsi="Calibri"/>
          <w:color w:val="334155"/>
          <w:sz w:val="22"/>
        </w:rPr>
        <w:t>Heatmap Route: GET /analytics/heatmap in platform/api/routes/analytics.py</w:t>
      </w:r>
    </w:p>
    <w:p>
      <w:pPr>
        <w:pStyle w:val="ListBullet"/>
        <w:spacing w:after="60"/>
        <w:ind w:left="360"/>
      </w:pPr>
      <w:r>
        <w:rPr>
          <w:rFonts w:ascii="Calibri" w:hAnsi="Calibri"/>
          <w:color w:val="334155"/>
          <w:sz w:val="22"/>
        </w:rPr>
        <w:t>Heatmap UI Component: platform/client/src/components/analytics/EngagementHeatmap.tsx</w:t>
      </w:r>
    </w:p>
    <w:p>
      <w:pPr>
        <w:spacing w:before="80" w:after="80"/>
        <w:ind w:left="288"/>
      </w:pPr>
      <w:r>
        <w:rPr>
          <w:rFonts w:ascii="Arial" w:hAnsi="Arial"/>
          <w:b/>
          <w:color w:val="0E7490"/>
          <w:sz w:val="20"/>
        </w:rPr>
        <w:t>[UI ACTION: Open the heatmap widget. Hover over the dark grids to display the tooltips showing peak activity.]</w:t>
      </w:r>
    </w:p>
    <w:p>
      <w:pPr>
        <w:spacing w:after="200" w:line="288" w:lineRule="auto"/>
      </w:pPr>
      <w:r>
        <w:rPr>
          <w:rFonts w:ascii="Georgia" w:hAnsi="Georgia"/>
          <w:color w:val="1E293B"/>
          <w:sz w:val="23"/>
        </w:rPr>
        <w:t>Good morning, my name is Aarya Nandan. I will present our Optimal Send Time Heatmap. Marketers often ask, 'When is the best time to send an email campaign?' To answer this, we built a 7x24 Engagement Heatmap. Our backend retrieves all opens and clicks, filters out bot events, and bins the timestamps into a 168-cell matrix representing every hour of every day of the week. This coordinate data is sent to the React frontend, which calculates cell opacity dynamically relative to peak activity. This highlights the most active periods in a deep accent color, while quiet times remain pastel or transparent. Subscribers' local times are normalized to ensure accurate reporting. Hovering over a cell displays a tooltip with the exact event count, letting marketers easily schedule their campaigns for maximum engagement.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