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right="1701"/>
      </w:pPr>
      <w:r>
        <w:rPr>
          <w:rFonts w:ascii="微软雅黑" w:hAnsi="微软雅黑" w:eastAsia="微软雅黑"/>
          <w:b/>
          <w:color w:val="000000"/>
          <w:sz w:val="48"/>
        </w:rPr>
        <w:t>黄健鸿</w:t>
      </w:r>
      <w:r>
        <w:drawing>
          <wp:anchor xmlns:a="http://schemas.openxmlformats.org/drawingml/2006/main" xmlns:pic="http://schemas.openxmlformats.org/drawingml/2006/picture" distT="0" distB="0" distL="114300" distR="0" simplePos="0" relativeHeight="251658240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64000" cy="1150500"/>
            <wp:effectExtent l="0" t="0" r="0" b="0"/>
            <wp:wrapSquare wrapText="left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2e296154f42c3545020b8d6cca83d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15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right="1587"/>
      </w:pPr>
      <w:r>
        <w:rPr>
          <w:rFonts w:ascii="微软雅黑" w:hAnsi="微软雅黑" w:eastAsia="微软雅黑"/>
          <w:b/>
          <w:color w:val="000000"/>
          <w:sz w:val="22"/>
        </w:rPr>
        <w:t>求职意向  FDE 前线部署工程师实习生</w:t>
      </w:r>
    </w:p>
    <w:p>
      <w:pPr>
        <w:ind w:right="1587"/>
      </w:pPr>
      <w:r>
        <w:rPr>
          <w:rFonts w:ascii="微软雅黑" w:hAnsi="微软雅黑" w:eastAsia="微软雅黑"/>
          <w:b w:val="0"/>
          <w:color w:val="000000"/>
          <w:sz w:val="20"/>
        </w:rPr>
        <w:t>广州  |  13189576720  |  ruoxiao77@gmail.com</w:t>
      </w:r>
    </w:p>
    <w:p>
      <w:pPr>
        <w:ind w:right="1587"/>
      </w:pPr>
      <w:r>
        <w:rPr>
          <w:rFonts w:ascii="微软雅黑" w:hAnsi="微软雅黑" w:eastAsia="微软雅黑"/>
          <w:b w:val="0"/>
          <w:color w:val="000000"/>
          <w:sz w:val="20"/>
        </w:rPr>
        <w:t>可随时到岗  |  每周 5 天  |  可长期实习  |  接受出差与驻场</w:t>
      </w:r>
    </w:p>
    <w:p>
      <w:pPr>
        <w:pStyle w:val="Heading2"/>
      </w:pPr>
      <w:r>
        <w:t>教育经历</w:t>
      </w:r>
    </w:p>
    <w:p>
      <w:r>
        <w:rPr>
          <w:rFonts w:ascii="微软雅黑" w:hAnsi="微软雅黑" w:eastAsia="微软雅黑"/>
          <w:color w:val="000000"/>
        </w:rPr>
        <w:t>仲恺农业工程学院  |  计算机科学与技术  |  本科在读</w:t>
      </w:r>
    </w:p>
    <w:p>
      <w:r>
        <w:rPr>
          <w:rFonts w:ascii="微软雅黑" w:hAnsi="微软雅黑" w:eastAsia="微软雅黑"/>
          <w:color w:val="000000"/>
        </w:rPr>
        <w:t>2024.09—2028（预计毕业）</w:t>
      </w:r>
    </w:p>
    <w:p>
      <w:pPr>
        <w:pStyle w:val="Heading2"/>
      </w:pPr>
      <w:r>
        <w:t>个人优势</w:t>
      </w:r>
    </w:p>
    <w:p>
      <w:r>
        <w:rPr>
          <w:rFonts w:ascii="微软雅黑" w:hAnsi="微软雅黑" w:eastAsia="微软雅黑"/>
          <w:color w:val="000000"/>
        </w:rPr>
        <w:t>独立开发、部署并维护“跨境阁”AI 应用，具备模型服务接入、前后端联调和云服务器排错实践。能从业务流程拆解到上线运行完整推进个人项目，可接受出差与客户驻场。</w:t>
      </w:r>
    </w:p>
    <w:p>
      <w:pPr>
        <w:pStyle w:val="Heading2"/>
      </w:pPr>
      <w:r>
        <w:t>项目经历</w:t>
      </w:r>
    </w:p>
    <w:p>
      <w:r>
        <w:rPr>
          <w:rFonts w:ascii="微软雅黑" w:hAnsi="微软雅黑" w:eastAsia="微软雅黑"/>
          <w:b/>
          <w:color w:val="000000"/>
        </w:rPr>
        <w:t>跨境阁  |  全栈 AI 应用  |  独立开发与维护</w:t>
      </w:r>
    </w:p>
    <w:p>
      <w:r>
        <w:rPr>
          <w:rFonts w:ascii="微软雅黑" w:hAnsi="微软雅黑" w:eastAsia="微软雅黑"/>
          <w:color w:val="000000"/>
        </w:rPr>
        <w:t>2026.08—至今  |  个人项目</w:t>
      </w:r>
    </w:p>
    <w:p>
      <w:r>
        <w:rPr>
          <w:rFonts w:ascii="微软雅黑" w:hAnsi="微软雅黑" w:eastAsia="微软雅黑"/>
          <w:color w:val="000000"/>
        </w:rPr>
        <w:t>面向跨境选品场景，整合商品资料浏览、每日推荐、知识库问答和参考图生成。</w:t>
      </w:r>
    </w:p>
    <w:p>
      <w:pPr>
        <w:pStyle w:val="ListBullet"/>
        <w:spacing w:after="100"/>
        <w:ind w:left="198" w:hanging="170"/>
      </w:pPr>
      <w:r>
        <w:rPr>
          <w:rFonts w:ascii="微软雅黑" w:hAnsi="微软雅黑" w:eastAsia="微软雅黑"/>
          <w:b/>
          <w:color w:val="000000"/>
        </w:rPr>
        <w:t>部署交付：</w:t>
      </w:r>
      <w:r>
        <w:rPr>
          <w:rFonts w:ascii="微软雅黑" w:hAnsi="微软雅黑" w:eastAsia="微软雅黑"/>
          <w:color w:val="000000"/>
        </w:rPr>
        <w:t>独立完成 React/Vite 前端到 GitHub Pages、FastAPI 后端到阿里云 ECS 的部署；配置 DNS、Nginx 反向代理和 HTTPS，后端容器端口仅绑定宿主机回环地址。</w:t>
      </w:r>
    </w:p>
    <w:p>
      <w:pPr>
        <w:pStyle w:val="ListBullet"/>
        <w:spacing w:after="100"/>
        <w:ind w:left="198" w:hanging="170"/>
      </w:pPr>
      <w:r>
        <w:rPr>
          <w:rFonts w:ascii="微软雅黑" w:hAnsi="微软雅黑" w:eastAsia="微软雅黑"/>
          <w:b/>
          <w:color w:val="000000"/>
        </w:rPr>
        <w:t>环境与运维：</w:t>
      </w:r>
      <w:r>
        <w:rPr>
          <w:rFonts w:ascii="微软雅黑" w:hAnsi="微软雅黑" w:eastAsia="微软雅黑"/>
          <w:color w:val="000000"/>
        </w:rPr>
        <w:t>通过 Docker Compose 管理运行环境、重启策略与健康检查；为知识库、推荐、热门商品和图片配置独立持久化目录，并限制容器日志大小。</w:t>
      </w:r>
    </w:p>
    <w:p>
      <w:pPr>
        <w:pStyle w:val="ListBullet"/>
        <w:spacing w:after="100"/>
        <w:ind w:left="198" w:hanging="170"/>
      </w:pPr>
      <w:r>
        <w:rPr>
          <w:rFonts w:ascii="微软雅黑" w:hAnsi="微软雅黑" w:eastAsia="微软雅黑"/>
          <w:b/>
          <w:color w:val="000000"/>
        </w:rPr>
        <w:t>故障排查：</w:t>
      </w:r>
      <w:r>
        <w:rPr>
          <w:rFonts w:ascii="微软雅黑" w:hAnsi="微软雅黑" w:eastAsia="微软雅黑"/>
          <w:color w:val="000000"/>
        </w:rPr>
        <w:t>处理证书验证超时、镜像拉取和依赖下载缓慢等部署问题，结合本机接口、端口监听及安全组配置分层定位；区分公网访问故障与上游采集异常。</w:t>
      </w:r>
    </w:p>
    <w:p>
      <w:pPr>
        <w:pStyle w:val="ListBullet"/>
        <w:spacing w:after="100"/>
        <w:ind w:left="198" w:hanging="170"/>
      </w:pPr>
      <w:r>
        <w:rPr>
          <w:rFonts w:ascii="微软雅黑" w:hAnsi="微软雅黑" w:eastAsia="微软雅黑"/>
          <w:b/>
          <w:color w:val="000000"/>
        </w:rPr>
        <w:t>业务恢复：</w:t>
      </w:r>
      <w:r>
        <w:rPr>
          <w:rFonts w:ascii="微软雅黑" w:hAnsi="微软雅黑" w:eastAsia="微软雅黑"/>
          <w:color w:val="000000"/>
        </w:rPr>
        <w:t>设计推荐快照与任务状态，更新失败时保留可用结果；图片任务使用请求标识去重，已生成图片保存失败时单独重试下载，降低重复触发工作流的风险。</w:t>
      </w:r>
    </w:p>
    <w:p>
      <w:pPr>
        <w:pStyle w:val="ListBullet"/>
        <w:spacing w:after="100"/>
        <w:ind w:left="198" w:hanging="170"/>
      </w:pPr>
      <w:r>
        <w:rPr>
          <w:rFonts w:ascii="微软雅黑" w:hAnsi="微软雅黑" w:eastAsia="微软雅黑"/>
          <w:b/>
          <w:color w:val="000000"/>
        </w:rPr>
        <w:t>系统集成：</w:t>
      </w:r>
      <w:r>
        <w:rPr>
          <w:rFonts w:ascii="微软雅黑" w:hAnsi="微软雅黑" w:eastAsia="微软雅黑"/>
          <w:color w:val="000000"/>
        </w:rPr>
        <w:t>对接模型、Embedding、Rerank 与 Coze 工作流；用 LangGraph 组织 RAG 和推荐流程，打通文档入库、流式回答、商品浏览和图片生成页面。</w:t>
      </w:r>
    </w:p>
    <w:p>
      <w:pPr>
        <w:pStyle w:val="ListBullet"/>
        <w:spacing w:after="100"/>
        <w:ind w:left="198" w:hanging="170"/>
      </w:pPr>
      <w:r>
        <w:rPr>
          <w:rFonts w:ascii="微软雅黑" w:hAnsi="微软雅黑" w:eastAsia="微软雅黑"/>
          <w:b/>
          <w:color w:val="000000"/>
        </w:rPr>
        <w:t>交付资料：</w:t>
      </w:r>
      <w:r>
        <w:rPr>
          <w:rFonts w:ascii="微软雅黑" w:hAnsi="微软雅黑" w:eastAsia="微软雅黑"/>
          <w:color w:val="000000"/>
        </w:rPr>
        <w:t>整理 GitHub Pages 与云服务器部署说明，配套环境配置示例、检查脚本及业务测试，为环境复现、排错和后续维护提供依据。</w:t>
      </w:r>
    </w:p>
    <w:p>
      <w:pPr>
        <w:pStyle w:val="Heading2"/>
      </w:pPr>
      <w:r>
        <w:t>技术能力</w:t>
      </w:r>
    </w:p>
    <w:p>
      <w:r>
        <w:rPr>
          <w:rFonts w:ascii="微软雅黑" w:hAnsi="微软雅黑" w:eastAsia="微软雅黑"/>
          <w:b/>
          <w:color w:val="000000"/>
        </w:rPr>
        <w:t>部署与排查：</w:t>
      </w:r>
      <w:r>
        <w:rPr>
          <w:rFonts w:ascii="微软雅黑" w:hAnsi="微软雅黑" w:eastAsia="微软雅黑"/>
          <w:color w:val="000000"/>
        </w:rPr>
        <w:t>Linux、Docker Compose、Nginx、HTTPS、DNS、安全组、日志与健康检查。</w:t>
      </w:r>
    </w:p>
    <w:p>
      <w:r>
        <w:rPr>
          <w:rFonts w:ascii="微软雅黑" w:hAnsi="微软雅黑" w:eastAsia="微软雅黑"/>
          <w:b/>
          <w:color w:val="000000"/>
        </w:rPr>
        <w:t>开发与集成：</w:t>
      </w:r>
      <w:r>
        <w:rPr>
          <w:rFonts w:ascii="微软雅黑" w:hAnsi="微软雅黑" w:eastAsia="微软雅黑"/>
          <w:color w:val="000000"/>
        </w:rPr>
        <w:t>Python、FastAPI、React、SQLite、SSE；模型 API、RAG 与 Coze 工作流接入。</w:t>
      </w:r>
    </w:p>
    <w:p>
      <w:r>
        <w:rPr>
          <w:rFonts w:ascii="微软雅黑" w:hAnsi="微软雅黑" w:eastAsia="微软雅黑"/>
          <w:b/>
          <w:color w:val="000000"/>
        </w:rPr>
        <w:t>交付实践：</w:t>
      </w:r>
      <w:r>
        <w:rPr>
          <w:rFonts w:ascii="微软雅黑" w:hAnsi="微软雅黑" w:eastAsia="微软雅黑"/>
          <w:color w:val="000000"/>
        </w:rPr>
        <w:t>环境配置、数据持久化、检查脚本、部署文档、异常恢复与业务流程验证。</w:t>
      </w:r>
    </w:p>
    <w:p>
      <w:pPr>
        <w:pStyle w:val="Heading2"/>
      </w:pPr>
      <w:r>
        <w:t>项目链接</w:t>
      </w:r>
    </w:p>
    <w:p>
      <w:hyperlink r:id="rId10">
        <w:r>
          <w:rPr>
            <w:rFonts w:ascii="微软雅黑" w:eastAsia="微软雅黑"/>
            <w:sz w:val="18"/>
            <w:color w:val="000000"/>
          </w:rPr>
          <w:t>GitHub  https://github.com/RuoXiao00/kuajing</w:t>
        </w:r>
      </w:hyperlink>
    </w:p>
    <w:p>
      <w:hyperlink r:id="rId11">
        <w:r>
          <w:rPr>
            <w:rFonts w:ascii="微软雅黑" w:eastAsia="微软雅黑"/>
            <w:sz w:val="18"/>
            <w:color w:val="000000"/>
          </w:rPr>
          <w:t>在线作品  https://app.qiyuange.online</w:t>
        </w:r>
      </w:hyperlink>
    </w:p>
    <w:sectPr w:rsidR="00FC693F" w:rsidRPr="0006063C" w:rsidSect="00034616">
      <w:pgSz w:w="11906" w:h="16838"/>
      <w:pgMar w:top="879" w:right="992" w:bottom="850" w:left="992" w:header="425" w:footer="42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40" w:lineRule="exact"/>
      <w:snapToGrid w:val="0"/>
    </w:pPr>
    <w:rPr>
      <w:rFonts w:ascii="微软雅黑" w:hAnsi="微软雅黑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340" w:lineRule="exact"/>
      <w:outlineLvl w:val="0"/>
      <w:snapToGrid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340" w:lineRule="exact"/>
      <w:outlineLvl w:val="1"/>
      <w:snapToGrid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40" w:lineRule="exact"/>
      <w:outlineLvl w:val="2"/>
      <w:snapToGrid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600" w:lineRule="exact" w:before="0"/>
      <w:contextualSpacing/>
      <w:snapToGrid w:val="0"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340" w:lineRule="exact"/>
      <w:snapToGrid w:val="0"/>
    </w:pPr>
    <w:rPr>
      <w:rFonts w:asciiTheme="majorHAnsi" w:eastAsiaTheme="majorEastAsia" w:hAnsiTheme="majorHAnsi" w:cstheme="majorBidi" w:ascii="微软雅黑" w:hAnsi="微软雅黑" w:eastAsia="微软雅黑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40" w:lineRule="exact"/>
      <w:contextualSpacing/>
      <w:snapToGrid w:val="0"/>
    </w:pPr>
    <w:rPr>
      <w:rFonts w:ascii="微软雅黑" w:hAnsi="微软雅黑" w:eastAsia="微软雅黑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40" w:lineRule="exact"/>
      <w:contextualSpacing/>
      <w:snapToGrid w:val="0"/>
    </w:pPr>
    <w:rPr>
      <w:rFonts w:ascii="微软雅黑" w:hAnsi="微软雅黑" w:eastAsia="微软雅黑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github.com/RuoXiao00/kuajing" TargetMode="External"/><Relationship Id="rId11" Type="http://schemas.openxmlformats.org/officeDocument/2006/relationships/hyperlink" Target="https://app.qiyuange.on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个人求职材料</dc:subject>
  <dc:creator>黄健鸿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