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2: Recovery Plan Assistant</w:t>
      </w:r>
    </w:p>
    <w:p>
      <w:r>
        <w:rPr>
          <w:b/>
        </w:rPr>
        <w:t xml:space="preserve">Important: </w:t>
      </w:r>
      <w:r>
        <w:t>The writing component below is intentionally left as a fill-in template because the assignment says it must be written in your own words.</w:t>
      </w:r>
    </w:p>
    <w:p>
      <w:pPr>
        <w:pStyle w:val="Heading1"/>
      </w:pPr>
      <w:r>
        <w:t>Writing Component</w:t>
      </w:r>
    </w:p>
    <w:p>
      <w:r>
        <w:t>[Replace this paragraph with your own explanation of what the system does.]</w:t>
      </w:r>
    </w:p>
    <w:p>
      <w:r>
        <w:t>[Replace this paragraph with your own explanation of how the agents, RAG, and tools work together.]</w:t>
      </w:r>
    </w:p>
    <w:p>
      <w:r>
        <w:t>[Replace this paragraph with your own explanation of design choices, limitations, or challenges.]</w:t>
      </w:r>
    </w:p>
    <w:p>
      <w:pPr>
        <w:pStyle w:val="Heading1"/>
      </w:pPr>
      <w:r>
        <w:t>Code Links</w:t>
      </w:r>
    </w:p>
    <w:p>
      <w:r>
        <w:t>Set SUBMISSION_REPO_URL before running this script to auto-fill GitHub links.</w:t>
      </w:r>
    </w:p>
    <w:p>
      <w:r>
        <w:t>Example: export SUBMISSION_REPO_URL=https://github.com/YOUR_USERNAME/YOUR_REPO</w:t>
      </w:r>
    </w:p>
    <w:p>
      <w:r>
        <w:t>Files to link:</w:t>
      </w:r>
    </w:p>
    <w:p>
      <w:r>
        <w:t>student_submissions/recovery_plan_assistant/04_prompt_design_multi_agent.py</w:t>
      </w:r>
    </w:p>
    <w:p>
      <w:r>
        <w:t>student_submissions/recovery_plan_assistant/05_custom_rag_query.py</w:t>
      </w:r>
    </w:p>
    <w:p>
      <w:r>
        <w:t>student_submissions/recovery_plan_assistant/shared.py</w:t>
      </w:r>
    </w:p>
    <w:p>
      <w:r>
        <w:t>student_submissions/recovery_plan_assistant/06_final_ai_agent_system.py</w:t>
      </w:r>
    </w:p>
    <w:p>
      <w:pPr>
        <w:pStyle w:val="Heading1"/>
      </w:pPr>
      <w:r>
        <w:t>Screenshots / Outputs</w:t>
      </w:r>
    </w:p>
    <w:p>
      <w:r>
        <w:drawing>
          <wp:inline xmlns:a="http://schemas.openxmlformats.org/drawingml/2006/main" xmlns:pic="http://schemas.openxmlformats.org/drawingml/2006/picture">
            <wp:extent cx="5943600" cy="10763488"/>
            <wp:docPr id="1" name="Picture 1"/>
            <wp:cNvGraphicFramePr>
              <a:graphicFrameLocks noChangeAspect="1"/>
            </wp:cNvGraphicFramePr>
            <a:graphic>
              <a:graphicData uri="http://schemas.openxmlformats.org/drawingml/2006/picture">
                <pic:pic>
                  <pic:nvPicPr>
                    <pic:cNvPr id="0" name="multi_agent_with_tools.png"/>
                    <pic:cNvPicPr/>
                  </pic:nvPicPr>
                  <pic:blipFill>
                    <a:blip r:embed="rId9"/>
                    <a:stretch>
                      <a:fillRect/>
                    </a:stretch>
                  </pic:blipFill>
                  <pic:spPr>
                    <a:xfrm>
                      <a:off x="0" y="0"/>
                      <a:ext cx="5943600" cy="10763488"/>
                    </a:xfrm>
                    <a:prstGeom prst="rect"/>
                  </pic:spPr>
                </pic:pic>
              </a:graphicData>
            </a:graphic>
          </wp:inline>
        </w:drawing>
      </w:r>
    </w:p>
    <w:p>
      <w:r>
        <w:drawing>
          <wp:inline xmlns:a="http://schemas.openxmlformats.org/drawingml/2006/main" xmlns:pic="http://schemas.openxmlformats.org/drawingml/2006/picture">
            <wp:extent cx="5943600" cy="7977426"/>
            <wp:docPr id="2" name="Picture 2"/>
            <wp:cNvGraphicFramePr>
              <a:graphicFrameLocks noChangeAspect="1"/>
            </wp:cNvGraphicFramePr>
            <a:graphic>
              <a:graphicData uri="http://schemas.openxmlformats.org/drawingml/2006/picture">
                <pic:pic>
                  <pic:nvPicPr>
                    <pic:cNvPr id="0" name="custom_rag_query.png"/>
                    <pic:cNvPicPr/>
                  </pic:nvPicPr>
                  <pic:blipFill>
                    <a:blip r:embed="rId10"/>
                    <a:stretch>
                      <a:fillRect/>
                    </a:stretch>
                  </pic:blipFill>
                  <pic:spPr>
                    <a:xfrm>
                      <a:off x="0" y="0"/>
                      <a:ext cx="5943600" cy="7977426"/>
                    </a:xfrm>
                    <a:prstGeom prst="rect"/>
                  </pic:spPr>
                </pic:pic>
              </a:graphicData>
            </a:graphic>
          </wp:inline>
        </w:drawing>
      </w:r>
    </w:p>
    <w:p>
      <w:r>
        <w:drawing>
          <wp:inline xmlns:a="http://schemas.openxmlformats.org/drawingml/2006/main" xmlns:pic="http://schemas.openxmlformats.org/drawingml/2006/picture">
            <wp:extent cx="5943600" cy="15889843"/>
            <wp:docPr id="3" name="Picture 3"/>
            <wp:cNvGraphicFramePr>
              <a:graphicFrameLocks noChangeAspect="1"/>
            </wp:cNvGraphicFramePr>
            <a:graphic>
              <a:graphicData uri="http://schemas.openxmlformats.org/drawingml/2006/picture">
                <pic:pic>
                  <pic:nvPicPr>
                    <pic:cNvPr id="0" name="final_ai_agent_system.png"/>
                    <pic:cNvPicPr/>
                  </pic:nvPicPr>
                  <pic:blipFill>
                    <a:blip r:embed="rId11"/>
                    <a:stretch>
                      <a:fillRect/>
                    </a:stretch>
                  </pic:blipFill>
                  <pic:spPr>
                    <a:xfrm>
                      <a:off x="0" y="0"/>
                      <a:ext cx="5943600" cy="15889843"/>
                    </a:xfrm>
                    <a:prstGeom prst="rect"/>
                  </pic:spPr>
                </pic:pic>
              </a:graphicData>
            </a:graphic>
          </wp:inline>
        </w:drawing>
      </w:r>
    </w:p>
    <w:p>
      <w:r>
        <w:drawing>
          <wp:inline xmlns:a="http://schemas.openxmlformats.org/drawingml/2006/main" xmlns:pic="http://schemas.openxmlformats.org/drawingml/2006/picture">
            <wp:extent cx="5943600" cy="9426178"/>
            <wp:docPr id="4" name="Picture 4"/>
            <wp:cNvGraphicFramePr>
              <a:graphicFrameLocks noChangeAspect="1"/>
            </wp:cNvGraphicFramePr>
            <a:graphic>
              <a:graphicData uri="http://schemas.openxmlformats.org/drawingml/2006/picture">
                <pic:pic>
                  <pic:nvPicPr>
                    <pic:cNvPr id="0" name="mcp_tool_call.png"/>
                    <pic:cNvPicPr/>
                  </pic:nvPicPr>
                  <pic:blipFill>
                    <a:blip r:embed="rId12"/>
                    <a:stretch>
                      <a:fillRect/>
                    </a:stretch>
                  </pic:blipFill>
                  <pic:spPr>
                    <a:xfrm>
                      <a:off x="0" y="0"/>
                      <a:ext cx="5943600" cy="9426178"/>
                    </a:xfrm>
                    <a:prstGeom prst="rect"/>
                  </pic:spPr>
                </pic:pic>
              </a:graphicData>
            </a:graphic>
          </wp:inline>
        </w:drawing>
      </w:r>
    </w:p>
    <w:p>
      <w:pPr>
        <w:pStyle w:val="Heading1"/>
      </w:pPr>
      <w:r>
        <w:t>Documentation</w:t>
      </w:r>
    </w:p>
    <w:p>
      <w:r>
        <w:t>System architecture: Agent 1 retrieves evidence from a local recovery dataset, Agent 2 scores candidates, and Agent 3 writes the final brief.</w:t>
      </w:r>
    </w:p>
    <w:p>
      <w:r>
        <w:t>RAG data source: a curated CSV of twelve recovery projects with fields for community, sector, issue, action, and priority. The search function ranks rows by keyword overlap and filters by community or sector when provided.</w:t>
      </w:r>
    </w:p>
    <w:p>
      <w:r>
        <w:t>Tool functions: search_recovery_projects(query, community, sector, top_n) returns matching project records as JSON; summarize_sector_counts(community) returns sector counts as JSON; calculate_priority_score(impact, feasibility, urgency) returns a weighted score and label.</w:t>
      </w:r>
    </w:p>
    <w:p>
      <w:r>
        <w:t>Technical details: Python 3.9 virtual environment, local Ollama server on http://127.0.0.1:11434, model qwen2.5:3b, and optional FastAPI + uvicorn for the MCP server.</w:t>
      </w:r>
    </w:p>
    <w:p>
      <w:r>
        <w:t>Usage instructions: activate .venv, start Ollama, run the scripts inside student_submissions/recovery_plan_assistant, then use 07_build_submission_package.py to regenerate output logs, screenshots, and the .docx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