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spacing w:line="276" w:lineRule="auto"/>
        <w:jc w:val="center"/>
        <w:rPr>
          <w:rFonts w:ascii="Times New Roman" w:cs="Times New Roman" w:eastAsia="Times New Roman" w:hAnsi="Times New Roman"/>
          <w:color w:val="3c78d8"/>
        </w:rPr>
      </w:pPr>
      <w:bookmarkStart w:colFirst="0" w:colLast="0" w:name="_giswmrat0dwy" w:id="0"/>
      <w:bookmarkEnd w:id="0"/>
      <w:r w:rsidDel="00000000" w:rsidR="00000000" w:rsidRPr="00000000">
        <w:rPr>
          <w:rFonts w:ascii="Times New Roman" w:cs="Times New Roman" w:eastAsia="Times New Roman" w:hAnsi="Times New Roman"/>
          <w:b w:val="1"/>
          <w:rtl w:val="0"/>
        </w:rPr>
        <w:t xml:space="preserve">Bank Telemarketing Analysis Report</w:t>
      </w:r>
      <w:r w:rsidDel="00000000" w:rsidR="00000000" w:rsidRPr="00000000">
        <w:rPr>
          <w:rtl w:val="0"/>
        </w:rPr>
      </w:r>
    </w:p>
    <w:p w:rsidR="00000000" w:rsidDel="00000000" w:rsidP="00000000" w:rsidRDefault="00000000" w:rsidRPr="00000000" w14:paraId="0000000D">
      <w:pPr>
        <w:pStyle w:val="Subtitle"/>
        <w:spacing w:line="276" w:lineRule="auto"/>
        <w:jc w:val="center"/>
        <w:rPr>
          <w:rFonts w:ascii="Montserrat" w:cs="Montserrat" w:eastAsia="Montserrat" w:hAnsi="Montserrat"/>
          <w:color w:val="783f04"/>
        </w:rPr>
      </w:pPr>
      <w:bookmarkStart w:colFirst="0" w:colLast="0" w:name="_pywknzp1ioph" w:id="1"/>
      <w:bookmarkEnd w:id="1"/>
      <w:r w:rsidDel="00000000" w:rsidR="00000000" w:rsidRPr="00000000">
        <w:rPr>
          <w:rtl w:val="0"/>
        </w:rPr>
      </w:r>
    </w:p>
    <w:p w:rsidR="00000000" w:rsidDel="00000000" w:rsidP="00000000" w:rsidRDefault="00000000" w:rsidRPr="00000000" w14:paraId="0000000E">
      <w:pPr>
        <w:pStyle w:val="Subtitle"/>
        <w:spacing w:line="276" w:lineRule="auto"/>
        <w:jc w:val="center"/>
        <w:rPr>
          <w:rFonts w:ascii="Montserrat" w:cs="Montserrat" w:eastAsia="Montserrat" w:hAnsi="Montserrat"/>
          <w:color w:val="783f04"/>
          <w:sz w:val="24"/>
          <w:szCs w:val="24"/>
        </w:rPr>
      </w:pPr>
      <w:bookmarkStart w:colFirst="0" w:colLast="0" w:name="_739y9u2gr84m" w:id="2"/>
      <w:bookmarkEnd w:id="2"/>
      <w:r w:rsidDel="00000000" w:rsidR="00000000" w:rsidRPr="00000000">
        <w:rPr>
          <w:rFonts w:ascii="Montserrat" w:cs="Montserrat" w:eastAsia="Montserrat" w:hAnsi="Montserrat"/>
          <w:color w:val="783f04"/>
          <w:rtl w:val="0"/>
        </w:rPr>
        <w:t xml:space="preserve">        404 Brain Not Found</w:t>
      </w: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Yueru He</w:t>
      </w:r>
    </w:p>
    <w:p w:rsidR="00000000" w:rsidDel="00000000" w:rsidP="00000000" w:rsidRDefault="00000000" w:rsidRPr="00000000" w14:paraId="0000001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Shangxian Liu</w:t>
      </w:r>
    </w:p>
    <w:p w:rsidR="00000000" w:rsidDel="00000000" w:rsidP="00000000" w:rsidRDefault="00000000" w:rsidRPr="00000000" w14:paraId="0000001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Yisen Wang</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Zichen Xiao</w:t>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Yijing Xu</w:t>
      </w:r>
    </w:p>
    <w:p w:rsidR="00000000" w:rsidDel="00000000" w:rsidP="00000000" w:rsidRDefault="00000000" w:rsidRPr="00000000" w14:paraId="00000014">
      <w:pPr>
        <w:spacing w:line="276" w:lineRule="auto"/>
        <w:jc w:val="center"/>
        <w:rPr/>
      </w:pPr>
      <w:r w:rsidDel="00000000" w:rsidR="00000000" w:rsidRPr="00000000">
        <w:rPr>
          <w:rFonts w:ascii="Times New Roman" w:cs="Times New Roman" w:eastAsia="Times New Roman" w:hAnsi="Times New Roman"/>
          <w:sz w:val="24"/>
          <w:szCs w:val="24"/>
          <w:rtl w:val="0"/>
        </w:rPr>
        <w:t xml:space="preserve">Wenhan Yang</w:t>
      </w:r>
      <w:r w:rsidDel="00000000" w:rsidR="00000000" w:rsidRPr="00000000">
        <w:rPr>
          <w:rtl w:val="0"/>
        </w:rPr>
      </w:r>
    </w:p>
    <w:p w:rsidR="00000000" w:rsidDel="00000000" w:rsidP="00000000" w:rsidRDefault="00000000" w:rsidRPr="00000000" w14:paraId="00000015">
      <w:pPr>
        <w:spacing w:line="276" w:lineRule="auto"/>
        <w:jc w:val="center"/>
        <w:rPr/>
      </w:pPr>
      <w:r w:rsidDel="00000000" w:rsidR="00000000" w:rsidRPr="00000000">
        <w:rPr>
          <w:rtl w:val="0"/>
        </w:rPr>
      </w:r>
    </w:p>
    <w:p w:rsidR="00000000" w:rsidDel="00000000" w:rsidP="00000000" w:rsidRDefault="00000000" w:rsidRPr="00000000" w14:paraId="00000016">
      <w:pPr>
        <w:spacing w:line="276" w:lineRule="auto"/>
        <w:jc w:val="center"/>
        <w:rPr/>
      </w:pPr>
      <w:r w:rsidDel="00000000" w:rsidR="00000000" w:rsidRPr="00000000">
        <w:rPr>
          <w:rtl w:val="0"/>
        </w:rPr>
      </w:r>
    </w:p>
    <w:p w:rsidR="00000000" w:rsidDel="00000000" w:rsidP="00000000" w:rsidRDefault="00000000" w:rsidRPr="00000000" w14:paraId="00000017">
      <w:pPr>
        <w:spacing w:line="276" w:lineRule="auto"/>
        <w:jc w:val="center"/>
        <w:rPr/>
      </w:pPr>
      <w:r w:rsidDel="00000000" w:rsidR="00000000" w:rsidRPr="00000000">
        <w:rPr>
          <w:rtl w:val="0"/>
        </w:rPr>
      </w:r>
    </w:p>
    <w:p w:rsidR="00000000" w:rsidDel="00000000" w:rsidP="00000000" w:rsidRDefault="00000000" w:rsidRPr="00000000" w14:paraId="00000018">
      <w:pPr>
        <w:spacing w:line="276" w:lineRule="auto"/>
        <w:jc w:val="center"/>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3606280</wp:posOffset>
            </wp:positionH>
            <wp:positionV relativeFrom="page">
              <wp:posOffset>6457950</wp:posOffset>
            </wp:positionV>
            <wp:extent cx="695325" cy="695325"/>
            <wp:effectExtent b="0" l="0" r="0" t="0"/>
            <wp:wrapNone/>
            <wp:docPr id="25" name="image26.png"/>
            <a:graphic>
              <a:graphicData uri="http://schemas.openxmlformats.org/drawingml/2006/picture">
                <pic:pic>
                  <pic:nvPicPr>
                    <pic:cNvPr id="0" name="image26.png"/>
                    <pic:cNvPicPr preferRelativeResize="0"/>
                  </pic:nvPicPr>
                  <pic:blipFill>
                    <a:blip r:embed="rId6">
                      <a:alphaModFix amt="70000"/>
                    </a:blip>
                    <a:srcRect b="0" l="0" r="0" t="0"/>
                    <a:stretch>
                      <a:fillRect/>
                    </a:stretch>
                  </pic:blipFill>
                  <pic:spPr>
                    <a:xfrm>
                      <a:off x="0" y="0"/>
                      <a:ext cx="695325" cy="695325"/>
                    </a:xfrm>
                    <a:prstGeom prst="rect"/>
                    <a:ln/>
                  </pic:spPr>
                </pic:pic>
              </a:graphicData>
            </a:graphic>
          </wp:anchor>
        </w:drawing>
      </w: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numPr>
          <w:ilvl w:val="0"/>
          <w:numId w:val="2"/>
        </w:numPr>
        <w:spacing w:line="24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2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Telemarketing, a direct marketing method widely used in B2C industries, has long been loathed for its effectiveness in acquiring new customers. For example, a Portugal bank conducted a few telemarketing campaigns over the 2008 - 2010 period; however, the results have not gone as well as the firm would have hoped — over the 41188 prospective customers contacted, only 4640 of them converted to successful results. </w:t>
      </w:r>
    </w:p>
    <w:p w:rsidR="00000000" w:rsidDel="00000000" w:rsidP="00000000" w:rsidRDefault="00000000" w:rsidRPr="00000000" w14:paraId="0000002F">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we will serve as the bank's data analysts and find a way to provide solutions for future telemarketing campaigns based on data from these campaigns as well as some additional metrics such as the consumer price index and consumer confidence index during that period. We will start by building models to explain factors that might be significant to influence a customer's purchasing probability and predict the likelihood of subscribing to a term deposit, and then dig in further about this case from what we learn. By doing so, we would like to finally optimize this bank’s marketing efforts for better managerial decision-making in the future. </w:t>
      </w:r>
    </w:p>
    <w:p w:rsidR="00000000" w:rsidDel="00000000" w:rsidP="00000000" w:rsidRDefault="00000000" w:rsidRPr="00000000" w14:paraId="00000030">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2"/>
        </w:numPr>
        <w:spacing w:line="24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and Preprocessing </w:t>
      </w:r>
    </w:p>
    <w:p w:rsidR="00000000" w:rsidDel="00000000" w:rsidP="00000000" w:rsidRDefault="00000000" w:rsidRPr="00000000" w14:paraId="00000032">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receive the data, there are 21 independent variables as well as 1 binary dependent variable(Appendix 1). Among these independent variables, there are 7 variables related to customer characteristics, 7 variables recording facts related to each telemarketing, and 5 macroeconomic variables capturing general information about the market. </w:t>
      </w:r>
    </w:p>
    <w:p w:rsidR="00000000" w:rsidDel="00000000" w:rsidP="00000000" w:rsidRDefault="00000000" w:rsidRPr="00000000" w14:paraId="00000033">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null values across all variables, however, among categorical variables, the “unknown” category is viewed as missing values, and for 1 numerical variable, “pdays”,  number 999 is used to record the fact that a specific client was not previously contacted. Because among all categorical variables other than the default, missing values only take less than 5% of the total, we decide to randomly generate values to missing values using the distribution of this particular attribute. And because over 96% of the value in “pday” is missing, we drop the “pday” column. We also temporarily remove the duration variable, as this attribute highly affects the output target. violin plots for continuous variables and bar plots for discrete variables can be seen in Appendix 2. We also added a “Year” column to the dataset because we are also interested in the effect of the subprime mortgage crisis in 2008. </w:t>
      </w:r>
    </w:p>
    <w:p w:rsidR="00000000" w:rsidDel="00000000" w:rsidP="00000000" w:rsidRDefault="00000000" w:rsidRPr="00000000" w14:paraId="00000034">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one-hot encoding to all the categorical variables and produced 37 dummy variables. Most have limited explanatory power, so we reduce the number of dummy variables by running PCA only on dummy variables(Appendix 3). From the elbow plot(Appendix 4), we decide to use the first 6 principle components(Appendix 5). We took a closer look into the loadings of each principle component we chose, and concluded the characteristics each represents in the following table:</w:t>
      </w:r>
    </w:p>
    <w:p w:rsidR="00000000" w:rsidDel="00000000" w:rsidP="00000000" w:rsidRDefault="00000000" w:rsidRPr="00000000" w14:paraId="00000035">
      <w:pPr>
        <w:spacing w:line="240" w:lineRule="auto"/>
        <w:ind w:left="0" w:firstLine="720"/>
        <w:jc w:val="both"/>
        <w:rPr>
          <w:rFonts w:ascii="Times New Roman" w:cs="Times New Roman" w:eastAsia="Times New Roman" w:hAnsi="Times New Roman"/>
          <w:sz w:val="10"/>
          <w:szCs w:val="10"/>
        </w:rPr>
      </w:pPr>
      <w:r w:rsidDel="00000000" w:rsidR="00000000" w:rsidRPr="00000000">
        <w:rPr>
          <w:rtl w:val="0"/>
        </w:rPr>
      </w:r>
    </w:p>
    <w:tbl>
      <w:tblPr>
        <w:tblStyle w:val="Table1"/>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945"/>
        <w:gridCol w:w="4995"/>
        <w:tblGridChange w:id="0">
          <w:tblGrid>
            <w:gridCol w:w="690"/>
            <w:gridCol w:w="3945"/>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Variables With High Loadings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job_technician, education_professional.course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Variables related to high 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marital_married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Married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poutcome_success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People who were contacted in the previous campaign, succeeded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education_high.school, job_services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Variables related to medium 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job_blue-collar, education_basic.9y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Variables related to basic 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contact_telephone, month_jun, month_may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Variables related to time and campaign</w:t>
            </w:r>
          </w:p>
        </w:tc>
      </w:tr>
    </w:tbl>
    <w:p w:rsidR="00000000" w:rsidDel="00000000" w:rsidP="00000000" w:rsidRDefault="00000000" w:rsidRPr="00000000" w14:paraId="0000004B">
      <w:pPr>
        <w:spacing w:line="240" w:lineRule="auto"/>
        <w:ind w:left="0" w:firstLine="0"/>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4C">
      <w:pPr>
        <w:spacing w:line="240" w:lineRule="auto"/>
        <w:ind w:left="0" w:firstLine="720"/>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04D">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found that some variables, such as age, and the number of employers have a very large range, so we scaled our continuous variables. </w:t>
      </w:r>
    </w:p>
    <w:p w:rsidR="00000000" w:rsidDel="00000000" w:rsidP="00000000" w:rsidRDefault="00000000" w:rsidRPr="00000000" w14:paraId="0000004E">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2"/>
        </w:numPr>
        <w:spacing w:line="24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 for Explaining and Prediction</w:t>
      </w:r>
    </w:p>
    <w:p w:rsidR="00000000" w:rsidDel="00000000" w:rsidP="00000000" w:rsidRDefault="00000000" w:rsidRPr="00000000" w14:paraId="00000050">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built two models for prediction and explanation purposes: logistic regression and random forest. We started by visualizing the correlations among independent variables (Appendix 6). We observe a high correlation between the 5 macroeconomic variables, especially among the 3 months Euribor, number of employers, and employment variation rate. Therefore we dropped 2 of these variables and left 3 months Euribor in our model.</w:t>
      </w:r>
    </w:p>
    <w:p w:rsidR="00000000" w:rsidDel="00000000" w:rsidP="00000000" w:rsidRDefault="00000000" w:rsidRPr="00000000" w14:paraId="00000051">
      <w:pPr>
        <w:spacing w:line="240" w:lineRule="auto"/>
        <w:ind w:left="0" w:firstLine="0"/>
        <w:jc w:val="left"/>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52">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053">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running the logistic regression on 5 continuous variables and 6 principal components obtained in the data preprocessing section, we achieved an accuracy of  77.93% (Appendix 8). We found that all 11 factors can statistically significantly explain whether people will buy the product or not. We constructed a calibration curve to assess how well this model can be used for probability estimation (Appendix 8). The curve shows that the true probability lies below the model score, which means our model overestimated the probability of success. </w:t>
      </w:r>
    </w:p>
    <w:p w:rsidR="00000000" w:rsidDel="00000000" w:rsidP="00000000" w:rsidRDefault="00000000" w:rsidRPr="00000000" w14:paraId="00000054">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model summary (Appendix 7), we conclude that while older people with higher education will be more likely to buy the banking product, an increasing number of calls (indicated by variable “campaign”), increasing 3 months Euribor rate, and the number of calls to the client before this campaign negatively affect the likelihood of campaign success. One counterintuitive observation is that the 3 months Euribor rate is negatively related to the success rate. We normally expect that when the interest rate increases, people are more likely to buy banking products such as long-term savings. We will explore this issue further in section V. </w:t>
      </w:r>
    </w:p>
    <w:p w:rsidR="00000000" w:rsidDel="00000000" w:rsidP="00000000" w:rsidRDefault="00000000" w:rsidRPr="00000000" w14:paraId="00000055">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constructed several confusion matrices under different thresholds and observed that while the model precision rate is high when the threshold is low, the recall is very low. When the threshold is 0.2, the recall is almost 50%, which is close to randomly guessing. As we gradually increased the threshold, the recall didn’t improve, and the precision decreases dramatically. As the threshold increased to 0.8, we have no more true positives or false positives. We concluded that our data has too many negative outcomes, and the big gap between recall and precision might be caused by this imbalance problem. </w:t>
      </w:r>
    </w:p>
    <w:p w:rsidR="00000000" w:rsidDel="00000000" w:rsidP="00000000" w:rsidRDefault="00000000" w:rsidRPr="00000000" w14:paraId="00000056">
      <w:pPr>
        <w:spacing w:line="240" w:lineRule="auto"/>
        <w:ind w:left="0" w:firstLine="0"/>
        <w:jc w:val="left"/>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7">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58">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learned random forests, using both random forest classifiers and bagging classifiers of bootstrapping, on data before and after factor analysis, respectively. For random forest classifiers, by trying different parameters through gridsearch, we find and use the best combination of parameters to discover the most important features and predict the outcome. For the two datasets (before and after factor reduction) from which random forest classifiers learned, the most important features are both 3 months Euribor (Appendix 9), followed by consumer confidence index, another macroeconomic indicator, and other demographic variables like age and previous campaign success (embodied in PC3). However, in both graphs of feature importances, the differences between the most important factor, 3 months Euribor, and the factors following it are huge, indicating that 3 months Euribor could be deterministic in predictions. </w:t>
      </w:r>
    </w:p>
    <w:p w:rsidR="00000000" w:rsidDel="00000000" w:rsidP="00000000" w:rsidRDefault="00000000" w:rsidRPr="00000000" w14:paraId="00000059">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fact, when we tested random forest classifiers, both models (before and after factor reduction) showed a relatively high accuracy score of around 0.89. Similarly to these results, when we conducted the decision tree algorithm using bootstrapping, we obtained very high accuracy scores of around 0.8868 on both before and after PCA data. </w:t>
      </w:r>
    </w:p>
    <w:p w:rsidR="00000000" w:rsidDel="00000000" w:rsidP="00000000" w:rsidRDefault="00000000" w:rsidRPr="00000000" w14:paraId="0000005A">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high accuracy led us to suspect that the 3-month-Euribor plays an extremely powerful role in the outcome classification, because the characteristic of random forest is that if data satisfies a certain criterion, it will be classified into certain categories. However, based on the confusion matrix of bootstrapping (Appendix 10) where we discovered that both true negatives and false positives are large, it is also possible that such high accuracy scores are due to the imbalance of data. When the actual successful subscription only takes less than 10% of the whole dataset, given the same amount of true positives and false positives, the true positive rate will be greatly larger than the false positive rate, making the accuracy score (tpr/fpr) higher than normal. Therefore, we need to address this data imbalance problem. </w:t>
      </w:r>
    </w:p>
    <w:p w:rsidR="00000000" w:rsidDel="00000000" w:rsidP="00000000" w:rsidRDefault="00000000" w:rsidRPr="00000000" w14:paraId="0000005B">
      <w:pPr>
        <w:numPr>
          <w:ilvl w:val="0"/>
          <w:numId w:val="2"/>
        </w:numPr>
        <w:spacing w:line="24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Enhancement</w:t>
      </w:r>
    </w:p>
    <w:p w:rsidR="00000000" w:rsidDel="00000000" w:rsidP="00000000" w:rsidRDefault="00000000" w:rsidRPr="00000000" w14:paraId="0000005C">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section III, both logistic regression and random forest reflected a strong data imbalance problem to be addressed. We therefore adopt an oversampling technique called Synthetic Minority Over-sampling Technique (SMOTE) on training data. As our dataset contains both continuous and categorical variables, we used its variation–SMOTE-NC. SMOTE-NC oversamples the minority class by KNN, and undersamples the majority. Before sampling, there were 36548 majority labels, and 4640 minority labels; after sampling, there are 25587 points in both classes. </w:t>
      </w:r>
    </w:p>
    <w:p w:rsidR="00000000" w:rsidDel="00000000" w:rsidP="00000000" w:rsidRDefault="00000000" w:rsidRPr="00000000" w14:paraId="0000005D">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ran the logistic regression on the balanced data and found a really surprising result of out-of-sample AUC equals 1. Double-checking the performance of predicting probabilities by a calibration curve, we found the perfect overlapping of the curves showing the model's wellness of fit to reality. We suspect this result is caused by some intrinsic reason with the data. One assumption we have is that the data is already linear separable by a hyperplane. </w:t>
      </w:r>
    </w:p>
    <w:p w:rsidR="00000000" w:rsidDel="00000000" w:rsidP="00000000" w:rsidRDefault="00000000" w:rsidRPr="00000000" w14:paraId="0000005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out our belief, we built a Support Vector Machine(SVC) model as it manually creates a margined hyperplane to separate classes. By changing the penalty level, we found that oftentimes SVC gave a before and after SMOTE out-of-sample AUC of 1 (Appendix 11). There indeed exists a hyperplane, or in other words, a certain dominating predictor could separate between "yes" and "no". From the previous evidence, we propose this predictor to be "</w:t>
      </w:r>
      <w:r w:rsidDel="00000000" w:rsidR="00000000" w:rsidRPr="00000000">
        <w:rPr>
          <w:rFonts w:ascii="Times New Roman" w:cs="Times New Roman" w:eastAsia="Times New Roman" w:hAnsi="Times New Roman"/>
          <w:sz w:val="24"/>
          <w:szCs w:val="24"/>
          <w:rtl w:val="0"/>
        </w:rPr>
        <w:t xml:space="preserve">Euribor3m</w:t>
      </w:r>
      <w:r w:rsidDel="00000000" w:rsidR="00000000" w:rsidRPr="00000000">
        <w:rPr>
          <w:rFonts w:ascii="Times New Roman" w:cs="Times New Roman" w:eastAsia="Times New Roman" w:hAnsi="Times New Roman"/>
          <w:sz w:val="24"/>
          <w:szCs w:val="24"/>
          <w:rtl w:val="0"/>
        </w:rPr>
        <w:t xml:space="preserve">". If this is true, it would make a prediction so much easier because we need to only consider the Macro Economical metric, which is already publicly available.</w:t>
      </w:r>
    </w:p>
    <w:p w:rsidR="00000000" w:rsidDel="00000000" w:rsidP="00000000" w:rsidRDefault="00000000" w:rsidRPr="00000000" w14:paraId="0000005F">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We’ve observed the counterintuitive effect of “</w:t>
      </w:r>
      <w:r w:rsidDel="00000000" w:rsidR="00000000" w:rsidRPr="00000000">
        <w:rPr>
          <w:rFonts w:ascii="Times New Roman" w:cs="Times New Roman" w:eastAsia="Times New Roman" w:hAnsi="Times New Roman"/>
          <w:sz w:val="24"/>
          <w:szCs w:val="24"/>
          <w:rtl w:val="0"/>
        </w:rPr>
        <w:t xml:space="preserve">Euribor3m</w:t>
      </w:r>
      <w:r w:rsidDel="00000000" w:rsidR="00000000" w:rsidRPr="00000000">
        <w:rPr>
          <w:rFonts w:ascii="Times New Roman" w:cs="Times New Roman" w:eastAsia="Times New Roman" w:hAnsi="Times New Roman"/>
          <w:sz w:val="24"/>
          <w:szCs w:val="24"/>
          <w:rtl w:val="0"/>
        </w:rPr>
        <w:t xml:space="preserve">” with logistic regression and proved its importance. We would like to explore the Euribor rate as well as other macroeconomic factors. We expected to gain some managerial insights from these explorations in Section V.</w:t>
      </w:r>
    </w:p>
    <w:p w:rsidR="00000000" w:rsidDel="00000000" w:rsidP="00000000" w:rsidRDefault="00000000" w:rsidRPr="00000000" w14:paraId="0000006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2"/>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Economic Analysis </w:t>
      </w:r>
    </w:p>
    <w:p w:rsidR="00000000" w:rsidDel="00000000" w:rsidP="00000000" w:rsidRDefault="00000000" w:rsidRPr="00000000" w14:paraId="00000062">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economic analysis contains two parts. We needed to first understand the contradiction between our results and the common economic theory while secondly, we needed to find the best classifier (threshold) to maximize the company’s profit.</w:t>
      </w:r>
    </w:p>
    <w:p w:rsidR="00000000" w:rsidDel="00000000" w:rsidP="00000000" w:rsidRDefault="00000000" w:rsidRPr="00000000" w14:paraId="00000063">
      <w:pPr>
        <w:spacing w:line="240" w:lineRule="auto"/>
        <w:ind w:left="0" w:firstLine="0"/>
        <w:jc w:val="left"/>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64">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contradiction of our results and economic theory</w:t>
      </w:r>
    </w:p>
    <w:p w:rsidR="00000000" w:rsidDel="00000000" w:rsidP="00000000" w:rsidRDefault="00000000" w:rsidRPr="00000000" w14:paraId="00000065">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widely accepted economic rule states that with higher interest rates, more savings would be made due to higher profit generated. However, the results from our logistic regression showed -0.7234 coefficient between “</w:t>
      </w:r>
      <w:r w:rsidDel="00000000" w:rsidR="00000000" w:rsidRPr="00000000">
        <w:rPr>
          <w:rFonts w:ascii="Times New Roman" w:cs="Times New Roman" w:eastAsia="Times New Roman" w:hAnsi="Times New Roman"/>
          <w:sz w:val="24"/>
          <w:szCs w:val="24"/>
          <w:rtl w:val="0"/>
        </w:rPr>
        <w:t xml:space="preserve">Euribor3m</w:t>
      </w:r>
      <w:r w:rsidDel="00000000" w:rsidR="00000000" w:rsidRPr="00000000">
        <w:rPr>
          <w:rFonts w:ascii="Times New Roman" w:cs="Times New Roman" w:eastAsia="Times New Roman" w:hAnsi="Times New Roman"/>
          <w:sz w:val="24"/>
          <w:szCs w:val="24"/>
          <w:rtl w:val="0"/>
        </w:rPr>
        <w:t xml:space="preserve">” and subscription, stating that an increase in the 3-month Europe interest rate would result in reduced subscription and fewer deposits.</w:t>
      </w:r>
    </w:p>
    <w:p w:rsidR="00000000" w:rsidDel="00000000" w:rsidP="00000000" w:rsidRDefault="00000000" w:rsidRPr="00000000" w14:paraId="00000066">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possible three reasons are illustrated below. Firstly, most people make deposits for more than a year. The interest rate they consider is the long-term interest rate that would have effects on their return, such as annual interest or a 5-year interest rate, instead of a 3-month interest rate.</w:t>
      </w:r>
    </w:p>
    <w:p w:rsidR="00000000" w:rsidDel="00000000" w:rsidP="00000000" w:rsidRDefault="00000000" w:rsidRPr="00000000" w14:paraId="00000067">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our data covered a very special period, the economic crisis in 2008, that involved several changes in government policies and customer behaviors. One policy that should be addressed here is that the European government raised the deposit insurance cap for all financial institutions. In other words, the European government strengthened protection for depositors from bank failure by increasing the compensation for customers. Such strong compensation increased consumer confidence in banks and therefore encouraged deposition.</w:t>
      </w:r>
    </w:p>
    <w:p w:rsidR="00000000" w:rsidDel="00000000" w:rsidP="00000000" w:rsidRDefault="00000000" w:rsidRPr="00000000" w14:paraId="00000068">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weakened consumer confidence resulting from the economic crisis led to changes in customer behavior. Recall that the economic crisis started with a bubbling market with an incredibly high interest rate. Consumers after the crisis would therefore feel safer saving money with lowered interest rates.</w:t>
      </w:r>
    </w:p>
    <w:p w:rsidR="00000000" w:rsidDel="00000000" w:rsidP="00000000" w:rsidRDefault="00000000" w:rsidRPr="00000000" w14:paraId="00000069">
      <w:pPr>
        <w:spacing w:line="240" w:lineRule="auto"/>
        <w:ind w:left="0" w:firstLine="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6A">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the best threshold to maximize profit</w:t>
      </w:r>
    </w:p>
    <w:p w:rsidR="00000000" w:rsidDel="00000000" w:rsidP="00000000" w:rsidRDefault="00000000" w:rsidRPr="00000000" w14:paraId="0000006B">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optimize our marketing strategy, we needed to find the best threshold to make telemarketing on the selected people who have a higher chance of subscribing. In this way, we could therefore help the company maximize its payoff. To begin with, we need to draft a cost matrix. Assuming A to be the marketing cost (sum of telemarketing cost and labor cost), m to be the percentage telemarketing effectively increased subscription, and B to be profit per customer subscription, we generated the cost matrix as shown below. </w:t>
      </w:r>
    </w:p>
    <w:p w:rsidR="00000000" w:rsidDel="00000000" w:rsidP="00000000" w:rsidRDefault="00000000" w:rsidRPr="00000000" w14:paraId="0000006C">
      <w:pPr>
        <w:spacing w:line="240" w:lineRule="auto"/>
        <w:ind w:left="0" w:firstLine="720"/>
        <w:jc w:val="both"/>
        <w:rPr>
          <w:rFonts w:ascii="Times New Roman" w:cs="Times New Roman" w:eastAsia="Times New Roman" w:hAnsi="Times New Roman"/>
          <w:sz w:val="10"/>
          <w:szCs w:val="10"/>
        </w:rPr>
      </w:pPr>
      <w:r w:rsidDel="00000000" w:rsidR="00000000" w:rsidRPr="00000000">
        <w:rPr>
          <w:rtl w:val="0"/>
        </w:rPr>
      </w:r>
    </w:p>
    <w:tbl>
      <w:tblPr>
        <w:tblStyle w:val="Table2"/>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00.6666666666665"/>
        <w:gridCol w:w="3200.6666666666665"/>
        <w:gridCol w:w="3200.6666666666665"/>
        <w:tblGridChange w:id="0">
          <w:tblGrid>
            <w:gridCol w:w="3200.6666666666665"/>
            <w:gridCol w:w="3200.6666666666665"/>
            <w:gridCol w:w="3200.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- 0 (not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- 1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Outcome - 0 (non-subscribe)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Outcome - 1 (subscribe)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B*(1+m)</w:t>
            </w:r>
          </w:p>
        </w:tc>
      </w:tr>
    </w:tbl>
    <w:p w:rsidR="00000000" w:rsidDel="00000000" w:rsidP="00000000" w:rsidRDefault="00000000" w:rsidRPr="00000000" w14:paraId="000000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Table.1 Cost matrix</w:t>
      </w:r>
    </w:p>
    <w:p w:rsidR="00000000" w:rsidDel="00000000" w:rsidP="00000000" w:rsidRDefault="00000000" w:rsidRPr="00000000" w14:paraId="00000077">
      <w:pPr>
        <w:spacing w:line="240" w:lineRule="auto"/>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7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telemarketing and labor cost under 2022 US to be $75 and $25 per hour respectively, we used the wage difference vector to scale it back to 2022 Portugal.</w:t>
      </w:r>
    </w:p>
    <w:p w:rsidR="00000000" w:rsidDel="00000000" w:rsidP="00000000" w:rsidRDefault="00000000" w:rsidRPr="00000000" w14:paraId="00000079">
      <w:pPr>
        <w:spacing w:lin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7A">
      <w:pPr>
        <w:spacing w:line="240" w:lineRule="auto"/>
        <w:jc w:val="center"/>
        <w:rPr>
          <w:rFonts w:ascii="Times New Roman" w:cs="Times New Roman" w:eastAsia="Times New Roman" w:hAnsi="Times New Roman"/>
          <w:b w:val="1"/>
          <w:sz w:val="20"/>
          <w:szCs w:val="20"/>
        </w:rPr>
      </w:pPr>
      <m:oMath>
        <m:r>
          <w:rPr>
            <w:rFonts w:ascii="Times New Roman" w:cs="Times New Roman" w:eastAsia="Times New Roman" w:hAnsi="Times New Roman"/>
            <w:b w:val="1"/>
            <w:sz w:val="20"/>
            <w:szCs w:val="20"/>
          </w:rPr>
          <m:t xml:space="preserve">Wage Difference Vector= </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US average monthly salary</m:t>
            </m:r>
          </m:num>
          <m:den>
            <m:r>
              <w:rPr>
                <w:rFonts w:ascii="Times New Roman" w:cs="Times New Roman" w:eastAsia="Times New Roman" w:hAnsi="Times New Roman"/>
                <w:b w:val="1"/>
                <w:sz w:val="20"/>
                <w:szCs w:val="20"/>
              </w:rPr>
              <m:t xml:space="preserve">Portugal average monthly salary</m:t>
            </m:r>
          </m:den>
        </m:f>
        <m:r>
          <w:rPr>
            <w:rFonts w:ascii="Times New Roman" w:cs="Times New Roman" w:eastAsia="Times New Roman" w:hAnsi="Times New Roman"/>
            <w:b w:val="1"/>
            <w:sz w:val="20"/>
            <w:szCs w:val="20"/>
          </w:rPr>
          <m:t xml:space="preserve">=</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7892 USD per month</m:t>
            </m:r>
          </m:num>
          <m:den>
            <m:r>
              <w:rPr>
                <w:rFonts w:ascii="Times New Roman" w:cs="Times New Roman" w:eastAsia="Times New Roman" w:hAnsi="Times New Roman"/>
                <w:b w:val="1"/>
                <w:sz w:val="20"/>
                <w:szCs w:val="20"/>
              </w:rPr>
              <m:t xml:space="preserve">2676 USD per month</m:t>
            </m:r>
          </m:den>
        </m:f>
        <m:r>
          <w:rPr>
            <w:rFonts w:ascii="Times New Roman" w:cs="Times New Roman" w:eastAsia="Times New Roman" w:hAnsi="Times New Roman"/>
            <w:b w:val="1"/>
            <w:sz w:val="20"/>
            <w:szCs w:val="20"/>
          </w:rPr>
          <m:t xml:space="preserve">=2.94 </m:t>
        </m:r>
        <m:r>
          <w:rPr>
            <w:rFonts w:ascii="Times New Roman" w:cs="Times New Roman" w:eastAsia="Times New Roman" w:hAnsi="Times New Roman"/>
            <w:b w:val="1"/>
            <w:sz w:val="20"/>
            <w:szCs w:val="20"/>
          </w:rPr>
          <m:t>≈</m:t>
        </m:r>
        <m:r>
          <w:rPr>
            <w:rFonts w:ascii="Times New Roman" w:cs="Times New Roman" w:eastAsia="Times New Roman" w:hAnsi="Times New Roman"/>
            <w:b w:val="1"/>
            <w:sz w:val="20"/>
            <w:szCs w:val="20"/>
          </w:rPr>
          <m:t xml:space="preserve">3</m:t>
        </m:r>
      </m:oMath>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7B">
      <w:pPr>
        <w:spacing w:line="240" w:lineRule="auto"/>
        <w:jc w:val="center"/>
        <w:rPr>
          <w:rFonts w:ascii="Times New Roman" w:cs="Times New Roman" w:eastAsia="Times New Roman" w:hAnsi="Times New Roman"/>
          <w:b w:val="1"/>
          <w:sz w:val="20"/>
          <w:szCs w:val="20"/>
        </w:rPr>
      </w:pPr>
      <m:oMath>
        <m:r>
          <w:rPr>
            <w:rFonts w:ascii="Times New Roman" w:cs="Times New Roman" w:eastAsia="Times New Roman" w:hAnsi="Times New Roman"/>
            <w:b w:val="1"/>
            <w:sz w:val="20"/>
            <w:szCs w:val="20"/>
          </w:rPr>
          <m:t xml:space="preserve">2022 Portugal Telemarketing Cost = </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2022 US telemarketing cost</m:t>
            </m:r>
          </m:num>
          <m:den>
            <m:r>
              <w:rPr>
                <w:rFonts w:ascii="Times New Roman" w:cs="Times New Roman" w:eastAsia="Times New Roman" w:hAnsi="Times New Roman"/>
                <w:b w:val="1"/>
                <w:sz w:val="20"/>
                <w:szCs w:val="20"/>
              </w:rPr>
              <m:t xml:space="preserve">wage difference vector</m:t>
            </m:r>
          </m:den>
        </m:f>
        <m:r>
          <w:rPr>
            <w:rFonts w:ascii="Times New Roman" w:cs="Times New Roman" w:eastAsia="Times New Roman" w:hAnsi="Times New Roman"/>
            <w:b w:val="1"/>
            <w:sz w:val="20"/>
            <w:szCs w:val="20"/>
          </w:rPr>
          <m:t xml:space="preserve">=</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$ 75 per hour</m:t>
            </m:r>
          </m:num>
          <m:den>
            <m:r>
              <w:rPr>
                <w:rFonts w:ascii="Times New Roman" w:cs="Times New Roman" w:eastAsia="Times New Roman" w:hAnsi="Times New Roman"/>
                <w:b w:val="1"/>
                <w:sz w:val="20"/>
                <w:szCs w:val="20"/>
              </w:rPr>
              <m:t xml:space="preserve">3</m:t>
            </m:r>
          </m:den>
        </m:f>
        <m:r>
          <w:rPr>
            <w:rFonts w:ascii="Times New Roman" w:cs="Times New Roman" w:eastAsia="Times New Roman" w:hAnsi="Times New Roman"/>
            <w:b w:val="1"/>
            <w:sz w:val="20"/>
            <w:szCs w:val="20"/>
          </w:rPr>
          <m:t xml:space="preserve">=$25 per hour</m:t>
        </m:r>
      </m:oMath>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b w:val="1"/>
          <w:sz w:val="20"/>
          <w:szCs w:val="20"/>
        </w:rPr>
      </w:pPr>
      <m:oMath>
        <m:r>
          <w:rPr>
            <w:rFonts w:ascii="Times New Roman" w:cs="Times New Roman" w:eastAsia="Times New Roman" w:hAnsi="Times New Roman"/>
            <w:b w:val="1"/>
            <w:sz w:val="20"/>
            <w:szCs w:val="20"/>
          </w:rPr>
          <m:t xml:space="preserve">2022 Portugal Labor Cost = </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2022 US labor cost</m:t>
            </m:r>
          </m:num>
          <m:den>
            <m:r>
              <w:rPr>
                <w:rFonts w:ascii="Times New Roman" w:cs="Times New Roman" w:eastAsia="Times New Roman" w:hAnsi="Times New Roman"/>
                <w:b w:val="1"/>
                <w:sz w:val="20"/>
                <w:szCs w:val="20"/>
              </w:rPr>
              <m:t xml:space="preserve">wage difference vector</m:t>
            </m:r>
          </m:den>
        </m:f>
        <m:r>
          <w:rPr>
            <w:rFonts w:ascii="Times New Roman" w:cs="Times New Roman" w:eastAsia="Times New Roman" w:hAnsi="Times New Roman"/>
            <w:b w:val="1"/>
            <w:sz w:val="20"/>
            <w:szCs w:val="20"/>
          </w:rPr>
          <m:t xml:space="preserve">=</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$ 25 per hour</m:t>
            </m:r>
          </m:num>
          <m:den>
            <m:r>
              <w:rPr>
                <w:rFonts w:ascii="Times New Roman" w:cs="Times New Roman" w:eastAsia="Times New Roman" w:hAnsi="Times New Roman"/>
                <w:b w:val="1"/>
                <w:sz w:val="20"/>
                <w:szCs w:val="20"/>
              </w:rPr>
              <m:t xml:space="preserve">3</m:t>
            </m:r>
          </m:den>
        </m:f>
        <m:r>
          <w:rPr>
            <w:rFonts w:ascii="Times New Roman" w:cs="Times New Roman" w:eastAsia="Times New Roman" w:hAnsi="Times New Roman"/>
            <w:b w:val="1"/>
            <w:sz w:val="20"/>
            <w:szCs w:val="20"/>
          </w:rPr>
          <m:t>≈</m:t>
        </m:r>
        <m:r>
          <w:rPr>
            <w:rFonts w:ascii="Times New Roman" w:cs="Times New Roman" w:eastAsia="Times New Roman" w:hAnsi="Times New Roman"/>
            <w:b w:val="1"/>
            <w:sz w:val="20"/>
            <w:szCs w:val="20"/>
          </w:rPr>
          <m:t xml:space="preserve">$8 per hour</m:t>
        </m:r>
      </m:oMath>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7E">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Next, we used the GDP per capita of Portugal to scale it back to 2008 level. As shown in Appendix 12, we found no large difference between the 2008 and 2021 levels. Hence, we concluded the 2008 Portugal telemarketing cost and labor cost to be $25 and $8 per hour respectively. The overall telemarketing cost (A) = 8+15*average duration of the calls = $ 9.79.</w:t>
      </w:r>
      <w:r w:rsidDel="00000000" w:rsidR="00000000" w:rsidRPr="00000000">
        <w:rPr>
          <w:rtl w:val="0"/>
        </w:rPr>
      </w:r>
    </w:p>
    <w:p w:rsidR="00000000" w:rsidDel="00000000" w:rsidP="00000000" w:rsidRDefault="00000000" w:rsidRPr="00000000" w14:paraId="0000007F">
      <w:pPr>
        <w:spacing w:line="240" w:lineRule="auto"/>
        <w:ind w:firstLine="720"/>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24"/>
          <w:szCs w:val="24"/>
          <w:rtl w:val="0"/>
        </w:rPr>
        <w:t xml:space="preserve">Due to the lack of reference data, we estimated B and m by making two sensitivity analyses, testing the best classifier on different selected B and m. By definition, m is tested in a reasonable range between 0 and 0.5. For profit (B), we estimated it as a certain multiplier of cost. However, setting profit as 1~3x unit cost results in the same threshold, implying that the marginal revenue doesn’t cover the marginal cost. Therefore, we adjusted our multiplier to be 2.5~12x unit cost and found that expected changes. </w:t>
      </w:r>
      <w:r w:rsidDel="00000000" w:rsidR="00000000" w:rsidRPr="00000000">
        <w:rPr>
          <w:rtl w:val="0"/>
        </w:rPr>
      </w:r>
    </w:p>
    <w:p w:rsidR="00000000" w:rsidDel="00000000" w:rsidP="00000000" w:rsidRDefault="00000000" w:rsidRPr="00000000" w14:paraId="0000008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try to find the best classifier. Given that the best prediction model for classification so far is logistic regression, we will use the confusion matrix result of logistic regression before computing the total payoff. The formula for computing the payoff is below:</w:t>
      </w:r>
    </w:p>
    <w:p w:rsidR="00000000" w:rsidDel="00000000" w:rsidP="00000000" w:rsidRDefault="00000000" w:rsidRPr="00000000" w14:paraId="00000081">
      <w:pPr>
        <w:spacing w:line="240" w:lineRule="auto"/>
        <w:ind w:firstLine="72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82">
      <w:pPr>
        <w:spacing w:line="240" w:lineRule="auto"/>
        <w:ind w:left="0" w:firstLine="0"/>
        <w:jc w:val="center"/>
        <w:rPr>
          <w:rFonts w:ascii="Times New Roman" w:cs="Times New Roman" w:eastAsia="Times New Roman" w:hAnsi="Times New Roman"/>
          <w:b w:val="1"/>
          <w:sz w:val="16"/>
          <w:szCs w:val="16"/>
        </w:rPr>
      </w:pPr>
      <w:r w:rsidDel="00000000" w:rsidR="00000000" w:rsidRPr="00000000">
        <w:rPr>
          <w:rFonts w:ascii="Gungsuh" w:cs="Gungsuh" w:eastAsia="Gungsuh" w:hAnsi="Gungsuh"/>
          <w:b w:val="1"/>
          <w:sz w:val="24"/>
          <w:szCs w:val="24"/>
          <w:rtl w:val="0"/>
        </w:rPr>
        <w:t xml:space="preserve">Total payoff = ∑ cost matrix</w:t>
      </w:r>
      <w:r w:rsidDel="00000000" w:rsidR="00000000" w:rsidRPr="00000000">
        <w:rPr>
          <w:rFonts w:ascii="Times New Roman" w:cs="Times New Roman" w:eastAsia="Times New Roman" w:hAnsi="Times New Roman"/>
          <w:b w:val="1"/>
          <w:sz w:val="16"/>
          <w:szCs w:val="16"/>
          <w:rtl w:val="0"/>
        </w:rPr>
        <w:t xml:space="preserve">(i,j)</w:t>
      </w:r>
      <w:r w:rsidDel="00000000" w:rsidR="00000000" w:rsidRPr="00000000">
        <w:rPr>
          <w:rFonts w:ascii="Times New Roman" w:cs="Times New Roman" w:eastAsia="Times New Roman" w:hAnsi="Times New Roman"/>
          <w:b w:val="1"/>
          <w:sz w:val="24"/>
          <w:szCs w:val="24"/>
          <w:rtl w:val="0"/>
        </w:rPr>
        <w:t xml:space="preserve"> × confusion matrix</w:t>
      </w:r>
      <w:r w:rsidDel="00000000" w:rsidR="00000000" w:rsidRPr="00000000">
        <w:rPr>
          <w:rFonts w:ascii="Times New Roman" w:cs="Times New Roman" w:eastAsia="Times New Roman" w:hAnsi="Times New Roman"/>
          <w:b w:val="1"/>
          <w:sz w:val="16"/>
          <w:szCs w:val="16"/>
          <w:rtl w:val="0"/>
        </w:rPr>
        <w:t xml:space="preserve">(i,j)</w:t>
      </w:r>
    </w:p>
    <w:p w:rsidR="00000000" w:rsidDel="00000000" w:rsidP="00000000" w:rsidRDefault="00000000" w:rsidRPr="00000000" w14:paraId="00000083">
      <w:pPr>
        <w:spacing w:line="240" w:lineRule="auto"/>
        <w:ind w:left="0" w:firstLine="0"/>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8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since the cost matrix is already assumed, the main job to do here is iterating through every possible value of threshold between 0 and 1, using the respective confusion matrix of threshold i </w:t>
      </w:r>
      <w:r w:rsidDel="00000000" w:rsidR="00000000" w:rsidRPr="00000000">
        <w:rPr>
          <w:rFonts w:ascii="Times New Roman" w:cs="Times New Roman" w:eastAsia="Times New Roman" w:hAnsi="Times New Roman"/>
          <w:sz w:val="24"/>
          <w:szCs w:val="24"/>
          <w:rtl w:val="0"/>
        </w:rPr>
        <w:t xml:space="preserve">multiplied</w:t>
      </w:r>
      <w:r w:rsidDel="00000000" w:rsidR="00000000" w:rsidRPr="00000000">
        <w:rPr>
          <w:rFonts w:ascii="Times New Roman" w:cs="Times New Roman" w:eastAsia="Times New Roman" w:hAnsi="Times New Roman"/>
          <w:sz w:val="24"/>
          <w:szCs w:val="24"/>
          <w:rtl w:val="0"/>
        </w:rPr>
        <w:t xml:space="preserve"> by the cost matrix equals the total payoff, so that the best threshold will maximize the total payoff. As seen in Appendix 13, the best payoff is $35,000 unit profit with a threshold of 0.79, under the assumption that A=9.79, B=25, m=0.2.</w:t>
      </w:r>
    </w:p>
    <w:p w:rsidR="00000000" w:rsidDel="00000000" w:rsidP="00000000" w:rsidRDefault="00000000" w:rsidRPr="00000000" w14:paraId="00000085">
      <w:pPr>
        <w:spacing w:lin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Sensitivity analysis: Trying various values of inputs</w:t>
      </w:r>
    </w:p>
    <w:p w:rsidR="00000000" w:rsidDel="00000000" w:rsidP="00000000" w:rsidRDefault="00000000" w:rsidRPr="00000000" w14:paraId="0000008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real value of variables m and B in the cost matrix in the previous part cannot be estimated directly through online sources. Thus, the solution here is conducting a sensitivity analysis by trying values of m and B to see how best threshold and payoff change. From Appendix 14, as the unit cost is $10, the unit profit should at least exceed $50 so that the best threshold can be below 0.5. This means only when the unit profit is large enough (&gt;=3 times the unit cost), can the bank profit from telemarketing and have a much larger preference to give subscriptions to customers (lower value of threshold that divides the result into 0 or 1).</w:t>
      </w:r>
    </w:p>
    <w:p w:rsidR="00000000" w:rsidDel="00000000" w:rsidP="00000000" w:rsidRDefault="00000000" w:rsidRPr="00000000" w14:paraId="00000088">
      <w:pPr>
        <w:spacing w:line="240" w:lineRule="auto"/>
        <w:ind w:left="0" w:firstLine="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89">
      <w:pPr>
        <w:numPr>
          <w:ilvl w:val="0"/>
          <w:numId w:val="2"/>
        </w:numPr>
        <w:spacing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08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highly agree with the current market trends that telemarketing is not a preferred perfect way to target customers and make profitable returns. Only when the profit is greater than 12 times the cost should the company be worth taking telemarketing strategies for business growth.</w:t>
      </w:r>
    </w:p>
    <w:p w:rsidR="00000000" w:rsidDel="00000000" w:rsidP="00000000" w:rsidRDefault="00000000" w:rsidRPr="00000000" w14:paraId="0000008B">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  </w:t>
      </w:r>
    </w:p>
    <w:p w:rsidR="00000000" w:rsidDel="00000000" w:rsidP="00000000" w:rsidRDefault="00000000" w:rsidRPr="00000000" w14:paraId="0000008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numPr>
          <w:ilvl w:val="0"/>
          <w:numId w:val="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 Moro, P. Cortez and P. Rita.</w:t>
      </w:r>
      <w:r w:rsidDel="00000000" w:rsidR="00000000" w:rsidRPr="00000000">
        <w:rPr>
          <w:rFonts w:ascii="Times New Roman" w:cs="Times New Roman" w:eastAsia="Times New Roman" w:hAnsi="Times New Roman"/>
          <w:sz w:val="24"/>
          <w:szCs w:val="24"/>
          <w:rtl w:val="0"/>
        </w:rPr>
        <w:t xml:space="preserve"> A Data-Driven Approach to Predict the Success of Bank Telemarketing. Decision Support Systems, Elsevier, 62:22-31, June 2014</w:t>
      </w:r>
    </w:p>
    <w:p w:rsidR="00000000" w:rsidDel="00000000" w:rsidP="00000000" w:rsidRDefault="00000000" w:rsidRPr="00000000" w14:paraId="00000091">
      <w:pPr>
        <w:numPr>
          <w:ilvl w:val="0"/>
          <w:numId w:val="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 Moro, R. Laureano and P. Cortez.</w:t>
      </w:r>
      <w:r w:rsidDel="00000000" w:rsidR="00000000" w:rsidRPr="00000000">
        <w:rPr>
          <w:rFonts w:ascii="Times New Roman" w:cs="Times New Roman" w:eastAsia="Times New Roman" w:hAnsi="Times New Roman"/>
          <w:sz w:val="24"/>
          <w:szCs w:val="24"/>
          <w:rtl w:val="0"/>
        </w:rPr>
        <w:t xml:space="preserve"> Using Data Mining for Bank Direct Marketing: An Application of the CRISP-DM Methodology. In P. Novais et al. (Eds.), Proceedings of the European Simulation and Modelling Conference - ESM'2011, pp. 117-121, Guimaraes, Portugal, October, 2011. EUROSIS.</w:t>
      </w:r>
    </w:p>
    <w:p w:rsidR="00000000" w:rsidDel="00000000" w:rsidP="00000000" w:rsidRDefault="00000000" w:rsidRPr="00000000" w14:paraId="00000092">
      <w:pPr>
        <w:numPr>
          <w:ilvl w:val="0"/>
          <w:numId w:val="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“Deposit Insurance.” FDIC, European Central Bank, 9 Oct. 2016, https://www.fdic.gov/resources/deposit-insurance/. </w:t>
      </w:r>
    </w:p>
    <w:p w:rsidR="00000000" w:rsidDel="00000000" w:rsidP="00000000" w:rsidRDefault="00000000" w:rsidRPr="00000000" w14:paraId="00000093">
      <w:pPr>
        <w:numPr>
          <w:ilvl w:val="0"/>
          <w:numId w:val="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Magellan Solutions.</w:t>
      </w:r>
      <w:r w:rsidDel="00000000" w:rsidR="00000000" w:rsidRPr="00000000">
        <w:rPr>
          <w:rFonts w:ascii="Times New Roman" w:cs="Times New Roman" w:eastAsia="Times New Roman" w:hAnsi="Times New Roman"/>
          <w:sz w:val="24"/>
          <w:szCs w:val="24"/>
          <w:rtl w:val="0"/>
        </w:rPr>
        <w:t xml:space="preserve"> “How Much Is the Cost of Telemarketing?” Magellan Solutions, 15 Sept. 2021, https://www.magellan-solutions.com/blog/cost-of-telemarketing/. </w:t>
      </w:r>
    </w:p>
    <w:p w:rsidR="00000000" w:rsidDel="00000000" w:rsidP="00000000" w:rsidRDefault="00000000" w:rsidRPr="00000000" w14:paraId="00000094">
      <w:pPr>
        <w:numPr>
          <w:ilvl w:val="0"/>
          <w:numId w:val="1"/>
        </w:numPr>
        <w:spacing w:after="0" w:afterAutospacing="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Murphy, Eliza.</w:t>
      </w:r>
      <w:r w:rsidDel="00000000" w:rsidR="00000000" w:rsidRPr="00000000">
        <w:rPr>
          <w:rFonts w:ascii="Times New Roman" w:cs="Times New Roman" w:eastAsia="Times New Roman" w:hAnsi="Times New Roman"/>
          <w:sz w:val="24"/>
          <w:szCs w:val="24"/>
          <w:rtl w:val="0"/>
        </w:rPr>
        <w:t xml:space="preserve"> “Bank of America Accelerates US Minimum Hourly Wage to $22 as next Step to $25 by 2025.” Bank of America Accelerates US Minimum Hourly Wage to $22 as Next Step to $25 by 2025, Bank of America, 23 May 2022, https://newsroom.bankofamerica.com/content/newsroom/press-releases/2022/05/bank-of-america-accelerates-us-minimum-hourly-wage-to--22-as-nex.html. </w:t>
      </w:r>
    </w:p>
    <w:p w:rsidR="00000000" w:rsidDel="00000000" w:rsidP="00000000" w:rsidRDefault="00000000" w:rsidRPr="00000000" w14:paraId="00000095">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World Bank.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GDP per Capita (Current US$) - Portugal</w:t>
      </w:r>
      <w:r w:rsidDel="00000000" w:rsidR="00000000" w:rsidRPr="00000000">
        <w:rPr>
          <w:rFonts w:ascii="Times New Roman" w:cs="Times New Roman" w:eastAsia="Times New Roman" w:hAnsi="Times New Roman"/>
          <w:sz w:val="24"/>
          <w:szCs w:val="24"/>
          <w:rtl w:val="0"/>
        </w:rPr>
        <w:t xml:space="preserve">, https://data.worldbank.org/indicator/NY.GDP.PCAP.CD?locations=PT. </w:t>
      </w:r>
    </w:p>
    <w:p w:rsidR="00000000" w:rsidDel="00000000" w:rsidP="00000000" w:rsidRDefault="00000000" w:rsidRPr="00000000" w14:paraId="00000096">
      <w:pPr>
        <w:numPr>
          <w:ilvl w:val="0"/>
          <w:numId w:val="1"/>
        </w:numPr>
        <w:spacing w:after="24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Time Doctor.</w:t>
      </w:r>
      <w:r w:rsidDel="00000000" w:rsidR="00000000" w:rsidRPr="00000000">
        <w:rPr>
          <w:rFonts w:ascii="Times New Roman" w:cs="Times New Roman" w:eastAsia="Times New Roman" w:hAnsi="Times New Roman"/>
          <w:sz w:val="24"/>
          <w:szCs w:val="24"/>
          <w:rtl w:val="0"/>
        </w:rPr>
        <w:t xml:space="preserve"> “What Is the Average Salary in Portugal for 2022 ?” </w:t>
      </w:r>
      <w:r w:rsidDel="00000000" w:rsidR="00000000" w:rsidRPr="00000000">
        <w:rPr>
          <w:rFonts w:ascii="Times New Roman" w:cs="Times New Roman" w:eastAsia="Times New Roman" w:hAnsi="Times New Roman"/>
          <w:i w:val="1"/>
          <w:sz w:val="24"/>
          <w:szCs w:val="24"/>
          <w:rtl w:val="0"/>
        </w:rPr>
        <w:t xml:space="preserve">Time Doctor Blog</w:t>
      </w:r>
      <w:r w:rsidDel="00000000" w:rsidR="00000000" w:rsidRPr="00000000">
        <w:rPr>
          <w:rFonts w:ascii="Times New Roman" w:cs="Times New Roman" w:eastAsia="Times New Roman" w:hAnsi="Times New Roman"/>
          <w:sz w:val="24"/>
          <w:szCs w:val="24"/>
          <w:rtl w:val="0"/>
        </w:rPr>
        <w:t xml:space="preserve">, 10 Nov. 2022, https://www.timedoctor.com/blog/average-salary-in-portugal/. </w:t>
      </w:r>
    </w:p>
    <w:p w:rsidR="00000000" w:rsidDel="00000000" w:rsidP="00000000" w:rsidRDefault="00000000" w:rsidRPr="00000000" w14:paraId="00000097">
      <w:pPr>
        <w:spacing w:line="240" w:lineRule="auto"/>
        <w:ind w:left="72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9">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AA">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1. Data Dictionary </w:t>
      </w:r>
    </w:p>
    <w:p w:rsidR="00000000" w:rsidDel="00000000" w:rsidP="00000000" w:rsidRDefault="00000000" w:rsidRPr="00000000" w14:paraId="000000AC">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AD">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94200"/>
            <wp:effectExtent b="0" l="0" r="0" t="0"/>
            <wp:docPr id="1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2. Visualizing Categorical (Left) and Continuous Variables (Right)</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10073" cy="2376488"/>
            <wp:effectExtent b="0" l="0" r="0" t="0"/>
            <wp:docPr id="2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10073" cy="23764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41320" cy="2390775"/>
            <wp:effectExtent b="0" l="0" r="0" t="0"/>
            <wp:docPr id="12" name="image3.png"/>
            <a:graphic>
              <a:graphicData uri="http://schemas.openxmlformats.org/drawingml/2006/picture">
                <pic:pic>
                  <pic:nvPicPr>
                    <pic:cNvPr id="0" name="image3.png"/>
                    <pic:cNvPicPr preferRelativeResize="0"/>
                  </pic:nvPicPr>
                  <pic:blipFill>
                    <a:blip r:embed="rId9"/>
                    <a:srcRect b="0" l="-7595" r="0" t="0"/>
                    <a:stretch>
                      <a:fillRect/>
                    </a:stretch>
                  </pic:blipFill>
                  <pic:spPr>
                    <a:xfrm>
                      <a:off x="0" y="0"/>
                      <a:ext cx="294132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3. PCA Results</w:t>
      </w:r>
    </w:p>
    <w:p w:rsidR="00000000" w:rsidDel="00000000" w:rsidP="00000000" w:rsidRDefault="00000000" w:rsidRPr="00000000" w14:paraId="000000B7">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172923" cy="795075"/>
            <wp:effectExtent b="0" l="0" r="0" t="0"/>
            <wp:docPr id="2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172923" cy="7950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4. Elbow plot - Variance Explained by k Components</w:t>
      </w:r>
    </w:p>
    <w:p w:rsidR="00000000" w:rsidDel="00000000" w:rsidP="00000000" w:rsidRDefault="00000000" w:rsidRPr="00000000" w14:paraId="000000B9">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636531" cy="1817415"/>
            <wp:effectExtent b="0" l="0" r="0" t="0"/>
            <wp:docPr id="2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636531" cy="181741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5. Loading and Communality Table for our 6 Rotated Principal Components </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5163" cy="5513206"/>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205163" cy="551320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6. Variable Correlation Heatmap </w:t>
      </w:r>
    </w:p>
    <w:p w:rsidR="00000000" w:rsidDel="00000000" w:rsidP="00000000" w:rsidRDefault="00000000" w:rsidRPr="00000000" w14:paraId="000000BE">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9050" distT="19050" distL="19050" distR="19050">
            <wp:extent cx="3473768" cy="3048000"/>
            <wp:effectExtent b="0" l="0" r="0" t="0"/>
            <wp:docPr id="17"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347376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7. Logistic Regression Model Summary</w:t>
      </w:r>
    </w:p>
    <w:p w:rsidR="00000000" w:rsidDel="00000000" w:rsidP="00000000" w:rsidRDefault="00000000" w:rsidRPr="00000000" w14:paraId="000000C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560235" cy="2790472"/>
            <wp:effectExtent b="0" l="0" r="0" t="0"/>
            <wp:docPr id="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560235" cy="279047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8. Logistic Mode Out-of-Sample AUC (Left) vs. Calibration Curve (Right)</w:t>
      </w:r>
    </w:p>
    <w:p w:rsidR="00000000" w:rsidDel="00000000" w:rsidP="00000000" w:rsidRDefault="00000000" w:rsidRPr="00000000" w14:paraId="000000C2">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540318" cy="2445530"/>
            <wp:effectExtent b="0" l="0" r="0" t="0"/>
            <wp:docPr id="2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540318" cy="244553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2693670" cy="2457450"/>
            <wp:effectExtent b="0" l="0" r="0" t="0"/>
            <wp:docPr id="8" name="image6.png"/>
            <a:graphic>
              <a:graphicData uri="http://schemas.openxmlformats.org/drawingml/2006/picture">
                <pic:pic>
                  <pic:nvPicPr>
                    <pic:cNvPr id="0" name="image6.png"/>
                    <pic:cNvPicPr preferRelativeResize="0"/>
                  </pic:nvPicPr>
                  <pic:blipFill>
                    <a:blip r:embed="rId16"/>
                    <a:srcRect b="-3613" l="-10252" r="-2130" t="-2846"/>
                    <a:stretch>
                      <a:fillRect/>
                    </a:stretch>
                  </pic:blipFill>
                  <pic:spPr>
                    <a:xfrm>
                      <a:off x="0" y="0"/>
                      <a:ext cx="269367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9. Random Forest Feature Importance Before (Left) vs. After (Right) PCA</w:t>
      </w:r>
    </w:p>
    <w:p w:rsidR="00000000" w:rsidDel="00000000" w:rsidP="00000000" w:rsidRDefault="00000000" w:rsidRPr="00000000" w14:paraId="000000C4">
      <w:pPr>
        <w:spacing w:line="276" w:lineRule="auto"/>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3200400</wp:posOffset>
            </wp:positionH>
            <wp:positionV relativeFrom="paragraph">
              <wp:posOffset>119063</wp:posOffset>
            </wp:positionV>
            <wp:extent cx="2830678" cy="2498806"/>
            <wp:effectExtent b="0" l="0" r="0" t="0"/>
            <wp:wrapSquare wrapText="bothSides" distB="19050" distT="19050" distL="19050" distR="19050"/>
            <wp:docPr id="2" name="image21.png"/>
            <a:graphic>
              <a:graphicData uri="http://schemas.openxmlformats.org/drawingml/2006/picture">
                <pic:pic>
                  <pic:nvPicPr>
                    <pic:cNvPr id="0" name="image21.png"/>
                    <pic:cNvPicPr preferRelativeResize="0"/>
                  </pic:nvPicPr>
                  <pic:blipFill>
                    <a:blip r:embed="rId17"/>
                    <a:srcRect b="-3027" l="0" r="0" t="0"/>
                    <a:stretch>
                      <a:fillRect/>
                    </a:stretch>
                  </pic:blipFill>
                  <pic:spPr>
                    <a:xfrm>
                      <a:off x="0" y="0"/>
                      <a:ext cx="2830678" cy="24988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78106</wp:posOffset>
            </wp:positionH>
            <wp:positionV relativeFrom="paragraph">
              <wp:posOffset>160418</wp:posOffset>
            </wp:positionV>
            <wp:extent cx="2969895" cy="2381250"/>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18"/>
                    <a:srcRect b="0" l="2562" r="0" t="0"/>
                    <a:stretch>
                      <a:fillRect/>
                    </a:stretch>
                  </pic:blipFill>
                  <pic:spPr>
                    <a:xfrm>
                      <a:off x="0" y="0"/>
                      <a:ext cx="2969895" cy="2381250"/>
                    </a:xfrm>
                    <a:prstGeom prst="rect"/>
                    <a:ln/>
                  </pic:spPr>
                </pic:pic>
              </a:graphicData>
            </a:graphic>
          </wp:anchor>
        </w:drawing>
      </w:r>
    </w:p>
    <w:p w:rsidR="00000000" w:rsidDel="00000000" w:rsidP="00000000" w:rsidRDefault="00000000" w:rsidRPr="00000000" w14:paraId="000000C5">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276"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0"/>
          <w:szCs w:val="20"/>
          <w:rtl w:val="0"/>
        </w:rPr>
        <w:tab/>
        <w:tab/>
        <w:tab/>
        <w:tab/>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10. Random Forest Confusion Matrix Before (Left) vs. After (Right) PCA with Bootstrapping</w:t>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152400</wp:posOffset>
            </wp:positionH>
            <wp:positionV relativeFrom="paragraph">
              <wp:posOffset>55643</wp:posOffset>
            </wp:positionV>
            <wp:extent cx="2946070" cy="2066925"/>
            <wp:effectExtent b="0" l="0" r="0" t="0"/>
            <wp:wrapSquare wrapText="bothSides" distB="19050" distT="19050" distL="19050" distR="1905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46070" cy="20669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3200400</wp:posOffset>
            </wp:positionH>
            <wp:positionV relativeFrom="paragraph">
              <wp:posOffset>104775</wp:posOffset>
            </wp:positionV>
            <wp:extent cx="2759393" cy="1976322"/>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759393" cy="1976322"/>
                    </a:xfrm>
                    <a:prstGeom prst="rect"/>
                    <a:ln/>
                  </pic:spPr>
                </pic:pic>
              </a:graphicData>
            </a:graphic>
          </wp:anchor>
        </w:drawing>
      </w:r>
    </w:p>
    <w:p w:rsidR="00000000" w:rsidDel="00000000" w:rsidP="00000000" w:rsidRDefault="00000000" w:rsidRPr="00000000" w14:paraId="000000D3">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line="276" w:lineRule="auto"/>
        <w:jc w:val="left"/>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11. SVC ROC Before (Left)  vs. After (Right) SMOTE-NC</w:t>
      </w:r>
      <w:r w:rsidDel="00000000" w:rsidR="00000000" w:rsidRPr="00000000">
        <w:rPr>
          <w:rFonts w:ascii="Times New Roman" w:cs="Times New Roman" w:eastAsia="Times New Roman" w:hAnsi="Times New Roman"/>
          <w:b w:val="1"/>
          <w:sz w:val="24"/>
          <w:szCs w:val="24"/>
        </w:rPr>
        <w:drawing>
          <wp:inline distB="19050" distT="19050" distL="19050" distR="19050">
            <wp:extent cx="2771113" cy="265310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71113" cy="2653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3017520" cy="2657475"/>
            <wp:effectExtent b="0" l="0" r="0" t="0"/>
            <wp:docPr id="9" name="image9.png"/>
            <a:graphic>
              <a:graphicData uri="http://schemas.openxmlformats.org/drawingml/2006/picture">
                <pic:pic>
                  <pic:nvPicPr>
                    <pic:cNvPr id="0" name="image9.png"/>
                    <pic:cNvPicPr preferRelativeResize="0"/>
                  </pic:nvPicPr>
                  <pic:blipFill>
                    <a:blip r:embed="rId21"/>
                    <a:srcRect b="0" l="-8795" r="0" t="0"/>
                    <a:stretch>
                      <a:fillRect/>
                    </a:stretch>
                  </pic:blipFill>
                  <pic:spPr>
                    <a:xfrm>
                      <a:off x="0" y="0"/>
                      <a:ext cx="301752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12. Line Graph of Portugal GDP Per Capita Through 1960 to 2021</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711768" cy="2351798"/>
            <wp:effectExtent b="0" l="0" r="0" t="0"/>
            <wp:docPr id="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711768" cy="235179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4">
      <w:pPr>
        <w:spacing w:line="276" w:lineRule="auto"/>
        <w:jc w:val="left"/>
        <w:rPr>
          <w:rFonts w:ascii="Calibri" w:cs="Calibri" w:eastAsia="Calibri" w:hAnsi="Calibri"/>
          <w:b w:val="1"/>
          <w:sz w:val="24"/>
          <w:szCs w:val="24"/>
        </w:rPr>
      </w:pPr>
      <w:r w:rsidDel="00000000" w:rsidR="00000000" w:rsidRPr="00000000">
        <w:rPr>
          <w:rFonts w:ascii="Times New Roman" w:cs="Times New Roman" w:eastAsia="Times New Roman" w:hAnsi="Times New Roman"/>
          <w:b w:val="1"/>
          <w:sz w:val="24"/>
          <w:szCs w:val="24"/>
          <w:rtl w:val="0"/>
        </w:rPr>
        <w:t xml:space="preserve">Appendix 13. Finding the Best Classifier Using Logistic Regression</w:t>
      </w:r>
      <w:r w:rsidDel="00000000" w:rsidR="00000000" w:rsidRPr="00000000">
        <w:rPr>
          <w:rtl w:val="0"/>
        </w:rPr>
      </w:r>
    </w:p>
    <w:p w:rsidR="00000000" w:rsidDel="00000000" w:rsidP="00000000" w:rsidRDefault="00000000" w:rsidRPr="00000000" w14:paraId="000000E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3488055" cy="2433312"/>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488055" cy="243331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14. Sensitivity Analysis of Finding the Best Classifier: Threshold Result (Left) and Pay-off Result (Right)</w:t>
      </w:r>
    </w:p>
    <w:p w:rsidR="00000000" w:rsidDel="00000000" w:rsidP="00000000" w:rsidRDefault="00000000" w:rsidRPr="00000000" w14:paraId="000000E8">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809875" cy="2109740"/>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809875" cy="210974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3017520" cy="2114550"/>
            <wp:effectExtent b="0" l="0" r="0" t="0"/>
            <wp:docPr id="6" name="image5.png"/>
            <a:graphic>
              <a:graphicData uri="http://schemas.openxmlformats.org/drawingml/2006/picture">
                <pic:pic>
                  <pic:nvPicPr>
                    <pic:cNvPr id="0" name="image5.png"/>
                    <pic:cNvPicPr preferRelativeResize="0"/>
                  </pic:nvPicPr>
                  <pic:blipFill>
                    <a:blip r:embed="rId25"/>
                    <a:srcRect b="0" l="-7027" r="0" t="0"/>
                    <a:stretch>
                      <a:fillRect/>
                    </a:stretch>
                  </pic:blipFill>
                  <pic:spPr>
                    <a:xfrm>
                      <a:off x="0" y="0"/>
                      <a:ext cx="3017520" cy="2114550"/>
                    </a:xfrm>
                    <a:prstGeom prst="rect"/>
                    <a:ln/>
                  </pic:spPr>
                </pic:pic>
              </a:graphicData>
            </a:graphic>
          </wp:inline>
        </w:drawing>
      </w:r>
      <w:r w:rsidDel="00000000" w:rsidR="00000000" w:rsidRPr="00000000">
        <w:rPr>
          <w:rtl w:val="0"/>
        </w:rPr>
      </w:r>
    </w:p>
    <w:sectPr>
      <w:headerReference r:id="rId26" w:type="default"/>
      <w:headerReference r:id="rId27" w:type="first"/>
      <w:footerReference r:id="rId28" w:type="default"/>
      <w:footerReference r:id="rId29" w:type="first"/>
      <w:pgSz w:h="16838" w:w="11906" w:orient="portrait"/>
      <w:pgMar w:bottom="288" w:top="0" w:left="1152" w:right="1152" w:header="720" w:footer="431.9999999999999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jc w:val="left"/>
      <w:rPr>
        <w:rFonts w:ascii="Montserrat" w:cs="Montserrat" w:eastAsia="Montserrat" w:hAnsi="Montserrat"/>
        <w:color w:val="783f04"/>
        <w:sz w:val="20"/>
        <w:szCs w:val="20"/>
      </w:rPr>
    </w:pPr>
    <w:r w:rsidDel="00000000" w:rsidR="00000000" w:rsidRPr="00000000">
      <w:rPr>
        <w:rFonts w:ascii="Times New Roman" w:cs="Times New Roman" w:eastAsia="Times New Roman" w:hAnsi="Times New Roman"/>
        <w:sz w:val="24"/>
        <w:szCs w:val="24"/>
        <w:rtl w:val="0"/>
      </w:rPr>
      <w:t xml:space="preserve">IEOR 4523 Data Analytics Section 003</w:t>
    </w: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783f04"/>
        <w:sz w:val="20"/>
        <w:szCs w:val="20"/>
        <w:rtl w:val="0"/>
      </w:rPr>
      <w:t xml:space="preserve">404 Brain Not Found</w:t>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-19049</wp:posOffset>
          </wp:positionV>
          <wp:extent cx="204788" cy="204788"/>
          <wp:effectExtent b="0" l="0" r="0" t="0"/>
          <wp:wrapNone/>
          <wp:docPr id="10" name="image16.jpg"/>
          <a:graphic>
            <a:graphicData uri="http://schemas.openxmlformats.org/drawingml/2006/picture">
              <pic:pic>
                <pic:nvPicPr>
                  <pic:cNvPr id="0" name="image16.jpg"/>
                  <pic:cNvPicPr preferRelativeResize="0"/>
                </pic:nvPicPr>
                <pic:blipFill>
                  <a:blip r:embed="rId1"/>
                  <a:srcRect b="0" l="0" r="0" t="0"/>
                  <a:stretch>
                    <a:fillRect/>
                  </a:stretch>
                </pic:blipFill>
                <pic:spPr>
                  <a:xfrm>
                    <a:off x="0" y="0"/>
                    <a:ext cx="204788" cy="204788"/>
                  </a:xfrm>
                  <a:prstGeom prst="rect"/>
                  <a:ln/>
                </pic:spPr>
              </pic:pic>
            </a:graphicData>
          </a:graphic>
        </wp:anchor>
      </w:drawing>
    </w:r>
  </w:p>
  <w:p w:rsidR="00000000" w:rsidDel="00000000" w:rsidP="00000000" w:rsidRDefault="00000000" w:rsidRPr="00000000" w14:paraId="000000EA">
    <w:pPr>
      <w:jc w:val="left"/>
      <w:rPr>
        <w:rFonts w:ascii="Times New Roman" w:cs="Times New Roman" w:eastAsia="Times New Roman" w:hAnsi="Times New Roman"/>
        <w:color w:val="783f0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jc w:val="left"/>
      <w:rPr>
        <w:rFonts w:ascii="Times New Roman" w:cs="Times New Roman" w:eastAsia="Times New Roman" w:hAnsi="Times New Roman"/>
        <w:color w:val="783f04"/>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5160645</wp:posOffset>
          </wp:positionH>
          <wp:positionV relativeFrom="page">
            <wp:posOffset>6677025</wp:posOffset>
          </wp:positionV>
          <wp:extent cx="695325" cy="695325"/>
          <wp:effectExtent b="0" l="0" r="0" t="0"/>
          <wp:wrapNone/>
          <wp:docPr id="20" name="image24.png"/>
          <a:graphic>
            <a:graphicData uri="http://schemas.openxmlformats.org/drawingml/2006/picture">
              <pic:pic>
                <pic:nvPicPr>
                  <pic:cNvPr id="0" name="image24.png"/>
                  <pic:cNvPicPr preferRelativeResize="0"/>
                </pic:nvPicPr>
                <pic:blipFill>
                  <a:blip r:embed="rId1">
                    <a:alphaModFix amt="67000"/>
                  </a:blip>
                  <a:srcRect b="0" l="0" r="0" t="0"/>
                  <a:stretch>
                    <a:fillRect/>
                  </a:stretch>
                </pic:blipFill>
                <pic:spPr>
                  <a:xfrm>
                    <a:off x="0" y="0"/>
                    <a:ext cx="695325" cy="695325"/>
                  </a:xfrm>
                  <a:prstGeom prst="rect"/>
                  <a:ln/>
                </pic:spPr>
              </pic:pic>
            </a:graphicData>
          </a:graphic>
        </wp:anchor>
      </w:drawing>
    </w:r>
    <w:r w:rsidDel="00000000" w:rsidR="00000000" w:rsidRPr="00000000">
      <w:rPr/>
      <w:drawing>
        <wp:anchor allowOverlap="1" behindDoc="1" distB="114300" distT="114300" distL="114300" distR="114300" hidden="0" layoutInCell="1" locked="0" relativeHeight="0" simplePos="0">
          <wp:simplePos x="0" y="0"/>
          <wp:positionH relativeFrom="page">
            <wp:posOffset>-42862</wp:posOffset>
          </wp:positionH>
          <wp:positionV relativeFrom="page">
            <wp:posOffset>-71437</wp:posOffset>
          </wp:positionV>
          <wp:extent cx="7651433" cy="10801350"/>
          <wp:effectExtent b="0" l="0" r="0" t="0"/>
          <wp:wrapNone/>
          <wp:docPr id="1" name="image1.jpg"/>
          <a:graphic>
            <a:graphicData uri="http://schemas.openxmlformats.org/drawingml/2006/picture">
              <pic:pic>
                <pic:nvPicPr>
                  <pic:cNvPr id="0" name="image1.jpg"/>
                  <pic:cNvPicPr preferRelativeResize="0"/>
                </pic:nvPicPr>
                <pic:blipFill>
                  <a:blip r:embed="rId2"/>
                  <a:srcRect b="34454" l="0" r="92033" t="0"/>
                  <a:stretch>
                    <a:fillRect/>
                  </a:stretch>
                </pic:blipFill>
                <pic:spPr>
                  <a:xfrm>
                    <a:off x="0" y="0"/>
                    <a:ext cx="7651433" cy="10801350"/>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8996057</wp:posOffset>
          </wp:positionV>
          <wp:extent cx="1021080" cy="1021080"/>
          <wp:effectExtent b="0" l="0" r="0" t="0"/>
          <wp:wrapNone/>
          <wp:docPr id="14" name="image13.png"/>
          <a:graphic>
            <a:graphicData uri="http://schemas.openxmlformats.org/drawingml/2006/picture">
              <pic:pic>
                <pic:nvPicPr>
                  <pic:cNvPr id="0" name="image13.png"/>
                  <pic:cNvPicPr preferRelativeResize="0"/>
                </pic:nvPicPr>
                <pic:blipFill>
                  <a:blip r:embed="rId3"/>
                  <a:srcRect b="-304672" l="-367289" r="367289" t="304672"/>
                  <a:stretch>
                    <a:fillRect/>
                  </a:stretch>
                </pic:blipFill>
                <pic:spPr>
                  <a:xfrm>
                    <a:off x="0" y="0"/>
                    <a:ext cx="1021080" cy="10210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2990850</wp:posOffset>
          </wp:positionV>
          <wp:extent cx="559812" cy="559812"/>
          <wp:effectExtent b="0" l="0" r="0" t="0"/>
          <wp:wrapNone/>
          <wp:docPr id="19"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559812" cy="5598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5934075</wp:posOffset>
          </wp:positionV>
          <wp:extent cx="4345274" cy="4345274"/>
          <wp:effectExtent b="0" l="0" r="0" t="0"/>
          <wp:wrapNone/>
          <wp:docPr id="22"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4345274" cy="434527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eader" Target="header1.xml"/><Relationship Id="rId25" Type="http://schemas.openxmlformats.org/officeDocument/2006/relationships/image" Target="media/image5.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footer" Target="footer1.xml"/><Relationship Id="rId7" Type="http://schemas.openxmlformats.org/officeDocument/2006/relationships/image" Target="media/image23.png"/><Relationship Id="rId8" Type="http://schemas.openxmlformats.org/officeDocument/2006/relationships/image" Target="media/image12.png"/><Relationship Id="rId11" Type="http://schemas.openxmlformats.org/officeDocument/2006/relationships/image" Target="media/image19.png"/><Relationship Id="rId10" Type="http://schemas.openxmlformats.org/officeDocument/2006/relationships/image" Target="media/image22.png"/><Relationship Id="rId13" Type="http://schemas.openxmlformats.org/officeDocument/2006/relationships/image" Target="media/image11.jpg"/><Relationship Id="rId12" Type="http://schemas.openxmlformats.org/officeDocument/2006/relationships/image" Target="media/image17.png"/><Relationship Id="rId15" Type="http://schemas.openxmlformats.org/officeDocument/2006/relationships/image" Target="media/image20.png"/><Relationship Id="rId14" Type="http://schemas.openxmlformats.org/officeDocument/2006/relationships/image" Target="media/image18.png"/><Relationship Id="rId17" Type="http://schemas.openxmlformats.org/officeDocument/2006/relationships/image" Target="media/image21.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1.jpg"/><Relationship Id="rId3" Type="http://schemas.openxmlformats.org/officeDocument/2006/relationships/image" Target="media/image13.png"/><Relationship Id="rId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