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n2667u7gd1zj" w:id="0"/>
      <w:bookmarkEnd w:id="0"/>
      <w:r w:rsidDel="00000000" w:rsidR="00000000" w:rsidRPr="00000000">
        <w:rPr>
          <w:rtl w:val="0"/>
        </w:rPr>
        <w:t xml:space="preserve">A Benchmark for Financial Misinformation Detection in Auditing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enzemibr9uws" w:id="1"/>
      <w:bookmarkEnd w:id="1"/>
      <w:r w:rsidDel="00000000" w:rsidR="00000000" w:rsidRPr="00000000">
        <w:rPr>
          <w:rtl w:val="0"/>
        </w:rPr>
        <w:t xml:space="preserve">Motivation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LLMs are increasingly used in financial tasks, including financial question answering, rule-based statement reasoning, and structured auditing over financial filings. However, existing benchmarks largely focus on whether a model can answer financial questions, check numerical consistency, or reason over accounting structures.None are in detecting misinformation in audited financial reporting.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gap is important because real-world audit and enforcement failures often cannot be addressed by structure or arithmetic errors. They instead involve </w:t>
      </w:r>
      <w:r w:rsidDel="00000000" w:rsidR="00000000" w:rsidRPr="00000000">
        <w:rPr>
          <w:b w:val="1"/>
          <w:bCs w:val="1"/>
          <w:rtl w:val="0"/>
        </w:rPr>
        <w:t xml:space="preserve">misleading </w:t>
      </w:r>
      <w:r w:rsidDel="00000000" w:rsidR="00000000" w:rsidRPr="00000000">
        <w:rPr>
          <w:rtl w:val="0"/>
        </w:rPr>
        <w:t xml:space="preserve">narratives, aggressive but undisclosed accounting choices, improper classification of expenses or gains, and </w:t>
      </w:r>
      <w:r w:rsidDel="00000000" w:rsidR="00000000" w:rsidRPr="00000000">
        <w:rPr>
          <w:b w:val="1"/>
          <w:bCs w:val="1"/>
          <w:rtl w:val="0"/>
        </w:rPr>
        <w:t xml:space="preserve">fraudulent </w:t>
      </w:r>
      <w:r w:rsidDel="00000000" w:rsidR="00000000" w:rsidRPr="00000000">
        <w:rPr>
          <w:rtl w:val="0"/>
        </w:rPr>
        <w:t xml:space="preserve">reporting patterns that distort investors’ understanding of company performance.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u4kb3k2l8inb" w:id="2"/>
      <w:bookmarkEnd w:id="2"/>
      <w:r w:rsidDel="00000000" w:rsidR="00000000" w:rsidRPr="00000000">
        <w:rPr>
          <w:rtl w:val="0"/>
        </w:rPr>
        <w:t xml:space="preserve">Related Work</w:t>
      </w:r>
    </w:p>
    <w:p w:rsidR="00000000" w:rsidDel="00000000" w:rsidP="00000000" w:rsidRDefault="00000000" w:rsidRPr="00000000" w14:paraId="0000000A">
      <w:pPr>
        <w:pStyle w:val="Heading3"/>
        <w:rPr/>
      </w:pPr>
      <w:bookmarkStart w:colFirst="0" w:colLast="0" w:name="_ksm3ib7os3qh" w:id="3"/>
      <w:bookmarkEnd w:id="3"/>
      <w:r w:rsidDel="00000000" w:rsidR="00000000" w:rsidRPr="00000000">
        <w:rPr>
          <w:rtl w:val="0"/>
        </w:rPr>
        <w:t xml:space="preserve">Auditing benchmarks</w:t>
      </w:r>
    </w:p>
    <w:p w:rsidR="00000000" w:rsidDel="00000000" w:rsidP="00000000" w:rsidRDefault="00000000" w:rsidRPr="00000000" w14:paraId="0000000B">
      <w:pPr>
        <w:rPr/>
      </w:pPr>
      <w:hyperlink r:id="rId6">
        <w:r w:rsidDel="00000000" w:rsidR="00000000" w:rsidRPr="00000000">
          <w:rPr>
            <w:color w:val="1155cc"/>
            <w:u w:val="single"/>
            <w:rtl w:val="0"/>
          </w:rPr>
          <w:t xml:space="preserve">FinAuditing: A Financial Taxonomy-Structured Multi-Document Benchmark for Evaluating LLMs</w:t>
        </w:r>
      </w:hyperlink>
      <w:r w:rsidDel="00000000" w:rsidR="00000000" w:rsidRPr="00000000">
        <w:rPr>
          <w:rtl w:val="0"/>
        </w:rPr>
        <w:t xml:space="preserve">: </w:t>
      </w:r>
    </w:p>
    <w:p w:rsidR="00000000" w:rsidDel="00000000" w:rsidP="00000000" w:rsidRDefault="00000000" w:rsidRPr="00000000" w14:paraId="0000000C">
      <w:pPr>
        <w:numPr>
          <w:ilvl w:val="0"/>
          <w:numId w:val="10"/>
        </w:numPr>
        <w:ind w:left="720" w:hanging="360"/>
        <w:rPr>
          <w:u w:val="none"/>
        </w:rPr>
      </w:pPr>
      <w:r w:rsidDel="00000000" w:rsidR="00000000" w:rsidRPr="00000000">
        <w:rPr>
          <w:rtl w:val="0"/>
        </w:rPr>
        <w:t xml:space="preserve">Structure-aware, multi-document reasoning benchmark over real XBRL financial filings</w:t>
      </w:r>
    </w:p>
    <w:p w:rsidR="00000000" w:rsidDel="00000000" w:rsidP="00000000" w:rsidRDefault="00000000" w:rsidRPr="00000000" w14:paraId="0000000D">
      <w:pPr>
        <w:numPr>
          <w:ilvl w:val="0"/>
          <w:numId w:val="10"/>
        </w:numPr>
        <w:ind w:left="720" w:hanging="360"/>
        <w:rPr>
          <w:u w:val="none"/>
        </w:rPr>
      </w:pPr>
      <w:r w:rsidDel="00000000" w:rsidR="00000000" w:rsidRPr="00000000">
        <w:rPr>
          <w:rtl w:val="0"/>
        </w:rPr>
        <w:t xml:space="preserve">Checks semantic, relational, numerical consistency</w:t>
      </w:r>
    </w:p>
    <w:p w:rsidR="00000000" w:rsidDel="00000000" w:rsidP="00000000" w:rsidRDefault="00000000" w:rsidRPr="00000000" w14:paraId="0000000E">
      <w:pPr>
        <w:numPr>
          <w:ilvl w:val="0"/>
          <w:numId w:val="10"/>
        </w:numPr>
        <w:ind w:left="720" w:hanging="360"/>
        <w:rPr>
          <w:u w:val="none"/>
        </w:rPr>
      </w:pPr>
      <w:r w:rsidDel="00000000" w:rsidR="00000000" w:rsidRPr="00000000">
        <w:rPr>
          <w:rtl w:val="0"/>
        </w:rPr>
        <w:t xml:space="preserve">Most relevant because directly target company filing auditing, but it’s for auditing competence rather than detecting misleading disclosure or misinformation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7">
        <w:r w:rsidDel="00000000" w:rsidR="00000000" w:rsidRPr="00000000">
          <w:rPr>
            <w:color w:val="1155cc"/>
            <w:u w:val="single"/>
            <w:rtl w:val="0"/>
          </w:rPr>
          <w:t xml:space="preserve">Automating Financial Statement Audits with Large Language Models</w:t>
        </w:r>
      </w:hyperlink>
      <w:r w:rsidDel="00000000" w:rsidR="00000000" w:rsidRPr="00000000">
        <w:rPr>
          <w:rtl w:val="0"/>
        </w:rPr>
      </w:r>
    </w:p>
    <w:p w:rsidR="00000000" w:rsidDel="00000000" w:rsidP="00000000" w:rsidRDefault="00000000" w:rsidRPr="00000000" w14:paraId="00000011">
      <w:pPr>
        <w:numPr>
          <w:ilvl w:val="0"/>
          <w:numId w:val="9"/>
        </w:numPr>
        <w:ind w:left="720" w:hanging="360"/>
        <w:rPr>
          <w:u w:val="none"/>
        </w:rPr>
      </w:pPr>
      <w:r w:rsidDel="00000000" w:rsidR="00000000" w:rsidRPr="00000000">
        <w:rPr>
          <w:rtl w:val="0"/>
        </w:rPr>
        <w:t xml:space="preserve">Benchmark on financial auditing</w:t>
      </w:r>
    </w:p>
    <w:p w:rsidR="00000000" w:rsidDel="00000000" w:rsidP="00000000" w:rsidRDefault="00000000" w:rsidRPr="00000000" w14:paraId="00000012">
      <w:pPr>
        <w:numPr>
          <w:ilvl w:val="0"/>
          <w:numId w:val="9"/>
        </w:numPr>
        <w:ind w:left="720" w:hanging="360"/>
        <w:rPr>
          <w:u w:val="none"/>
        </w:rPr>
      </w:pPr>
      <w:r w:rsidDel="00000000" w:rsidR="00000000" w:rsidRPr="00000000">
        <w:rPr>
          <w:rtl w:val="0"/>
        </w:rPr>
        <w:t xml:space="preserve">Split audit process to 5 stages and evaluate models’ abilities on each stage of judge, identify, resolve, accounting standards reference, and revision</w:t>
      </w:r>
    </w:p>
    <w:p w:rsidR="00000000" w:rsidDel="00000000" w:rsidP="00000000" w:rsidRDefault="00000000" w:rsidRPr="00000000" w14:paraId="00000013">
      <w:pPr>
        <w:numPr>
          <w:ilvl w:val="0"/>
          <w:numId w:val="9"/>
        </w:numPr>
        <w:ind w:left="720" w:hanging="360"/>
        <w:rPr>
          <w:u w:val="none"/>
        </w:rPr>
      </w:pPr>
      <w:r w:rsidDel="00000000" w:rsidR="00000000" w:rsidRPr="00000000">
        <w:rPr>
          <w:rtl w:val="0"/>
        </w:rPr>
        <w:t xml:space="preserve">Focus on accounting correctness rather than people’s perception and misinformation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8">
        <w:r w:rsidDel="00000000" w:rsidR="00000000" w:rsidRPr="00000000">
          <w:rPr>
            <w:color w:val="1155cc"/>
            <w:u w:val="single"/>
            <w:rtl w:val="0"/>
          </w:rPr>
          <w:t xml:space="preserve">FinRule-Bench: A Benchmark for Joint Reasoning over Financial Tables and Principles</w:t>
        </w:r>
      </w:hyperlink>
      <w:r w:rsidDel="00000000" w:rsidR="00000000" w:rsidRPr="00000000">
        <w:rPr>
          <w:rtl w:val="0"/>
        </w:rPr>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A benchmark for evaluating diagnostic completeness in rule-based financial reasoning</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Focus on diagnosing rules on whether they violate accounting standards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Rule verification (judge violation), rule identification(single violation), joint rule diagnosis (multiple violation)</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Not on misinformation</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rPr/>
      </w:pPr>
      <w:hyperlink r:id="rId9">
        <w:r w:rsidDel="00000000" w:rsidR="00000000" w:rsidRPr="00000000">
          <w:rPr>
            <w:color w:val="1155cc"/>
            <w:u w:val="single"/>
            <w:rtl w:val="0"/>
          </w:rPr>
          <w:t xml:space="preserve">FinMaster: A Holistic Benchmark for Mastering Full-Pipeline Financial Workflows with LLMs</w:t>
        </w:r>
      </w:hyperlink>
      <w:r w:rsidDel="00000000" w:rsidR="00000000" w:rsidRPr="00000000">
        <w:rPr>
          <w:rtl w:val="0"/>
        </w:rPr>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Comprehensive financial benchmark with end to end financial workflow, contains accounting and auditing tasks</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Focus on calculation correctness and audit on identifying errors, not misinformation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wxmmkityj4ou" w:id="4"/>
      <w:bookmarkEnd w:id="4"/>
      <w:r w:rsidDel="00000000" w:rsidR="00000000" w:rsidRPr="00000000">
        <w:rPr>
          <w:rtl w:val="0"/>
        </w:rPr>
        <w:t xml:space="preserve">Financial Misinformation Benchmarks</w:t>
      </w:r>
    </w:p>
    <w:p w:rsidR="00000000" w:rsidDel="00000000" w:rsidP="00000000" w:rsidRDefault="00000000" w:rsidRPr="00000000" w14:paraId="00000020">
      <w:pPr>
        <w:rPr/>
      </w:pPr>
      <w:hyperlink r:id="rId10">
        <w:r w:rsidDel="00000000" w:rsidR="00000000" w:rsidRPr="00000000">
          <w:rPr>
            <w:color w:val="1155cc"/>
            <w:u w:val="single"/>
            <w:rtl w:val="0"/>
          </w:rPr>
          <w:t xml:space="preserve">Same Claim, Different Judgment: Benchmarking Scenario-Induced Bias in Multilingual Financial Misinformation Detection</w:t>
        </w:r>
      </w:hyperlink>
      <w:r w:rsidDel="00000000" w:rsidR="00000000" w:rsidRPr="00000000">
        <w:rPr>
          <w:rtl w:val="0"/>
        </w:rPr>
      </w:r>
    </w:p>
    <w:p w:rsidR="00000000" w:rsidDel="00000000" w:rsidP="00000000" w:rsidRDefault="00000000" w:rsidRPr="00000000" w14:paraId="00000021">
      <w:pPr>
        <w:numPr>
          <w:ilvl w:val="0"/>
          <w:numId w:val="13"/>
        </w:numPr>
        <w:ind w:left="720" w:hanging="360"/>
        <w:rPr>
          <w:u w:val="none"/>
        </w:rPr>
      </w:pPr>
      <w:r w:rsidDel="00000000" w:rsidR="00000000" w:rsidRPr="00000000">
        <w:rPr>
          <w:rtl w:val="0"/>
        </w:rPr>
        <w:t xml:space="preserve">MFMD-Scen benchmarks financial misinformation detection under scenario variation and multilingual settings </w:t>
      </w:r>
    </w:p>
    <w:p w:rsidR="00000000" w:rsidDel="00000000" w:rsidP="00000000" w:rsidRDefault="00000000" w:rsidRPr="00000000" w14:paraId="00000022">
      <w:pPr>
        <w:numPr>
          <w:ilvl w:val="0"/>
          <w:numId w:val="13"/>
        </w:numPr>
        <w:ind w:left="720" w:hanging="360"/>
        <w:rPr>
          <w:u w:val="none"/>
        </w:rPr>
      </w:pPr>
      <w:r w:rsidDel="00000000" w:rsidR="00000000" w:rsidRPr="00000000">
        <w:rPr>
          <w:rtl w:val="0"/>
        </w:rPr>
        <w:t xml:space="preserve">Focus on biases introduced across personality, regions, ethnicity and religious beliefs, not on financial reporting, accounting manipulation, or enforcement-grounded disclosure misconduct</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pStyle w:val="Heading3"/>
        <w:rPr/>
      </w:pPr>
      <w:bookmarkStart w:colFirst="0" w:colLast="0" w:name="_7rikppgd784g" w:id="5"/>
      <w:bookmarkEnd w:id="5"/>
      <w:r w:rsidDel="00000000" w:rsidR="00000000" w:rsidRPr="00000000">
        <w:rPr>
          <w:rtl w:val="0"/>
        </w:rPr>
        <w:t xml:space="preserve">Data Sources</w:t>
      </w:r>
    </w:p>
    <w:p w:rsidR="00000000" w:rsidDel="00000000" w:rsidP="00000000" w:rsidRDefault="00000000" w:rsidRPr="00000000" w14:paraId="00000025">
      <w:pPr>
        <w:numPr>
          <w:ilvl w:val="0"/>
          <w:numId w:val="1"/>
        </w:numPr>
        <w:ind w:left="720" w:hanging="360"/>
        <w:rPr>
          <w:u w:val="none"/>
        </w:rPr>
      </w:pPr>
      <w:hyperlink r:id="rId11">
        <w:r w:rsidDel="00000000" w:rsidR="00000000" w:rsidRPr="00000000">
          <w:rPr>
            <w:color w:val="1155cc"/>
            <w:u w:val="single"/>
            <w:rtl w:val="0"/>
          </w:rPr>
          <w:t xml:space="preserve">SEC Accounting and Auditing Enforcement filings</w:t>
        </w:r>
      </w:hyperlink>
      <w:r w:rsidDel="00000000" w:rsidR="00000000" w:rsidRPr="00000000">
        <w:rPr>
          <w:rtl w:val="0"/>
        </w:rPr>
      </w:r>
    </w:p>
    <w:p w:rsidR="00000000" w:rsidDel="00000000" w:rsidP="00000000" w:rsidRDefault="00000000" w:rsidRPr="00000000" w14:paraId="00000026">
      <w:pPr>
        <w:numPr>
          <w:ilvl w:val="0"/>
          <w:numId w:val="1"/>
        </w:numPr>
        <w:ind w:left="720" w:hanging="360"/>
        <w:rPr>
          <w:u w:val="none"/>
        </w:rPr>
      </w:pPr>
      <w:hyperlink r:id="rId12">
        <w:r w:rsidDel="00000000" w:rsidR="00000000" w:rsidRPr="00000000">
          <w:rPr>
            <w:color w:val="1155cc"/>
            <w:u w:val="single"/>
            <w:rtl w:val="0"/>
          </w:rPr>
          <w:t xml:space="preserve">SEC litigation releases</w:t>
        </w:r>
      </w:hyperlink>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EDGAR company filings</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Shorting org report - find company failures</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Attribution classification</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Generated data </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Fake &amp; true report</w:t>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pStyle w:val="Heading3"/>
        <w:rPr/>
      </w:pPr>
      <w:bookmarkStart w:colFirst="0" w:colLast="0" w:name="_cwm8sznwlpew" w:id="6"/>
      <w:bookmarkEnd w:id="6"/>
      <w:r w:rsidDel="00000000" w:rsidR="00000000" w:rsidRPr="00000000">
        <w:rPr>
          <w:rtl w:val="0"/>
        </w:rPr>
        <w:t xml:space="preserve">Task Design </w:t>
      </w:r>
    </w:p>
    <w:p w:rsidR="00000000" w:rsidDel="00000000" w:rsidP="00000000" w:rsidRDefault="00000000" w:rsidRPr="00000000" w14:paraId="0000002E">
      <w:pPr>
        <w:ind w:left="0" w:firstLine="0"/>
        <w:rPr/>
      </w:pPr>
      <w:r w:rsidDel="00000000" w:rsidR="00000000" w:rsidRPr="00000000">
        <w:rPr>
          <w:b w:val="1"/>
          <w:bCs w:val="1"/>
          <w:rtl w:val="0"/>
        </w:rPr>
        <w:t xml:space="preserve">Task 1</w:t>
      </w:r>
      <w:r w:rsidDel="00000000" w:rsidR="00000000" w:rsidRPr="00000000">
        <w:rPr>
          <w:rtl w:val="0"/>
        </w:rPr>
        <w:t xml:space="preserve">. Source of Profit Change Detection (detect misleading attribution)</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Evaluates whether an LLM can identify the true driver of a reported earnings change and determine whether management’s explanation materially </w:t>
      </w:r>
      <w:r w:rsidDel="00000000" w:rsidR="00000000" w:rsidRPr="00000000">
        <w:rPr>
          <w:b w:val="1"/>
          <w:bCs w:val="1"/>
          <w:rtl w:val="0"/>
        </w:rPr>
        <w:t xml:space="preserve">misattributes </w:t>
      </w:r>
      <w:r w:rsidDel="00000000" w:rsidR="00000000" w:rsidRPr="00000000">
        <w:rPr>
          <w:rtl w:val="0"/>
        </w:rPr>
        <w:t xml:space="preserve">that change</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Investors are often misled not because the company reports an impossible number, but because management attributes performance to operating improvement while the real driver is a nonrecurring item, reserve release, estimate change, or accounting presentation effect</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SEC MD&amp;A guidance requires registrants to discuss the underlying causes of changes in results of operations, not merely recite surface-level directional movements.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Case: </w:t>
      </w:r>
      <w:hyperlink r:id="rId13">
        <w:r w:rsidDel="00000000" w:rsidR="00000000" w:rsidRPr="00000000">
          <w:rPr>
            <w:color w:val="1155cc"/>
            <w:u w:val="single"/>
            <w:rtl w:val="0"/>
          </w:rPr>
          <w:t xml:space="preserve">Sunbeam</w:t>
        </w:r>
      </w:hyperlink>
      <w:r w:rsidDel="00000000" w:rsidR="00000000" w:rsidRPr="00000000">
        <w:rPr>
          <w:rtl w:val="0"/>
        </w:rPr>
        <w:t xml:space="preserve"> </w:t>
      </w:r>
    </w:p>
    <w:p w:rsidR="00000000" w:rsidDel="00000000" w:rsidP="00000000" w:rsidRDefault="00000000" w:rsidRPr="00000000" w14:paraId="00000034">
      <w:pPr>
        <w:numPr>
          <w:ilvl w:val="0"/>
          <w:numId w:val="11"/>
        </w:numPr>
        <w:ind w:left="720" w:hanging="360"/>
        <w:rPr>
          <w:u w:val="none"/>
        </w:rPr>
      </w:pPr>
      <w:r w:rsidDel="00000000" w:rsidR="00000000" w:rsidRPr="00000000">
        <w:rPr>
          <w:rtl w:val="0"/>
        </w:rPr>
        <w:t xml:space="preserve">As Sunbeam entered 1998, </w:t>
      </w:r>
      <w:r w:rsidDel="00000000" w:rsidR="00000000" w:rsidRPr="00000000">
        <w:rPr>
          <w:b w:val="1"/>
          <w:bCs w:val="1"/>
          <w:rtl w:val="0"/>
        </w:rPr>
        <w:t xml:space="preserve">channel stuffing</w:t>
      </w:r>
      <w:r w:rsidDel="00000000" w:rsidR="00000000" w:rsidRPr="00000000">
        <w:rPr>
          <w:rtl w:val="0"/>
        </w:rPr>
        <w:t xml:space="preserve"> though price discounting and contingent and bill and hold sales had borrowed heavily against futures sales revenue and left the Company with no options to satisfy that debt. Reports to senior management showed </w:t>
      </w:r>
      <w:r w:rsidDel="00000000" w:rsidR="00000000" w:rsidRPr="00000000">
        <w:rPr>
          <w:b w:val="1"/>
          <w:bCs w:val="1"/>
          <w:rtl w:val="0"/>
        </w:rPr>
        <w:t xml:space="preserve">customers holding as much as 80 weeks of inventory</w:t>
      </w:r>
      <w:r w:rsidDel="00000000" w:rsidR="00000000" w:rsidRPr="00000000">
        <w:rPr>
          <w:rtl w:val="0"/>
        </w:rPr>
        <w:t xml:space="preserve"> of specific products. Senior management was also repeatedly informed of projected earnings shortfalls for the quarter. In brief, the Company was experiencing the results of a short-term approach to earnings management that had outlived its efficacy.</w:t>
      </w:r>
    </w:p>
    <w:p w:rsidR="00000000" w:rsidDel="00000000" w:rsidP="00000000" w:rsidRDefault="00000000" w:rsidRPr="00000000" w14:paraId="00000035">
      <w:pPr>
        <w:numPr>
          <w:ilvl w:val="0"/>
          <w:numId w:val="11"/>
        </w:numPr>
        <w:ind w:left="720" w:hanging="360"/>
        <w:rPr>
          <w:u w:val="none"/>
        </w:rPr>
      </w:pPr>
      <w:r w:rsidDel="00000000" w:rsidR="00000000" w:rsidRPr="00000000">
        <w:rPr>
          <w:rtl w:val="0"/>
        </w:rPr>
        <w:t xml:space="preserve">“Sales of Outdoor Cooking products increased in 1997 after three straight years of declines as a result of increased merchandising and advertising programs, new distribution and the introduction of an entirely new line of grills and accessories for the 1998 season that began to ship in the fourth quarter of 1997 under a new "early buy" marketing program that included among other things, extended credit terms with due dates in the second quarter of 1998. The Company sold approximately $50.0 million of Outdoor Cooking Products under this program in the fourth quarter of 1997. The early buy program for Outdoor Cooking products is designed to improve customer service levels and production efficiencies with </w:t>
      </w:r>
      <w:r w:rsidDel="00000000" w:rsidR="00000000" w:rsidRPr="00000000">
        <w:rPr>
          <w:b w:val="1"/>
          <w:bCs w:val="1"/>
          <w:rtl w:val="0"/>
        </w:rPr>
        <w:t xml:space="preserve">more level seasonal production and distribution activities</w:t>
      </w:r>
      <w:r w:rsidDel="00000000" w:rsidR="00000000" w:rsidRPr="00000000">
        <w:rPr>
          <w:rtl w:val="0"/>
        </w:rPr>
        <w:t xml:space="preserve"> that have historically peaked in the first half of each year and to drive additional retail sell-through of Outdoor Cooking products by reducing the likelihood of retail stock-outs during the important first and second quarter 1998 selling season.”</w:t>
      </w:r>
    </w:p>
    <w:p w:rsidR="00000000" w:rsidDel="00000000" w:rsidP="00000000" w:rsidRDefault="00000000" w:rsidRPr="00000000" w14:paraId="00000036">
      <w:pPr>
        <w:numPr>
          <w:ilvl w:val="0"/>
          <w:numId w:val="11"/>
        </w:numPr>
        <w:ind w:left="720" w:hanging="360"/>
        <w:rPr>
          <w:u w:val="none"/>
        </w:rPr>
      </w:pPr>
      <w:r w:rsidDel="00000000" w:rsidR="00000000" w:rsidRPr="00000000">
        <w:rPr>
          <w:rtl w:val="0"/>
        </w:rPr>
        <w:t xml:space="preserve">The 1997 filing revealed the existence of the “early buy” program and bill-and-hold sales, but </w:t>
      </w:r>
      <w:r w:rsidDel="00000000" w:rsidR="00000000" w:rsidRPr="00000000">
        <w:rPr>
          <w:b w:val="1"/>
          <w:bCs w:val="1"/>
          <w:rtl w:val="0"/>
        </w:rPr>
        <w:t xml:space="preserve">failed to disclose</w:t>
      </w:r>
      <w:r w:rsidDel="00000000" w:rsidR="00000000" w:rsidRPr="00000000">
        <w:rPr>
          <w:rtl w:val="0"/>
        </w:rPr>
        <w:t xml:space="preserve"> that these were part of a broader acceleration of revenue that would hurt future results. Specifically, the SEC order says the 10-K “contained no disclosure about the various forms of earnings management practiced by the Company and their implications for future sales and liquidity,” except that it revealed the “early buy” program and bill-and-hold sales, and that the filing suggested only a limited seasonal smoothing rather than a broad acceleration of revenue.</w:t>
      </w:r>
    </w:p>
    <w:p w:rsidR="00000000" w:rsidDel="00000000" w:rsidP="00000000" w:rsidRDefault="00000000" w:rsidRPr="00000000" w14:paraId="00000037">
      <w:pPr>
        <w:numPr>
          <w:ilvl w:val="0"/>
          <w:numId w:val="11"/>
        </w:numPr>
        <w:ind w:left="720" w:hanging="360"/>
        <w:rPr>
          <w:sz w:val="20"/>
          <w:szCs w:val="20"/>
        </w:rPr>
      </w:pPr>
      <w:r w:rsidDel="00000000" w:rsidR="00000000" w:rsidRPr="00000000">
        <w:rPr>
          <w:color w:val="1b1b1b"/>
          <w:highlight w:val="white"/>
          <w:rtl w:val="0"/>
        </w:rPr>
        <w:t xml:space="preserve">At year-end 1997, at least $62 million of Sunbeam's reported income of $189 million came from accounting fraud.</w:t>
      </w:r>
    </w:p>
    <w:p w:rsidR="00000000" w:rsidDel="00000000" w:rsidP="00000000" w:rsidRDefault="00000000" w:rsidRPr="00000000" w14:paraId="00000038">
      <w:pPr>
        <w:rPr>
          <w:rFonts w:ascii="Roboto" w:cs="Roboto" w:eastAsia="Roboto" w:hAnsi="Roboto"/>
          <w:color w:val="1b1b1b"/>
          <w:sz w:val="24"/>
          <w:szCs w:val="24"/>
          <w:highlight w:val="white"/>
        </w:rPr>
      </w:pPr>
      <w:r w:rsidDel="00000000" w:rsidR="00000000" w:rsidRPr="00000000">
        <w:rPr>
          <w:rtl w:val="0"/>
        </w:rPr>
      </w:r>
    </w:p>
    <w:p w:rsidR="00000000" w:rsidDel="00000000" w:rsidP="00000000" w:rsidRDefault="00000000" w:rsidRPr="00000000" w14:paraId="00000039">
      <w:pPr>
        <w:rPr>
          <w:color w:val="1b1b1b"/>
          <w:highlight w:val="white"/>
        </w:rPr>
      </w:pPr>
      <w:hyperlink r:id="rId14">
        <w:r w:rsidDel="00000000" w:rsidR="00000000" w:rsidRPr="00000000">
          <w:rPr>
            <w:color w:val="1155cc"/>
            <w:highlight w:val="white"/>
            <w:u w:val="single"/>
            <w:rtl w:val="0"/>
          </w:rPr>
          <w:t xml:space="preserve">Waste Management</w:t>
        </w:r>
      </w:hyperlink>
      <w:r w:rsidDel="00000000" w:rsidR="00000000" w:rsidRPr="00000000">
        <w:rPr>
          <w:rtl w:val="0"/>
        </w:rPr>
      </w:r>
    </w:p>
    <w:p w:rsidR="00000000" w:rsidDel="00000000" w:rsidP="00000000" w:rsidRDefault="00000000" w:rsidRPr="00000000" w14:paraId="0000003A">
      <w:pPr>
        <w:numPr>
          <w:ilvl w:val="0"/>
          <w:numId w:val="7"/>
        </w:numPr>
        <w:ind w:left="720" w:hanging="360"/>
        <w:rPr>
          <w:color w:val="1b1b1b"/>
          <w:highlight w:val="white"/>
          <w:u w:val="none"/>
        </w:rPr>
      </w:pPr>
      <w:r w:rsidDel="00000000" w:rsidR="00000000" w:rsidRPr="00000000">
        <w:rPr>
          <w:color w:val="1b1b1b"/>
          <w:highlight w:val="white"/>
          <w:rtl w:val="0"/>
        </w:rPr>
        <w:t xml:space="preserve">manipulated depreciation by extending useful lives and overstating salvage values, thereby reducing current-period depreciation expense and misrepresenting financial performance</w:t>
      </w:r>
    </w:p>
    <w:p w:rsidR="00000000" w:rsidDel="00000000" w:rsidP="00000000" w:rsidRDefault="00000000" w:rsidRPr="00000000" w14:paraId="0000003B">
      <w:pPr>
        <w:ind w:left="0" w:firstLine="0"/>
        <w:rPr>
          <w:color w:val="1b1b1b"/>
          <w:highlight w:val="white"/>
        </w:rPr>
      </w:pPr>
      <w:r w:rsidDel="00000000" w:rsidR="00000000" w:rsidRPr="00000000">
        <w:rPr>
          <w:b w:val="1"/>
          <w:bCs w:val="1"/>
          <w:color w:val="1b1b1b"/>
          <w:highlight w:val="white"/>
          <w:rtl w:val="0"/>
        </w:rPr>
        <w:t xml:space="preserve">Task 2</w:t>
      </w:r>
      <w:r w:rsidDel="00000000" w:rsidR="00000000" w:rsidRPr="00000000">
        <w:rPr>
          <w:color w:val="1b1b1b"/>
          <w:highlight w:val="white"/>
          <w:rtl w:val="0"/>
        </w:rPr>
        <w:t xml:space="preserve">. Misleading Narrative Detection (narrative distortion)</w:t>
      </w:r>
    </w:p>
    <w:p w:rsidR="00000000" w:rsidDel="00000000" w:rsidP="00000000" w:rsidRDefault="00000000" w:rsidRPr="00000000" w14:paraId="0000003C">
      <w:pPr>
        <w:numPr>
          <w:ilvl w:val="0"/>
          <w:numId w:val="12"/>
        </w:numPr>
        <w:ind w:left="720" w:hanging="360"/>
        <w:rPr>
          <w:color w:val="1b1b1b"/>
          <w:highlight w:val="white"/>
          <w:u w:val="none"/>
        </w:rPr>
      </w:pPr>
      <w:r w:rsidDel="00000000" w:rsidR="00000000" w:rsidRPr="00000000">
        <w:rPr>
          <w:color w:val="1b1b1b"/>
          <w:highlight w:val="white"/>
          <w:rtl w:val="0"/>
        </w:rPr>
        <w:t xml:space="preserve">measures whether an LLM can determine whether a narrative claim is supported by financial evidence, or is misleading because it emphasizes favorable facts while omitting material context</w:t>
      </w:r>
    </w:p>
    <w:p w:rsidR="00000000" w:rsidDel="00000000" w:rsidP="00000000" w:rsidRDefault="00000000" w:rsidRPr="00000000" w14:paraId="0000003D">
      <w:pPr>
        <w:ind w:left="0" w:firstLine="0"/>
        <w:rPr>
          <w:color w:val="1b1b1b"/>
          <w:highlight w:val="white"/>
        </w:rPr>
      </w:pPr>
      <w:r w:rsidDel="00000000" w:rsidR="00000000" w:rsidRPr="00000000">
        <w:rPr>
          <w:rtl w:val="0"/>
        </w:rPr>
      </w:r>
    </w:p>
    <w:p w:rsidR="00000000" w:rsidDel="00000000" w:rsidP="00000000" w:rsidRDefault="00000000" w:rsidRPr="00000000" w14:paraId="0000003E">
      <w:pPr>
        <w:ind w:left="0" w:firstLine="0"/>
        <w:rPr>
          <w:color w:val="1b1b1b"/>
          <w:highlight w:val="white"/>
        </w:rPr>
      </w:pPr>
      <w:r w:rsidDel="00000000" w:rsidR="00000000" w:rsidRPr="00000000">
        <w:rPr>
          <w:color w:val="1b1b1b"/>
          <w:highlight w:val="white"/>
          <w:rtl w:val="0"/>
        </w:rPr>
        <w:t xml:space="preserve">Case: </w:t>
      </w:r>
      <w:hyperlink r:id="rId15">
        <w:r w:rsidDel="00000000" w:rsidR="00000000" w:rsidRPr="00000000">
          <w:rPr>
            <w:color w:val="1155cc"/>
            <w:highlight w:val="white"/>
            <w:u w:val="single"/>
            <w:rtl w:val="0"/>
          </w:rPr>
          <w:t xml:space="preserve">Trump Hotel</w:t>
        </w:r>
      </w:hyperlink>
      <w:r w:rsidDel="00000000" w:rsidR="00000000" w:rsidRPr="00000000">
        <w:rPr>
          <w:rtl w:val="0"/>
        </w:rPr>
      </w:r>
    </w:p>
    <w:p w:rsidR="00000000" w:rsidDel="00000000" w:rsidP="00000000" w:rsidRDefault="00000000" w:rsidRPr="00000000" w14:paraId="0000003F">
      <w:pPr>
        <w:numPr>
          <w:ilvl w:val="0"/>
          <w:numId w:val="8"/>
        </w:numPr>
        <w:ind w:left="720" w:hanging="360"/>
        <w:rPr>
          <w:color w:val="1b1b1b"/>
          <w:highlight w:val="white"/>
          <w:u w:val="none"/>
        </w:rPr>
      </w:pPr>
      <w:r w:rsidDel="00000000" w:rsidR="00000000" w:rsidRPr="00000000">
        <w:rPr>
          <w:color w:val="1b1b1b"/>
          <w:highlight w:val="white"/>
          <w:rtl w:val="0"/>
        </w:rPr>
        <w:t xml:space="preserve">The SEC found that an earnings release was misleading because the company’s pro forma net income included a</w:t>
      </w:r>
      <w:r w:rsidDel="00000000" w:rsidR="00000000" w:rsidRPr="00000000">
        <w:rPr>
          <w:color w:val="1b1b1b"/>
          <w:highlight w:val="white"/>
          <w:rtl w:val="0"/>
        </w:rPr>
        <w:t xml:space="preserve"> $17.2 million one-time gain</w:t>
      </w:r>
      <w:r w:rsidDel="00000000" w:rsidR="00000000" w:rsidRPr="00000000">
        <w:rPr>
          <w:color w:val="1b1b1b"/>
          <w:highlight w:val="white"/>
          <w:rtl w:val="0"/>
        </w:rPr>
        <w:t xml:space="preserve">, yet the release omitted that fact in a way that misled investors about recurring performance. </w:t>
      </w:r>
    </w:p>
    <w:p w:rsidR="00000000" w:rsidDel="00000000" w:rsidP="00000000" w:rsidRDefault="00000000" w:rsidRPr="00000000" w14:paraId="00000040">
      <w:pPr>
        <w:rPr>
          <w:color w:val="1b1b1b"/>
          <w:highlight w:val="white"/>
        </w:rPr>
      </w:pPr>
      <w:r w:rsidDel="00000000" w:rsidR="00000000" w:rsidRPr="00000000">
        <w:rPr>
          <w:rtl w:val="0"/>
        </w:rPr>
      </w:r>
    </w:p>
    <w:p w:rsidR="00000000" w:rsidDel="00000000" w:rsidP="00000000" w:rsidRDefault="00000000" w:rsidRPr="00000000" w14:paraId="00000041">
      <w:pPr>
        <w:rPr/>
      </w:pPr>
      <w:hyperlink r:id="rId16">
        <w:r w:rsidDel="00000000" w:rsidR="00000000" w:rsidRPr="00000000">
          <w:rPr>
            <w:color w:val="1155cc"/>
            <w:u w:val="single"/>
            <w:rtl w:val="0"/>
          </w:rPr>
          <w:t xml:space="preserve">Sunbeam</w:t>
        </w:r>
      </w:hyperlink>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Task 3</w:t>
      </w:r>
      <w:r w:rsidDel="00000000" w:rsidR="00000000" w:rsidRPr="00000000">
        <w:rPr>
          <w:rtl w:val="0"/>
        </w:rPr>
        <w:t xml:space="preserve">. Fraud Pattern Recognition (fraud classification)</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map a company’s reporting pattern to a known manipulation pattern seen in real fraud and enforcement case</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Case: </w:t>
      </w:r>
      <w:hyperlink r:id="rId17">
        <w:r w:rsidDel="00000000" w:rsidR="00000000" w:rsidRPr="00000000">
          <w:rPr>
            <w:color w:val="1155cc"/>
            <w:u w:val="single"/>
            <w:rtl w:val="0"/>
          </w:rPr>
          <w:t xml:space="preserve">WorldCom</w:t>
        </w:r>
      </w:hyperlink>
      <w:r w:rsidDel="00000000" w:rsidR="00000000" w:rsidRPr="00000000">
        <w:rPr>
          <w:rtl w:val="0"/>
        </w:rPr>
        <w:t xml:space="preserve"> </w:t>
      </w:r>
    </w:p>
    <w:p w:rsidR="00000000" w:rsidDel="00000000" w:rsidP="00000000" w:rsidRDefault="00000000" w:rsidRPr="00000000" w14:paraId="00000047">
      <w:pPr>
        <w:numPr>
          <w:ilvl w:val="0"/>
          <w:numId w:val="14"/>
        </w:numPr>
        <w:ind w:left="720" w:hanging="360"/>
        <w:rPr>
          <w:u w:val="none"/>
        </w:rPr>
      </w:pPr>
      <w:r w:rsidDel="00000000" w:rsidR="00000000" w:rsidRPr="00000000">
        <w:rPr>
          <w:rtl w:val="0"/>
        </w:rPr>
        <w:t xml:space="preserve">improperly transferred ordinary line costs to capital accounts, falsely portraying itself as profitable during 2001 and the first quarter of 2002.</w:t>
      </w:r>
    </w:p>
    <w:p w:rsidR="00000000" w:rsidDel="00000000" w:rsidP="00000000" w:rsidRDefault="00000000" w:rsidRPr="00000000" w14:paraId="00000048">
      <w:pPr>
        <w:numPr>
          <w:ilvl w:val="0"/>
          <w:numId w:val="14"/>
        </w:numPr>
        <w:ind w:left="720" w:hanging="360"/>
        <w:rPr>
          <w:u w:val="none"/>
        </w:rPr>
      </w:pPr>
      <w:r w:rsidDel="00000000" w:rsidR="00000000" w:rsidRPr="00000000">
        <w:rPr>
          <w:rtl w:val="0"/>
        </w:rPr>
        <w:t xml:space="preserve">expense capitalization used to inflate income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hyperlink r:id="rId18">
        <w:r w:rsidDel="00000000" w:rsidR="00000000" w:rsidRPr="00000000">
          <w:rPr>
            <w:color w:val="1155cc"/>
            <w:u w:val="single"/>
            <w:rtl w:val="0"/>
          </w:rPr>
          <w:t xml:space="preserve">Sunbeam</w:t>
        </w:r>
      </w:hyperlink>
      <w:r w:rsidDel="00000000" w:rsidR="00000000" w:rsidRPr="00000000">
        <w:rPr>
          <w:rFonts w:ascii="Arial Unicode MS" w:cs="Arial Unicode MS" w:eastAsia="Arial Unicode MS" w:hAnsi="Arial Unicode MS"/>
          <w:rtl w:val="0"/>
        </w:rPr>
        <w:t xml:space="preserve"> → reserve manipulation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hyperlink r:id="rId19">
        <w:r w:rsidDel="00000000" w:rsidR="00000000" w:rsidRPr="00000000">
          <w:rPr>
            <w:color w:val="1155cc"/>
            <w:highlight w:val="white"/>
            <w:u w:val="single"/>
            <w:rtl w:val="0"/>
          </w:rPr>
          <w:t xml:space="preserve">Waste Management</w:t>
        </w:r>
      </w:hyperlink>
      <w:r w:rsidDel="00000000" w:rsidR="00000000" w:rsidRPr="00000000">
        <w:rPr>
          <w:rFonts w:ascii="Arial Unicode MS" w:cs="Arial Unicode MS" w:eastAsia="Arial Unicode MS" w:hAnsi="Arial Unicode MS"/>
          <w:rtl w:val="0"/>
        </w:rPr>
        <w:t xml:space="preserve"> → depreciation manipulation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7.463586137619"/>
        <w:gridCol w:w="752.1848317428428"/>
        <w:gridCol w:w="1330.4269211451533"/>
        <w:gridCol w:w="2613.842290306379"/>
        <w:gridCol w:w="1556.082370668006"/>
        <w:tblGridChange w:id="0">
          <w:tblGrid>
            <w:gridCol w:w="3107.463586137619"/>
            <w:gridCol w:w="752.1848317428428"/>
            <w:gridCol w:w="1330.4269211451533"/>
            <w:gridCol w:w="2613.842290306379"/>
            <w:gridCol w:w="1556.08237066800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Fonts w:ascii="Arial Unicode MS" w:cs="Arial Unicode MS" w:eastAsia="Arial Unicode MS" w:hAnsi="Arial Unicode MS"/>
                <w:b w:val="1"/>
                <w:bCs w:val="1"/>
                <w:rtl w:val="0"/>
              </w:rPr>
              <w:t xml:space="preserve">类别标签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Fonts w:ascii="Arial Unicode MS" w:cs="Arial Unicode MS" w:eastAsia="Arial Unicode MS" w:hAnsi="Arial Unicode MS"/>
                <w:b w:val="1"/>
                <w:bCs w:val="1"/>
                <w:rtl w:val="0"/>
              </w:rPr>
              <w:t xml:space="preserve">名称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Fonts w:ascii="Arial Unicode MS" w:cs="Arial Unicode MS" w:eastAsia="Arial Unicode MS" w:hAnsi="Arial Unicode MS"/>
                <w:b w:val="1"/>
                <w:bCs w:val="1"/>
                <w:rtl w:val="0"/>
              </w:rPr>
              <w:t xml:space="preserve">定义</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Fonts w:ascii="Arial Unicode MS" w:cs="Arial Unicode MS" w:eastAsia="Arial Unicode MS" w:hAnsi="Arial Unicode MS"/>
                <w:b w:val="1"/>
                <w:bCs w:val="1"/>
                <w:rtl w:val="0"/>
              </w:rPr>
              <w:t xml:space="preserve">关键词信号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Fonts w:ascii="Arial Unicode MS" w:cs="Arial Unicode MS" w:eastAsia="Arial Unicode MS" w:hAnsi="Arial Unicode MS"/>
                <w:b w:val="1"/>
                <w:bCs w:val="1"/>
                <w:rtl w:val="0"/>
              </w:rPr>
              <w:t xml:space="preserve">代表案例</w:t>
            </w:r>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REVENUE_TIMING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收入操纵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提前或不当确认收入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提前发货、bill-and-hold、extended credit、early buy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Sunbeam</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EXPENSE_DEFERRAL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费用递延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把当期费用推迟到未来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capitalization、defer cost、assetize expense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WorldCom</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ACCOUNTING_ESTIMATE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会计估计操纵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通过参数调整降低成本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useful life、salvage value、depreciation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Waste Management</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EARNINGS_SMOOTHING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利润平滑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跨期调节利润（如准备金）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reserve release、cookie jar、big bath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Sunbeam（部分）</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NARRATIVE_DISTORTION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叙述误导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信息选择性披露或误导性表达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pro forma、one-time、non-recurring omitted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Trump Hotel</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Next Steps:</w:t>
      </w:r>
    </w:p>
    <w:p w:rsidR="00000000" w:rsidDel="00000000" w:rsidP="00000000" w:rsidRDefault="00000000" w:rsidRPr="00000000" w14:paraId="00000073">
      <w:pPr>
        <w:numPr>
          <w:ilvl w:val="0"/>
          <w:numId w:val="6"/>
        </w:numPr>
        <w:ind w:left="720" w:hanging="360"/>
        <w:rPr>
          <w:u w:val="none"/>
        </w:rPr>
      </w:pPr>
      <w:r w:rsidDel="00000000" w:rsidR="00000000" w:rsidRPr="00000000">
        <w:rPr>
          <w:rtl w:val="0"/>
        </w:rPr>
        <w:t xml:space="preserve">Measure dataset size</w:t>
      </w:r>
    </w:p>
    <w:p w:rsidR="00000000" w:rsidDel="00000000" w:rsidP="00000000" w:rsidRDefault="00000000" w:rsidRPr="00000000" w14:paraId="00000074">
      <w:pPr>
        <w:numPr>
          <w:ilvl w:val="0"/>
          <w:numId w:val="6"/>
        </w:numPr>
        <w:ind w:left="720" w:hanging="360"/>
        <w:rPr>
          <w:u w:val="none"/>
        </w:rPr>
      </w:pPr>
      <w:r w:rsidDel="00000000" w:rsidR="00000000" w:rsidRPr="00000000">
        <w:rPr>
          <w:rtl w:val="0"/>
        </w:rPr>
        <w:t xml:space="preserve">See if we can generate data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ec.gov/enforcement-litigation/accounting-auditing-enforcement-releases" TargetMode="External"/><Relationship Id="rId10" Type="http://schemas.openxmlformats.org/officeDocument/2006/relationships/hyperlink" Target="https://arxiv.org/abs/2601.05403" TargetMode="External"/><Relationship Id="rId13" Type="http://schemas.openxmlformats.org/officeDocument/2006/relationships/hyperlink" Target="https://www.sec.gov/enforcement-litigation/administrative-proceedings/33-7976?utm_source=chatgpt.com" TargetMode="External"/><Relationship Id="rId12" Type="http://schemas.openxmlformats.org/officeDocument/2006/relationships/hyperlink" Target="https://www.sec.gov/enforcement-litigation/litigation-rele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505.13533" TargetMode="External"/><Relationship Id="rId15" Type="http://schemas.openxmlformats.org/officeDocument/2006/relationships/hyperlink" Target="https://www.sec.gov/enforcement-litigation/administrative-proceedings/34-45287?utm_source=chatgpt.com" TargetMode="External"/><Relationship Id="rId14" Type="http://schemas.openxmlformats.org/officeDocument/2006/relationships/hyperlink" Target="https://www.sec.gov/enforcement-litigation/litigation-releases/lr-19351?utm_source=chatgpt.com" TargetMode="External"/><Relationship Id="rId17" Type="http://schemas.openxmlformats.org/officeDocument/2006/relationships/hyperlink" Target="https://www.sec.gov/litigation/complaints/complr17588.htm?utm_source=chatgpt.com" TargetMode="External"/><Relationship Id="rId16" Type="http://schemas.openxmlformats.org/officeDocument/2006/relationships/hyperlink" Target="https://www.sec.gov/enforcement-litigation/administrative-proceedings/33-7976?utm_source=chatgpt.com" TargetMode="External"/><Relationship Id="rId5" Type="http://schemas.openxmlformats.org/officeDocument/2006/relationships/styles" Target="styles.xml"/><Relationship Id="rId19" Type="http://schemas.openxmlformats.org/officeDocument/2006/relationships/hyperlink" Target="https://www.sec.gov/enforcement-litigation/litigation-releases/lr-19351?utm_source=chatgpt.com" TargetMode="External"/><Relationship Id="rId6" Type="http://schemas.openxmlformats.org/officeDocument/2006/relationships/hyperlink" Target="https://arxiv.org/abs/2510.08886" TargetMode="External"/><Relationship Id="rId18" Type="http://schemas.openxmlformats.org/officeDocument/2006/relationships/hyperlink" Target="https://www.sec.gov/enforcement-litigation/administrative-proceedings/33-7976?utm_source=chatgpt.com" TargetMode="External"/><Relationship Id="rId7" Type="http://schemas.openxmlformats.org/officeDocument/2006/relationships/hyperlink" Target="https://arxiv.org/abs/2506.17282" TargetMode="External"/><Relationship Id="rId8" Type="http://schemas.openxmlformats.org/officeDocument/2006/relationships/hyperlink" Target="https://arxiv.org/abs/2603.113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