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B57EF">
      <w:pPr>
        <w:rPr>
          <w:rFonts w:hint="eastAsia"/>
          <w:lang w:val="en-AU"/>
        </w:rPr>
      </w:pPr>
    </w:p>
    <w:p w14:paraId="06095926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厌学风险</w:t>
      </w:r>
      <w:r>
        <w:rPr>
          <w:rFonts w:hint="eastAsia" w:ascii="微软雅黑" w:hAnsi="微软雅黑" w:eastAsia="微软雅黑" w:cs="微软雅黑"/>
          <w:b/>
          <w:bCs/>
          <w:sz w:val="36"/>
          <w:szCs w:val="44"/>
          <w:lang w:val="en-US" w:eastAsia="zh-CN"/>
        </w:rPr>
        <w:t>自检报告</w:t>
      </w:r>
    </w:p>
    <w:p w14:paraId="2FADBAE2"/>
    <w:p w14:paraId="36E72CCB">
      <w:pPr>
        <w:jc w:val="center"/>
        <w:rPr>
          <w:rFonts w:hint="eastAsia" w:ascii="微软雅黑 Light" w:hAnsi="微软雅黑 Light" w:eastAsia="微软雅黑 Light" w:cs="微软雅黑 Light"/>
          <w:b/>
          <w:bCs/>
          <w:sz w:val="24"/>
          <w:szCs w:val="32"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孩子 ：       年龄 ：</w:t>
      </w:r>
    </w:p>
    <w:p w14:paraId="5523166E">
      <w:pPr>
        <w:spacing w:before="156" w:beforeLines="50" w:after="156" w:afterLines="50" w:line="360" w:lineRule="auto"/>
        <w:jc w:val="center"/>
        <w:rPr>
          <w:rFonts w:hint="eastAsia"/>
          <w:sz w:val="24"/>
          <w:lang w:val="en-AU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213100" cy="2807970"/>
            <wp:effectExtent l="0" t="0" r="6350" b="11430"/>
            <wp:docPr id="5" name="图片 5" descr="c8fffb57951faf04132b9e690a17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8fffb57951faf04132b9e690a172601"/>
                    <pic:cNvPicPr>
                      <a:picLocks noChangeAspect="1"/>
                    </pic:cNvPicPr>
                  </pic:nvPicPr>
                  <pic:blipFill>
                    <a:blip r:embed="rId6"/>
                    <a:srcRect l="10761" r="6417" b="6153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3692"/>
        <w:gridCol w:w="698"/>
        <w:gridCol w:w="698"/>
      </w:tblGrid>
      <w:tr w14:paraId="6F0A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578D31" w:themeFill="accent4" w:themeFillShade="BF"/>
            <w:vAlign w:val="center"/>
          </w:tcPr>
          <w:p w14:paraId="3E2060EA">
            <w:pPr>
              <w:jc w:val="center"/>
              <w:rPr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  <w:t>因素</w:t>
            </w:r>
          </w:p>
        </w:tc>
        <w:tc>
          <w:tcPr>
            <w:tcW w:w="0" w:type="auto"/>
            <w:shd w:val="clear" w:color="auto" w:fill="578D31" w:themeFill="accent4" w:themeFillShade="BF"/>
            <w:vAlign w:val="center"/>
          </w:tcPr>
          <w:p w14:paraId="7B32D183">
            <w:pPr>
              <w:jc w:val="center"/>
              <w:rPr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  <w:t>风险评估</w:t>
            </w:r>
          </w:p>
        </w:tc>
        <w:tc>
          <w:tcPr>
            <w:tcW w:w="0" w:type="auto"/>
            <w:shd w:val="clear" w:color="auto" w:fill="4874CB" w:themeFill="accent1"/>
            <w:vAlign w:val="center"/>
          </w:tcPr>
          <w:p w14:paraId="679C8CFE">
            <w:pPr>
              <w:jc w:val="center"/>
              <w:rPr>
                <w:rFonts w:hint="eastAsia"/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  <w:t>父母</w:t>
            </w:r>
          </w:p>
        </w:tc>
        <w:tc>
          <w:tcPr>
            <w:tcW w:w="0" w:type="auto"/>
            <w:shd w:val="clear" w:color="auto" w:fill="EE822F" w:themeFill="accent2"/>
            <w:vAlign w:val="center"/>
          </w:tcPr>
          <w:p w14:paraId="7BD9D698">
            <w:pPr>
              <w:jc w:val="center"/>
              <w:rPr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32"/>
                <w14:textFill>
                  <w14:solidFill>
                    <w14:schemeClr w14:val="bg1"/>
                  </w14:solidFill>
                </w14:textFill>
              </w:rPr>
              <w:t>孩子</w:t>
            </w:r>
          </w:p>
        </w:tc>
      </w:tr>
      <w:tr w14:paraId="0969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03A8298">
            <w:pPr>
              <w:widowControl/>
              <w:jc w:val="center"/>
              <w:textAlignment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厌学情绪</w:t>
            </w:r>
          </w:p>
        </w:tc>
        <w:tc>
          <w:tcPr>
            <w:tcW w:w="0" w:type="auto"/>
            <w:vAlign w:val="center"/>
          </w:tcPr>
          <w:p w14:paraId="5FB0AED9">
            <w:pPr>
              <w:widowControl/>
              <w:jc w:val="left"/>
              <w:textAlignment w:val="center"/>
              <w:rPr>
                <w:rFonts w:hint="eastAsia" w:eastAsia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消极的学习情绪或态度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程度</w:t>
            </w:r>
          </w:p>
        </w:tc>
        <w:tc>
          <w:tcPr>
            <w:tcW w:w="698" w:type="dxa"/>
            <w:vAlign w:val="center"/>
          </w:tcPr>
          <w:p w14:paraId="1830AC6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t>4</w:t>
            </w:r>
          </w:p>
        </w:tc>
        <w:tc>
          <w:tcPr>
            <w:tcW w:w="698" w:type="dxa"/>
            <w:vAlign w:val="center"/>
          </w:tcPr>
          <w:p w14:paraId="1E53A18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4</w:t>
            </w:r>
          </w:p>
        </w:tc>
      </w:tr>
      <w:tr w14:paraId="77C6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7593E3F">
            <w:pPr>
              <w:widowControl/>
              <w:jc w:val="center"/>
              <w:textAlignment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厌学行为</w:t>
            </w:r>
          </w:p>
        </w:tc>
        <w:tc>
          <w:tcPr>
            <w:tcW w:w="0" w:type="auto"/>
            <w:vAlign w:val="center"/>
          </w:tcPr>
          <w:p w14:paraId="25B5BA06">
            <w:pPr>
              <w:widowControl/>
              <w:jc w:val="left"/>
              <w:textAlignment w:val="center"/>
              <w:rPr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逃避或抗拒上学行为程度</w:t>
            </w:r>
          </w:p>
        </w:tc>
        <w:tc>
          <w:tcPr>
            <w:tcW w:w="698" w:type="dxa"/>
            <w:vAlign w:val="center"/>
          </w:tcPr>
          <w:p w14:paraId="47AE486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>
              <w:t>3</w:t>
            </w:r>
          </w:p>
        </w:tc>
        <w:tc>
          <w:tcPr>
            <w:tcW w:w="698" w:type="dxa"/>
            <w:vAlign w:val="center"/>
          </w:tcPr>
          <w:p w14:paraId="041D6C0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1</w:t>
            </w:r>
          </w:p>
        </w:tc>
      </w:tr>
      <w:tr w14:paraId="4E35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9FA3BF">
            <w:pPr>
              <w:widowControl/>
              <w:jc w:val="center"/>
              <w:textAlignment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躯体敏感性</w:t>
            </w:r>
          </w:p>
        </w:tc>
        <w:tc>
          <w:tcPr>
            <w:tcW w:w="0" w:type="auto"/>
            <w:vAlign w:val="center"/>
          </w:tcPr>
          <w:p w14:paraId="3359988D">
            <w:pPr>
              <w:widowControl/>
              <w:jc w:val="left"/>
              <w:textAlignment w:val="center"/>
              <w:rPr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出现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厌学相关的躯体化程度</w:t>
            </w:r>
          </w:p>
        </w:tc>
        <w:tc>
          <w:tcPr>
            <w:tcW w:w="698" w:type="dxa"/>
            <w:vAlign w:val="center"/>
          </w:tcPr>
          <w:p w14:paraId="0F3E1B9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  <w:tc>
          <w:tcPr>
            <w:tcW w:w="698" w:type="dxa"/>
            <w:vAlign w:val="center"/>
          </w:tcPr>
          <w:p w14:paraId="5CB606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FF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</w:tr>
      <w:tr w14:paraId="1DA1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82AAB73">
            <w:pPr>
              <w:widowControl/>
              <w:jc w:val="center"/>
              <w:textAlignment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同伴关系</w:t>
            </w:r>
          </w:p>
        </w:tc>
        <w:tc>
          <w:tcPr>
            <w:tcW w:w="0" w:type="auto"/>
            <w:vAlign w:val="center"/>
          </w:tcPr>
          <w:p w14:paraId="68001C43">
            <w:pPr>
              <w:widowControl/>
              <w:jc w:val="left"/>
              <w:textAlignment w:val="center"/>
              <w:rPr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诱发厌学人际关系因素</w:t>
            </w:r>
          </w:p>
        </w:tc>
        <w:tc>
          <w:tcPr>
            <w:tcW w:w="698" w:type="dxa"/>
            <w:vAlign w:val="center"/>
          </w:tcPr>
          <w:p w14:paraId="67492D19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  <w:tc>
          <w:tcPr>
            <w:tcW w:w="698" w:type="dxa"/>
            <w:vAlign w:val="center"/>
          </w:tcPr>
          <w:p w14:paraId="7D541476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</w:tr>
      <w:tr w14:paraId="0830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6396AD7">
            <w:pPr>
              <w:widowControl/>
              <w:jc w:val="center"/>
              <w:textAlignment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学校适应</w:t>
            </w:r>
          </w:p>
        </w:tc>
        <w:tc>
          <w:tcPr>
            <w:tcW w:w="0" w:type="auto"/>
            <w:vAlign w:val="center"/>
          </w:tcPr>
          <w:p w14:paraId="43C4A28E">
            <w:pPr>
              <w:widowControl/>
              <w:jc w:val="left"/>
              <w:textAlignment w:val="center"/>
              <w:rPr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诱发厌学的学校风险因素</w:t>
            </w:r>
          </w:p>
        </w:tc>
        <w:tc>
          <w:tcPr>
            <w:tcW w:w="698" w:type="dxa"/>
            <w:vAlign w:val="center"/>
          </w:tcPr>
          <w:p w14:paraId="699D035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  <w:tc>
          <w:tcPr>
            <w:tcW w:w="698" w:type="dxa"/>
            <w:vAlign w:val="center"/>
          </w:tcPr>
          <w:p w14:paraId="4797089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</w:tr>
      <w:tr w14:paraId="3565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F1B8239">
            <w:pPr>
              <w:widowControl/>
              <w:jc w:val="center"/>
              <w:textAlignment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家庭环境</w:t>
            </w:r>
          </w:p>
        </w:tc>
        <w:tc>
          <w:tcPr>
            <w:tcW w:w="0" w:type="auto"/>
            <w:vAlign w:val="center"/>
          </w:tcPr>
          <w:p w14:paraId="1D5F9ACD">
            <w:pPr>
              <w:widowControl/>
              <w:jc w:val="left"/>
              <w:textAlignment w:val="center"/>
              <w:rPr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诱发厌学相关的家庭风险因素</w:t>
            </w:r>
          </w:p>
        </w:tc>
        <w:tc>
          <w:tcPr>
            <w:tcW w:w="698" w:type="dxa"/>
            <w:vAlign w:val="center"/>
          </w:tcPr>
          <w:p w14:paraId="77C278F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  <w:tc>
          <w:tcPr>
            <w:tcW w:w="698" w:type="dxa"/>
            <w:vAlign w:val="center"/>
          </w:tcPr>
          <w:p w14:paraId="7AA8B64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0</w:t>
            </w:r>
          </w:p>
        </w:tc>
      </w:tr>
      <w:tr w14:paraId="5792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7" w:type="dxa"/>
            <w:gridSpan w:val="2"/>
            <w:shd w:val="clear" w:color="auto" w:fill="F9DBDF" w:themeFill="accent6" w:themeFillTint="32"/>
            <w:vAlign w:val="center"/>
          </w:tcPr>
          <w:p w14:paraId="0047E27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厌学风险总分</w:t>
            </w:r>
          </w:p>
        </w:tc>
        <w:tc>
          <w:tcPr>
            <w:tcW w:w="0" w:type="auto"/>
            <w:vAlign w:val="center"/>
          </w:tcPr>
          <w:p w14:paraId="60C8C50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13C764B">
            <w:pPr>
              <w:widowControl/>
              <w:spacing w:line="192" w:lineRule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t>5</w:t>
            </w:r>
          </w:p>
        </w:tc>
      </w:tr>
    </w:tbl>
    <w:p w14:paraId="36A9BA07">
      <w:pPr>
        <w:widowControl/>
        <w:textAlignment w:val="center"/>
        <w:rPr>
          <w:b/>
          <w:bCs/>
        </w:rPr>
      </w:pPr>
    </w:p>
    <w:p w14:paraId="37FF0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455" w:leftChars="0" w:hanging="455" w:hangingChars="189"/>
        <w:textAlignment w:val="auto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32"/>
          <w:lang w:val="en-US" w:eastAsia="zh-CN"/>
        </w:rPr>
        <w:t>厌学各</w:t>
      </w:r>
      <w:r>
        <w:rPr>
          <w:rFonts w:hint="eastAsia" w:ascii="仿宋" w:hAnsi="仿宋" w:eastAsia="仿宋" w:cs="仿宋"/>
          <w:b/>
          <w:bCs/>
          <w:sz w:val="24"/>
          <w:szCs w:val="32"/>
        </w:rPr>
        <w:t>因素得分及参考建议</w:t>
      </w:r>
      <w:r>
        <w:rPr>
          <w:rFonts w:hint="eastAsia" w:ascii="仿宋" w:hAnsi="仿宋" w:eastAsia="仿宋" w:cs="仿宋"/>
          <w:b/>
          <w:bCs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0-1分：该风险因素良好，无明显问题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24"/>
          <w:szCs w:val="32"/>
        </w:rPr>
        <w:t>2-3分：该风险因素存在轻度问题，建议关注并适当引导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24"/>
          <w:szCs w:val="32"/>
        </w:rPr>
        <w:t>4-5分：该风险因素较明显，建议寻求专业支持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。</w:t>
      </w:r>
    </w:p>
    <w:p w14:paraId="0C9FF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455" w:leftChars="0" w:hanging="455" w:hangingChars="189"/>
        <w:textAlignment w:val="auto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32"/>
        </w:rPr>
        <w:t>厌学风险总分及参考建议：</w:t>
      </w:r>
      <w:r>
        <w:rPr>
          <w:rFonts w:hint="eastAsia" w:ascii="仿宋" w:hAnsi="仿宋" w:eastAsia="仿宋" w:cs="仿宋"/>
          <w:sz w:val="24"/>
          <w:szCs w:val="32"/>
        </w:rPr>
        <w:t xml:space="preserve">0-7分：整体状态良好 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24"/>
          <w:szCs w:val="32"/>
        </w:rPr>
        <w:t>8-15分：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可能</w:t>
      </w:r>
      <w:r>
        <w:rPr>
          <w:rFonts w:hint="eastAsia" w:ascii="仿宋" w:hAnsi="仿宋" w:eastAsia="仿宋" w:cs="仿宋"/>
          <w:sz w:val="24"/>
          <w:szCs w:val="32"/>
        </w:rPr>
        <w:t>存在轻度厌学风险，可从改善亲子沟通、兴趣培养入手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24"/>
          <w:szCs w:val="32"/>
        </w:rPr>
        <w:t>16-23分：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可能</w:t>
      </w:r>
      <w:r>
        <w:rPr>
          <w:rFonts w:hint="eastAsia" w:ascii="仿宋" w:hAnsi="仿宋" w:eastAsia="仿宋" w:cs="仿宋"/>
          <w:sz w:val="24"/>
          <w:szCs w:val="32"/>
        </w:rPr>
        <w:t>存在中度厌学风险，建议与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专业老师</w:t>
      </w:r>
      <w:r>
        <w:rPr>
          <w:rFonts w:hint="eastAsia" w:ascii="仿宋" w:hAnsi="仿宋" w:eastAsia="仿宋" w:cs="仿宋"/>
          <w:sz w:val="24"/>
          <w:szCs w:val="32"/>
        </w:rPr>
        <w:t>沟通，必要时寻求心理辅导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24"/>
          <w:szCs w:val="32"/>
        </w:rPr>
        <w:t>24-30分：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可能</w:t>
      </w:r>
      <w:r>
        <w:rPr>
          <w:rFonts w:hint="eastAsia" w:ascii="仿宋" w:hAnsi="仿宋" w:eastAsia="仿宋" w:cs="仿宋"/>
          <w:sz w:val="24"/>
          <w:szCs w:val="32"/>
        </w:rPr>
        <w:t>存在重度厌学风险或已经表现出明显的厌学症状，强烈建议寻求专业心理咨询或儿童精神科评估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。</w:t>
      </w:r>
    </w:p>
    <w:p w14:paraId="5B752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378" w:leftChars="0" w:hanging="378" w:hangingChars="189"/>
        <w:textAlignment w:val="auto"/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</w:rPr>
        <w:t>说明：以上自评结果及建议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  <w:lang w:val="en-US" w:eastAsia="zh-CN"/>
        </w:rPr>
        <w:t>均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</w:rPr>
        <w:t>基于家长和孩子的自评报告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  <w:lang w:val="en-US" w:eastAsia="zh-CN"/>
        </w:rPr>
        <w:t>生成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</w:rPr>
        <w:t>，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  <w:lang w:val="en-US" w:eastAsia="zh-CN"/>
        </w:rPr>
        <w:t>结果不一定准确可靠，所有数据、结果及解读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</w:rPr>
        <w:t>仅供参考，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  <w:lang w:val="en-US" w:eastAsia="zh-CN"/>
        </w:rPr>
        <w:t>不能作为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</w:rPr>
        <w:t>诊断或治疗的依据，也不具备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  <w:lang w:val="en-US" w:eastAsia="zh-CN"/>
        </w:rPr>
        <w:t>任何</w:t>
      </w:r>
      <w:r>
        <w:rPr>
          <w:rFonts w:hint="eastAsia" w:ascii="黑体" w:hAnsi="黑体" w:eastAsia="黑体" w:cs="黑体"/>
          <w:b w:val="0"/>
          <w:bCs w:val="0"/>
          <w:color w:val="FF0000"/>
          <w:sz w:val="20"/>
          <w:szCs w:val="22"/>
          <w:u w:val="single"/>
        </w:rPr>
        <w:t>法律效用！如有疑问，建议寻找更为专业的服务！</w:t>
      </w:r>
    </w:p>
    <w:p w14:paraId="381F44E0">
      <w:pPr>
        <w:rPr>
          <w:b/>
          <w:bCs/>
          <w:color w:val="FF0000"/>
          <w:sz w:val="20"/>
          <w:szCs w:val="22"/>
        </w:rPr>
      </w:pPr>
    </w:p>
    <w:p w14:paraId="050E35DC">
      <w:pPr>
        <w:rPr>
          <w:b/>
          <w:bCs/>
          <w:color w:val="FF0000"/>
          <w:sz w:val="20"/>
          <w:szCs w:val="22"/>
        </w:rPr>
      </w:pPr>
    </w:p>
    <w:sectPr>
      <w:headerReference r:id="rId3" w:type="default"/>
      <w:footerReference r:id="rId4" w:type="default"/>
      <w:pgSz w:w="11906" w:h="16838"/>
      <w:pgMar w:top="1157" w:right="1519" w:bottom="1157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DF35A79-148B-492A-BED2-0BE95B614BE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A1715055-79E0-4C21-A11B-7E942F042C12}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  <w:embedRegular r:id="rId3" w:fontKey="{2EA39F62-5773-4F29-9881-E0C032F79A8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0DDD0FB5-D589-4F33-B81F-5651B615D81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8D354">
    <w:pPr>
      <w:pStyle w:val="2"/>
      <w:jc w:val="center"/>
      <w:rPr>
        <w:rFonts w:hint="eastAsia" w:ascii="微软雅黑 Light" w:hAnsi="微软雅黑 Light" w:eastAsia="微软雅黑 Light" w:cs="微软雅黑 Light"/>
        <w:b/>
        <w:bCs/>
        <w:sz w:val="22"/>
        <w:szCs w:val="36"/>
        <w:lang w:val="en-US" w:eastAsia="zh-CN"/>
      </w:rPr>
    </w:pPr>
    <w:r>
      <w:rPr>
        <w:rFonts w:hint="eastAsia" w:ascii="微软雅黑 Light" w:hAnsi="微软雅黑 Light" w:eastAsia="微软雅黑 Light" w:cs="微软雅黑 Light"/>
        <w:b/>
        <w:bCs/>
        <w:sz w:val="22"/>
        <w:szCs w:val="36"/>
        <w:lang w:val="en-US" w:eastAsia="zh-CN"/>
      </w:rPr>
      <w:t>本报告为内部保密资料，仅供用户参考！未经许可不得外传！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F554B">
    <w:pPr>
      <w:pStyle w:val="3"/>
      <w:jc w:val="right"/>
      <w:rPr>
        <w:rFonts w:hint="default" w:eastAsiaTheme="minorEastAsia"/>
        <w:b/>
        <w:bCs/>
        <w:sz w:val="22"/>
        <w:szCs w:val="36"/>
        <w:lang w:val="en-US" w:eastAsia="zh-CN"/>
      </w:rPr>
    </w:pPr>
    <w:r>
      <w:rPr>
        <w:sz w:val="18"/>
      </w:rPr>
      <w:pict>
        <v:shape id="PowerPlusWaterMarkObject77166" o:spid="_x0000_s4099" o:spt="136" type="#_x0000_t136" style="position:absolute;left:0pt;height:50.1pt;width:537.1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14417f" focussize="0,0"/>
          <v:stroke on="f"/>
          <v:imagedata o:title=""/>
          <o:lock v:ext="edit" aspectratio="t"/>
          <v:textpath on="t" fitshape="t" fitpath="t" trim="t" xscale="f" string="金合（广州）网络科技有限公司" style="font-family:微软雅黑;font-size:36pt;v-same-letter-heights:f;v-text-align:center;"/>
        </v:shape>
      </w:pict>
    </w:r>
    <w:r>
      <w:rPr>
        <w:rFonts w:hint="eastAsia"/>
        <w:b/>
        <w:bCs/>
        <w:sz w:val="22"/>
        <w:szCs w:val="36"/>
        <w:lang w:val="en-US" w:eastAsia="zh-CN"/>
      </w:rPr>
      <w:t>金合（广州）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E55A9A"/>
    <w:rsid w:val="000177B0"/>
    <w:rsid w:val="003E41AC"/>
    <w:rsid w:val="005F2B1A"/>
    <w:rsid w:val="007B444B"/>
    <w:rsid w:val="00A311F7"/>
    <w:rsid w:val="00E32284"/>
    <w:rsid w:val="00FE44FC"/>
    <w:rsid w:val="02F767A1"/>
    <w:rsid w:val="06D0093F"/>
    <w:rsid w:val="08E55A9A"/>
    <w:rsid w:val="0A922065"/>
    <w:rsid w:val="0B363E66"/>
    <w:rsid w:val="0D7A1625"/>
    <w:rsid w:val="0ED07DF9"/>
    <w:rsid w:val="0FB861EA"/>
    <w:rsid w:val="0FD04354"/>
    <w:rsid w:val="10090BD7"/>
    <w:rsid w:val="10FB73BC"/>
    <w:rsid w:val="14641EF1"/>
    <w:rsid w:val="14F13697"/>
    <w:rsid w:val="18B904BA"/>
    <w:rsid w:val="1A9C5527"/>
    <w:rsid w:val="1EBA77BC"/>
    <w:rsid w:val="1F6E461D"/>
    <w:rsid w:val="244020ED"/>
    <w:rsid w:val="24F055E5"/>
    <w:rsid w:val="25731D7F"/>
    <w:rsid w:val="26BB3CAD"/>
    <w:rsid w:val="2B3F5759"/>
    <w:rsid w:val="2C3907B8"/>
    <w:rsid w:val="2D0E06C6"/>
    <w:rsid w:val="2DB81C0E"/>
    <w:rsid w:val="2E1E2F00"/>
    <w:rsid w:val="2E2D00CF"/>
    <w:rsid w:val="31664146"/>
    <w:rsid w:val="31D77150"/>
    <w:rsid w:val="31F36644"/>
    <w:rsid w:val="323A338C"/>
    <w:rsid w:val="34A1746B"/>
    <w:rsid w:val="35B93CF0"/>
    <w:rsid w:val="3C6622F4"/>
    <w:rsid w:val="405067D0"/>
    <w:rsid w:val="41035106"/>
    <w:rsid w:val="43EC14F2"/>
    <w:rsid w:val="45010631"/>
    <w:rsid w:val="46606564"/>
    <w:rsid w:val="46841EB6"/>
    <w:rsid w:val="46C271B4"/>
    <w:rsid w:val="47FE0D43"/>
    <w:rsid w:val="481700D5"/>
    <w:rsid w:val="4C0D3812"/>
    <w:rsid w:val="4DB27029"/>
    <w:rsid w:val="504259F9"/>
    <w:rsid w:val="52EE325A"/>
    <w:rsid w:val="57451D88"/>
    <w:rsid w:val="57726588"/>
    <w:rsid w:val="5BBD66B6"/>
    <w:rsid w:val="5C2448AE"/>
    <w:rsid w:val="5CE21551"/>
    <w:rsid w:val="5D69191D"/>
    <w:rsid w:val="5DAB77EA"/>
    <w:rsid w:val="5E211B35"/>
    <w:rsid w:val="5EED2637"/>
    <w:rsid w:val="5F700C2C"/>
    <w:rsid w:val="644E5759"/>
    <w:rsid w:val="6E2D0C79"/>
    <w:rsid w:val="6EAD072B"/>
    <w:rsid w:val="6EFA5FE1"/>
    <w:rsid w:val="6FAA57D6"/>
    <w:rsid w:val="7001594E"/>
    <w:rsid w:val="728275F0"/>
    <w:rsid w:val="73FA09B6"/>
    <w:rsid w:val="766C5A33"/>
    <w:rsid w:val="76F81981"/>
    <w:rsid w:val="78F71F52"/>
    <w:rsid w:val="791D52BE"/>
    <w:rsid w:val="7ABC103B"/>
    <w:rsid w:val="7E1E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样式1"/>
    <w:basedOn w:val="1"/>
    <w:qFormat/>
    <w:uiPriority w:val="0"/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425</Words>
  <Characters>444</Characters>
  <Lines>10</Lines>
  <Paragraphs>2</Paragraphs>
  <TotalTime>0</TotalTime>
  <ScaleCrop>false</ScaleCrop>
  <LinksUpToDate>false</LinksUpToDate>
  <CharactersWithSpaces>454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2026-04-27T13:24:00Z</dcterms:created>
  <dc:creator>Sean</dc:creator>
  <cp:lastModifiedBy>Sean</cp:lastModifiedBy>
  <dcterms:modified xsi:type="dcterms:W3CDTF">2026-07-17T03:28:55Z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60B4C122DF154EA18C7F71DD7527C938_13</vt:lpwstr>
  </property>
  <property fmtid="{D5CDD505-2E9C-101B-9397-08002B2CF9AE}" pid="4" name="KSOTemplateDocerSaveRecord">
    <vt:lpwstr>eyJoZGlkIjoiMDU4MmQyMDFiZjE0MDlmZjNkNGNhNmNmNGJiN2IwMzMiLCJ1c2VySWQiOiI2OTc5NjYzODAifQ==</vt:lpwstr>
  </property>
</Properties>
</file>