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Future of Dating — 2046</w:t>
      </w:r>
    </w:p>
    <w:p>
      <w:pPr>
        <w:pStyle w:val="Subtitle"/>
      </w:pPr>
      <w:r>
        <w:t xml:space="preserve">Research &amp; Process Compendium</w:t>
      </w:r>
    </w:p>
    <w:p>
      <w:pPr>
        <w:pStyle w:val="Author"/>
      </w:pPr>
      <w:r>
        <w:t xml:space="preserve">Sophie Wetherby</w:t>
      </w:r>
    </w:p>
    <w:p>
      <w:pPr>
        <w:pStyle w:val="Author"/>
      </w:pPr>
      <w:r>
        <w:t xml:space="preserve">Aline Aslanian</w:t>
      </w:r>
    </w:p>
    <w:p>
      <w:pPr>
        <w:pStyle w:val="Author"/>
      </w:pPr>
      <w:r>
        <w:t xml:space="preserve">Zara Yossem-Guy</w:t>
      </w:r>
    </w:p>
    <w:p>
      <w:pPr>
        <w:pStyle w:val="Author"/>
      </w:pPr>
      <w:r>
        <w:t xml:space="preserve">Ruoyu Shi</w:t>
      </w:r>
    </w:p>
    <w:p>
      <w:pPr>
        <w:pStyle w:val="Date"/>
      </w:pPr>
      <w:r>
        <w:t xml:space="preserve">13 May 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rPr>
          <w:b/>
          <w:bCs/>
        </w:rPr>
        <w:t xml:space="preserve">PSDS 3121 — Analyzing Trends</w:t>
      </w:r>
    </w:p>
    <w:p>
      <w:pPr>
        <w:pStyle w:val="BodyText"/>
      </w:pPr>
      <w:r>
        <w:rPr>
          <w:b/>
          <w:bCs/>
        </w:rPr>
        <w:t xml:space="preserve">Instructor: Monica Belot</w:t>
      </w:r>
    </w:p>
    <w:p>
      <w:pPr>
        <w:pStyle w:val="BodyText"/>
      </w:pPr>
      <w:r>
        <w:rPr>
          <w:b/>
          <w:bCs/>
        </w:rPr>
        <w:t xml:space="preserve">The New School</w:t>
      </w:r>
    </w:p>
    <w:p>
      <w:pPr>
        <w:pStyle w:val="BodyText"/>
      </w:pPr>
      <w:r>
        <w:rPr>
          <w:i/>
          <w:iCs/>
        </w:rPr>
        <w:t xml:space="preserve">Artifact: Connection Club — A Hybrid Immersion Facility</w:t>
      </w:r>
    </w:p>
    <w:p>
      <w:r>
        <w:br w:type="page"/>
      </w:r>
    </w:p>
    <w:bookmarkStart w:id="9" w:name="abstract"/>
    <w:p>
      <w:pPr>
        <w:pStyle w:val="Heading2"/>
      </w:pPr>
      <w:r>
        <w:t xml:space="preserve">Abstract</w:t>
      </w:r>
    </w:p>
    <w:p>
      <w:pPr>
        <w:pStyle w:val="FirstParagraph"/>
      </w:pPr>
      <w:r>
        <w:t xml:space="preserve">This Compendium documents a twenty-year speculative inquiry into the</w:t>
      </w:r>
      <w:r>
        <w:t xml:space="preserve"> </w:t>
      </w:r>
      <w:r>
        <w:rPr>
          <w:b/>
          <w:bCs/>
        </w:rPr>
        <w:t xml:space="preserve">dating industry in 2046</w:t>
      </w:r>
      <w:r>
        <w:t xml:space="preserve"> </w:t>
      </w:r>
      <w:r>
        <w:t xml:space="preserve">— an industry whose own commercial forecasts admit saturation by 2030, and whose user base is being reshaped by population aging, climate constraint on outdoor social life, megacity densification, and emerging AI regulation. Drawing on five independent data sources — Statista's</w:t>
      </w:r>
      <w:r>
        <w:t xml:space="preserve"> </w:t>
      </w:r>
      <w:r>
        <w:rPr>
          <w:i/>
          <w:iCs/>
        </w:rPr>
        <w:t xml:space="preserve">Dating Services — Worldwide</w:t>
      </w:r>
      <w:r>
        <w:t xml:space="preserve"> </w:t>
      </w:r>
      <w:r>
        <w:t xml:space="preserve">market reports, the United Nations</w:t>
      </w:r>
      <w:r>
        <w:t xml:space="preserve"> </w:t>
      </w:r>
      <w:r>
        <w:rPr>
          <w:i/>
          <w:iCs/>
        </w:rPr>
        <w:t xml:space="preserve">World Population Prospects 2024</w:t>
      </w:r>
      <w:r>
        <w:t xml:space="preserve">, the United Nations</w:t>
      </w:r>
      <w:r>
        <w:t xml:space="preserve"> </w:t>
      </w:r>
      <w:r>
        <w:rPr>
          <w:i/>
          <w:iCs/>
        </w:rPr>
        <w:t xml:space="preserve">World Urbanization Prospects 2018</w:t>
      </w:r>
      <w:r>
        <w:t xml:space="preserve">, the IPCC AR6 Synthesis Report, and the EU Artificial Intelligence Act (Regulation 2024/1689) — sixteen signals were organized through a</w:t>
      </w:r>
      <w:r>
        <w:t xml:space="preserve"> </w:t>
      </w:r>
      <w:r>
        <w:rPr>
          <w:b/>
          <w:bCs/>
        </w:rPr>
        <w:t xml:space="preserve">STEEP+</w:t>
      </w:r>
      <w:r>
        <w:t xml:space="preserve"> </w:t>
      </w:r>
      <w:r>
        <w:t xml:space="preserve">framework (Hines &amp; Bishop, 2015) and projected onto a</w:t>
      </w:r>
      <w:r>
        <w:t xml:space="preserve"> </w:t>
      </w:r>
      <w:r>
        <w:rPr>
          <w:b/>
          <w:bCs/>
        </w:rPr>
        <w:t xml:space="preserve">Cone of Plausibility</w:t>
      </w:r>
      <w:r>
        <w:t xml:space="preserve"> </w:t>
      </w:r>
      <w:r>
        <w:t xml:space="preserve">containing three scenarios: a</w:t>
      </w:r>
      <w:r>
        <w:t xml:space="preserve"> </w:t>
      </w:r>
      <w:r>
        <w:rPr>
          <w:i/>
          <w:iCs/>
        </w:rPr>
        <w:t xml:space="preserve">Projected</w:t>
      </w:r>
      <w:r>
        <w:t xml:space="preserve"> </w:t>
      </w:r>
      <w:r>
        <w:t xml:space="preserve">tiered world, a</w:t>
      </w:r>
      <w:r>
        <w:t xml:space="preserve"> </w:t>
      </w:r>
      <w:r>
        <w:rPr>
          <w:i/>
          <w:iCs/>
        </w:rPr>
        <w:t xml:space="preserve">Preferred</w:t>
      </w:r>
      <w:r>
        <w:t xml:space="preserve"> </w:t>
      </w:r>
      <w:r>
        <w:t xml:space="preserve">"Care Commons", and a</w:t>
      </w:r>
      <w:r>
        <w:t xml:space="preserve"> </w:t>
      </w:r>
      <w:r>
        <w:rPr>
          <w:i/>
          <w:iCs/>
        </w:rPr>
        <w:t xml:space="preserve">Preposterous</w:t>
      </w:r>
      <w:r>
        <w:t xml:space="preserve"> </w:t>
      </w:r>
      <w:r>
        <w:t xml:space="preserve">gray-market split triggered by a 2034 wildcard event. The research informs a speculative business artifact —</w:t>
      </w:r>
      <w:r>
        <w:t xml:space="preserve"> </w:t>
      </w:r>
      <w:r>
        <w:rPr>
          <w:b/>
          <w:bCs/>
        </w:rPr>
        <w:t xml:space="preserve">Connection Club</w:t>
      </w:r>
      <w:r>
        <w:t xml:space="preserve">, a hybrid physical–digital immersion facility — designed to provoke the question of whether intimacy infrastructure in mid-century becomes a public good or a luxury product. This document presents the underlying data, the analytical frameworks, the resulting scenarios, and the artifact's positioning within them.</w:t>
      </w:r>
    </w:p>
    <w:p>
      <w:pPr>
        <w:pStyle w:val="BodyText"/>
      </w:pPr>
      <w:r>
        <w:rPr>
          <w:b/>
          <w:bCs/>
        </w:rPr>
        <w:t xml:space="preserve">Keywords:</w:t>
      </w:r>
      <w:r>
        <w:t xml:space="preserve"> </w:t>
      </w:r>
      <w:r>
        <w:t xml:space="preserve">futures studies; dating industry; STEEP+; Cone of Plausibility; climate adaptation; AI regulation; demographic aging.</w:t>
      </w:r>
    </w:p>
    <w:p>
      <w:r>
        <w:br w:type="page"/>
      </w:r>
    </w:p>
    <w:bookmarkEnd w:id="9"/>
    <w:bookmarkStart w:id="10" w:name="X102b2e9de4183984340b81b0bb402a984d3925a"/>
    <w:p>
      <w:pPr>
        <w:pStyle w:val="Heading2"/>
      </w:pPr>
      <w:r>
        <w:t xml:space="preserve">1. EXECUTIVE SUMMARY</w:t>
      </w:r>
    </w:p>
    <w:p>
      <w:pPr>
        <w:pStyle w:val="FirstParagraph"/>
      </w:pPr>
      <w:r>
        <w:t xml:space="preserve">This Compendium documents our group's twenty-year speculative inquiry into the</w:t>
      </w:r>
      <w:r>
        <w:t xml:space="preserve"> </w:t>
      </w:r>
      <w:r>
        <w:rPr>
          <w:b/>
          <w:bCs/>
        </w:rPr>
        <w:t xml:space="preserve">dating industry in 2046</w:t>
      </w:r>
      <w:r>
        <w:t xml:space="preserve">. We chose dating because it sits at the intersection of every major force that will define mid-century life: an aging population that still wants connection; a climate that limits where bodies can meet; a regulatory system that is being written, in real time, to police how AI interacts with human emotion; and an industry whose own forecasts admit that its current commercial model hits a wall by 2030.</w:t>
      </w:r>
    </w:p>
    <w:p>
      <w:pPr>
        <w:pStyle w:val="BodyText"/>
      </w:pPr>
      <w:r>
        <w:t xml:space="preserve">Using</w:t>
      </w:r>
      <w:r>
        <w:t xml:space="preserve"> </w:t>
      </w:r>
      <w:r>
        <w:rPr>
          <w:b/>
          <w:bCs/>
        </w:rPr>
        <w:t xml:space="preserve">STEEP+</w:t>
      </w:r>
      <w:r>
        <w:t xml:space="preserve"> </w:t>
      </w:r>
      <w:r>
        <w:t xml:space="preserve">and a</w:t>
      </w:r>
      <w:r>
        <w:t xml:space="preserve"> </w:t>
      </w:r>
      <w:r>
        <w:rPr>
          <w:b/>
          <w:bCs/>
        </w:rPr>
        <w:t xml:space="preserve">Cone of Plausibility</w:t>
      </w:r>
      <w:r>
        <w:t xml:space="preserve"> </w:t>
      </w:r>
      <w:r>
        <w:t xml:space="preserve">(with a wildcard), we mapped three futures — projected, preferred, and preposterous — to identify intervention points reachable from today.</w:t>
      </w:r>
    </w:p>
    <w:p>
      <w:pPr>
        <w:pStyle w:val="BodyText"/>
      </w:pPr>
      <w:r>
        <w:t xml:space="preserve">From that research, we built</w:t>
      </w:r>
      <w:r>
        <w:t xml:space="preserve"> </w:t>
      </w:r>
      <w:r>
        <w:rPr>
          <w:b/>
          <w:bCs/>
        </w:rPr>
        <w:t xml:space="preserve">Connection Club</w:t>
      </w:r>
      <w:r>
        <w:t xml:space="preserve">: a provocative, immersive facility-from-the-future that asks the class to confront a single question —</w:t>
      </w:r>
      <w:r>
        <w:t xml:space="preserve"> </w:t>
      </w:r>
      <w:r>
        <w:rPr>
          <w:i/>
          <w:iCs/>
        </w:rPr>
        <w:t xml:space="preserve">if intimacy itself becomes infrastructure, who gets to access it, and at what price?</w:t>
      </w:r>
    </w:p>
    <w:p>
      <w:r>
        <w:pict>
          <v:rect style="width:0;height:1.5pt" o:hralign="center" o:hrstd="t" o:hr="t"/>
        </w:pict>
      </w:r>
    </w:p>
    <w:bookmarkEnd w:id="10"/>
    <w:bookmarkStart w:id="11" w:name="X316f44d8b7536697b5aee1a8c622874f80a9a24"/>
    <w:p>
      <w:pPr>
        <w:pStyle w:val="Heading2"/>
      </w:pPr>
      <w:r>
        <w:t xml:space="preserve">2. INDUSTRY DEFINITION</w:t>
      </w:r>
    </w:p>
    <w:p>
      <w:pPr>
        <w:pStyle w:val="FirstParagraph"/>
      </w:pPr>
      <w:r>
        <w:rPr>
          <w:b/>
          <w:bCs/>
        </w:rPr>
        <w:t xml:space="preserve">The dating industry</w:t>
      </w:r>
      <w:r>
        <w:t xml:space="preserve"> </w:t>
      </w:r>
      <w:r>
        <w:t xml:space="preserve">is the commercial sector that mediates the formation of romantic, intimate, or companionship-oriented relationships between adults. Statista (2026) segments it into three sub-sectors:</w:t>
      </w:r>
    </w:p>
    <w:p>
      <w:pPr>
        <w:pStyle w:val="Compact"/>
        <w:numPr>
          <w:ilvl w:val="0"/>
          <w:numId w:val="1001"/>
        </w:numPr>
      </w:pPr>
      <w:r>
        <w:rPr>
          <w:b/>
          <w:bCs/>
        </w:rPr>
        <w:t xml:space="preserve">Matchmaking (M)</w:t>
      </w:r>
      <w:r>
        <w:t xml:space="preserve"> </w:t>
      </w:r>
      <w:r>
        <w:t xml:space="preserve">— long-form, high-priced services oriented toward serious partnership and marriage.</w:t>
      </w:r>
    </w:p>
    <w:p>
      <w:pPr>
        <w:pStyle w:val="Compact"/>
        <w:numPr>
          <w:ilvl w:val="0"/>
          <w:numId w:val="1001"/>
        </w:numPr>
      </w:pPr>
      <w:r>
        <w:rPr>
          <w:b/>
          <w:bCs/>
        </w:rPr>
        <w:t xml:space="preserve">Online Dating (OD)</w:t>
      </w:r>
      <w:r>
        <w:t xml:space="preserve"> </w:t>
      </w:r>
      <w:r>
        <w:t xml:space="preserve">— algorithmic, high-frequency apps centered on discovery, swiping, and casual matching.</w:t>
      </w:r>
    </w:p>
    <w:p>
      <w:pPr>
        <w:pStyle w:val="Compact"/>
        <w:numPr>
          <w:ilvl w:val="0"/>
          <w:numId w:val="1001"/>
        </w:numPr>
      </w:pPr>
      <w:r>
        <w:rPr>
          <w:b/>
          <w:bCs/>
        </w:rPr>
        <w:t xml:space="preserve">Casual Dating (CD)</w:t>
      </w:r>
      <w:r>
        <w:t xml:space="preserve"> </w:t>
      </w:r>
      <w:r>
        <w:t xml:space="preserve">— short-form, lower-commitment encounter platforms.</w:t>
      </w:r>
    </w:p>
    <w:p>
      <w:pPr>
        <w:pStyle w:val="FirstParagraph"/>
      </w:pPr>
      <w:r>
        <w:t xml:space="preserve">The industry encompasses dating apps, matchmaking services, AI companion platforms, hybrid offline-online experiences (singles events, speed dating, retreats), and, increasingly,</w:t>
      </w:r>
      <w:r>
        <w:t xml:space="preserve"> </w:t>
      </w:r>
      <w:r>
        <w:rPr>
          <w:i/>
          <w:iCs/>
        </w:rPr>
        <w:t xml:space="preserve">intimacy adjacencies</w:t>
      </w:r>
      <w:r>
        <w:t xml:space="preserve"> </w:t>
      </w:r>
      <w:r>
        <w:t xml:space="preserve">— loneliness products, companionship subscriptions, parasocial AI services. Its participants are not only single adults: divorced, widowed, polyamorous, and intentionally-uncoupled users now form a meaningful and growing share.</w:t>
      </w:r>
    </w:p>
    <w:p>
      <w:pPr>
        <w:pStyle w:val="BodyText"/>
      </w:pPr>
      <w:r>
        <w:t xml:space="preserve">This is the industry whose future we explore — not as a single product category, but as</w:t>
      </w:r>
      <w:r>
        <w:t xml:space="preserve"> </w:t>
      </w:r>
      <w:r>
        <w:rPr>
          <w:b/>
          <w:bCs/>
        </w:rPr>
        <w:t xml:space="preserve">the global infrastructure for adult connection</w:t>
      </w:r>
      <w:r>
        <w:t xml:space="preserve">.</w:t>
      </w:r>
    </w:p>
    <w:p>
      <w:r>
        <w:pict>
          <v:rect style="width:0;height:1.5pt" o:hralign="center" o:hrstd="t" o:hr="t"/>
        </w:pict>
      </w:r>
    </w:p>
    <w:bookmarkEnd w:id="11"/>
    <w:bookmarkStart w:id="16" w:name="Xebb25f58b796e0727b3e0d13a5dc10592c2f21a"/>
    <w:p>
      <w:pPr>
        <w:pStyle w:val="Heading2"/>
      </w:pPr>
      <w:r>
        <w:t xml:space="preserve">3. CURRENT INDUSTRY SITUATION</w:t>
      </w:r>
    </w:p>
    <w:bookmarkStart w:id="12" w:name="Xdf93d2aab37d0769a4d9cf6a5866e27b43fc8c2"/>
    <w:p>
      <w:pPr>
        <w:pStyle w:val="Heading3"/>
      </w:pPr>
      <w:r>
        <w:t xml:space="preserve">3.1 Market Size &amp; Growth Trajectory</w:t>
      </w:r>
    </w:p>
    <w:p>
      <w:pPr>
        <w:pStyle w:val="FirstParagraph"/>
      </w:pPr>
      <w:r>
        <w:t xml:space="preserve">According to Statista's</w:t>
      </w:r>
      <w:r>
        <w:t xml:space="preserve"> </w:t>
      </w:r>
      <w:r>
        <w:rPr>
          <w:i/>
          <w:iCs/>
        </w:rPr>
        <w:t xml:space="preserve">Dating Services — Worldwide</w:t>
      </w:r>
      <w:r>
        <w:t xml:space="preserve"> </w:t>
      </w:r>
      <w:r>
        <w:t xml:space="preserve">market data (Feb 2023; updated 2026), the global dating services market is in</w:t>
      </w:r>
      <w:r>
        <w:t xml:space="preserve"> </w:t>
      </w:r>
      <w:r>
        <w:rPr>
          <w:b/>
          <w:bCs/>
        </w:rPr>
        <w:t xml:space="preserve">late-stage S-curve maturity</w:t>
      </w:r>
      <w:r>
        <w:t xml:space="preserve">.</w:t>
      </w:r>
    </w:p>
    <w:p>
      <w:pPr>
        <w:pStyle w:val="Compact"/>
        <w:numPr>
          <w:ilvl w:val="0"/>
          <w:numId w:val="1002"/>
        </w:numPr>
      </w:pPr>
      <w:r>
        <w:rPr>
          <w:b/>
          <w:bCs/>
        </w:rPr>
        <w:t xml:space="preserve">Online Dating revenue change</w:t>
      </w:r>
      <w:r>
        <w:t xml:space="preserve"> </w:t>
      </w:r>
      <w:r>
        <w:t xml:space="preserve">dropped from</w:t>
      </w:r>
      <w:r>
        <w:t xml:space="preserve"> </w:t>
      </w:r>
      <w:r>
        <w:rPr>
          <w:b/>
          <w:bCs/>
        </w:rPr>
        <w:t xml:space="preserve">+14.9% in 2018</w:t>
      </w:r>
      <w:r>
        <w:t xml:space="preserve"> </w:t>
      </w:r>
      <w:r>
        <w:t xml:space="preserve">to a projected</w:t>
      </w:r>
      <w:r>
        <w:t xml:space="preserve"> </w:t>
      </w:r>
      <w:r>
        <w:rPr>
          <w:b/>
          <w:bCs/>
        </w:rPr>
        <w:t xml:space="preserve">~2% by 2027–2030</w:t>
      </w:r>
      <w:r>
        <w:t xml:space="preserve">.</w:t>
      </w:r>
    </w:p>
    <w:p>
      <w:pPr>
        <w:pStyle w:val="Compact"/>
        <w:numPr>
          <w:ilvl w:val="0"/>
          <w:numId w:val="1002"/>
        </w:numPr>
      </w:pPr>
      <w:r>
        <w:rPr>
          <w:b/>
          <w:bCs/>
        </w:rPr>
        <w:t xml:space="preserve">M and CD growth rates</w:t>
      </w:r>
      <w:r>
        <w:t xml:space="preserve"> </w:t>
      </w:r>
      <w:r>
        <w:t xml:space="preserve">also flatten into the low single digits across the forecast window.</w:t>
      </w:r>
    </w:p>
    <w:p>
      <w:pPr>
        <w:pStyle w:val="Compact"/>
        <w:numPr>
          <w:ilvl w:val="0"/>
          <w:numId w:val="1002"/>
        </w:numPr>
      </w:pPr>
      <w:r>
        <w:rPr>
          <w:b/>
          <w:bCs/>
        </w:rPr>
        <w:t xml:space="preserve">Subsector share migration</w:t>
      </w:r>
      <w:r>
        <w:t xml:space="preserve"> </w:t>
      </w:r>
      <w:r>
        <w:t xml:space="preserve">between 2017 and 2030 is small but directional: M loses 4.7 percentage points (54.5% → 49.8%); OD gains 7.1 pp (31.9% → 39.0%); CD loses 2.4 pp.</w:t>
      </w:r>
    </w:p>
    <w:p>
      <w:pPr>
        <w:pStyle w:val="FirstParagraph"/>
      </w:pPr>
      <w:r>
        <w:rPr>
          <w:b/>
          <w:bCs/>
        </w:rPr>
        <w:t xml:space="preserve">Critical takeaway:</w:t>
      </w:r>
      <w:r>
        <w:t xml:space="preserve"> </w:t>
      </w:r>
      <w:r>
        <w:t xml:space="preserve">Statista's own forecast has built</w:t>
      </w:r>
      <w:r>
        <w:t xml:space="preserve"> </w:t>
      </w:r>
      <w:r>
        <w:rPr>
          <w:b/>
          <w:bCs/>
        </w:rPr>
        <w:t xml:space="preserve">the wall</w:t>
      </w:r>
      <w:r>
        <w:t xml:space="preserve"> </w:t>
      </w:r>
      <w:r>
        <w:t xml:space="preserve">into the data. 2030 is the natural endpoint of the current commercial model — not because of disruption, but because of saturation.</w:t>
      </w:r>
    </w:p>
    <w:bookmarkEnd w:id="12"/>
    <w:bookmarkStart w:id="13" w:name="Xe487e02be0e7754cd936f1bca2956a9f6d24850"/>
    <w:p>
      <w:pPr>
        <w:pStyle w:val="Heading3"/>
      </w:pPr>
      <w:r>
        <w:t xml:space="preserve">3.2 ARPU Decline — The "De-Monetization" Pattern</w:t>
      </w:r>
    </w:p>
    <w:p>
      <w:pPr>
        <w:pStyle w:val="Compact"/>
        <w:numPr>
          <w:ilvl w:val="0"/>
          <w:numId w:val="1003"/>
        </w:numPr>
      </w:pPr>
      <w:r>
        <w:rPr>
          <w:b/>
          <w:bCs/>
        </w:rPr>
        <w:t xml:space="preserve">All three subsectors show declining ARPU</w:t>
      </w:r>
      <w:r>
        <w:t xml:space="preserve"> </w:t>
      </w:r>
      <w:r>
        <w:t xml:space="preserve">across the forecast horizon.</w:t>
      </w:r>
    </w:p>
    <w:p>
      <w:pPr>
        <w:pStyle w:val="Compact"/>
        <w:numPr>
          <w:ilvl w:val="0"/>
          <w:numId w:val="1003"/>
        </w:numPr>
      </w:pPr>
      <w:r>
        <w:rPr>
          <w:b/>
          <w:bCs/>
        </w:rPr>
        <w:t xml:space="preserve">Matchmaking</w:t>
      </w:r>
      <w:r>
        <w:t xml:space="preserve"> </w:t>
      </w:r>
      <w:r>
        <w:t xml:space="preserve">has the highest ARPU (~$30 above OD/CD) but the</w:t>
      </w:r>
      <w:r>
        <w:t xml:space="preserve"> </w:t>
      </w:r>
      <w:r>
        <w:rPr>
          <w:b/>
          <w:bCs/>
        </w:rPr>
        <w:t xml:space="preserve">steepest decline</w:t>
      </w:r>
      <w:r>
        <w:t xml:space="preserve"> </w:t>
      </w:r>
      <w:r>
        <w:t xml:space="preserve">— its premium-pricing strategy is failing fastest.</w:t>
      </w:r>
    </w:p>
    <w:p>
      <w:pPr>
        <w:pStyle w:val="Compact"/>
        <w:numPr>
          <w:ilvl w:val="0"/>
          <w:numId w:val="1003"/>
        </w:numPr>
      </w:pPr>
      <w:r>
        <w:rPr>
          <w:b/>
          <w:bCs/>
        </w:rPr>
        <w:t xml:space="preserve">Online Dating ARPU</w:t>
      </w:r>
      <w:r>
        <w:t xml:space="preserve"> </w:t>
      </w:r>
      <w:r>
        <w:t xml:space="preserve">rose from $7.03 (2019) to $7.96 (2021), then declined continuously, with further drops in 2023 and 2025.</w:t>
      </w:r>
    </w:p>
    <w:p>
      <w:pPr>
        <w:pStyle w:val="FirstParagraph"/>
      </w:pPr>
      <w:r>
        <w:rPr>
          <w:b/>
          <w:bCs/>
        </w:rPr>
        <w:t xml:space="preserve">Interpretation:</w:t>
      </w:r>
      <w:r>
        <w:t xml:space="preserve"> </w:t>
      </w:r>
      <w:r>
        <w:t xml:space="preserve">User acquisition has decoupled from monetization. Users grow, per-user revenue falls. Paywall strategies are approaching marginal failure. The industry is</w:t>
      </w:r>
      <w:r>
        <w:t xml:space="preserve"> </w:t>
      </w:r>
      <w:r>
        <w:rPr>
          <w:b/>
          <w:bCs/>
        </w:rPr>
        <w:t xml:space="preserve">de-monetizing</w:t>
      </w:r>
      <w:r>
        <w:t xml:space="preserve">, not just maturing.</w:t>
      </w:r>
    </w:p>
    <w:bookmarkEnd w:id="13"/>
    <w:bookmarkStart w:id="14" w:name="Xfbea73381b1f9533d43676fab2f5d2254f14f80"/>
    <w:p>
      <w:pPr>
        <w:pStyle w:val="Heading3"/>
      </w:pPr>
      <w:r>
        <w:t xml:space="preserve">3.3 Major Players</w:t>
      </w:r>
    </w:p>
    <w:p>
      <w:pPr>
        <w:pStyle w:val="FirstParagraph"/>
      </w:pPr>
      <w:r>
        <w:t xml:space="preserve">The current market is consolidated around a small number of holding groups (Match Group, Bumble Inc., regional super-app players in Asia), plus a fast-growing tier of</w:t>
      </w:r>
      <w:r>
        <w:t xml:space="preserve"> </w:t>
      </w:r>
      <w:r>
        <w:rPr>
          <w:b/>
          <w:bCs/>
        </w:rPr>
        <w:t xml:space="preserve">AI companion platforms</w:t>
      </w:r>
      <w:r>
        <w:t xml:space="preserve"> </w:t>
      </w:r>
      <w:r>
        <w:t xml:space="preserve">(Replika, Character.AI, and successors). The post-2030 wall is expected to accelerate consolidation — survivors will be those who diversify out of pure swipe-based monetization.</w:t>
      </w:r>
    </w:p>
    <w:bookmarkEnd w:id="14"/>
    <w:bookmarkStart w:id="15" w:name="X902e6e535889195900ee0715f27fbde9be997ad"/>
    <w:p>
      <w:pPr>
        <w:pStyle w:val="Heading3"/>
      </w:pPr>
      <w:r>
        <w:t xml:space="preserve">3.4 Audience</w:t>
      </w:r>
    </w:p>
    <w:p>
      <w:pPr>
        <w:pStyle w:val="Compact"/>
        <w:numPr>
          <w:ilvl w:val="0"/>
          <w:numId w:val="1004"/>
        </w:numPr>
      </w:pPr>
      <w:r>
        <w:t xml:space="preserve">Median first-marriage age has risen in nearly every OECD country.</w:t>
      </w:r>
    </w:p>
    <w:p>
      <w:pPr>
        <w:pStyle w:val="Compact"/>
        <w:numPr>
          <w:ilvl w:val="0"/>
          <w:numId w:val="1004"/>
        </w:numPr>
      </w:pPr>
      <w:r>
        <w:t xml:space="preserve">Single-person households are the fastest-growing household type globally.</w:t>
      </w:r>
    </w:p>
    <w:p>
      <w:pPr>
        <w:pStyle w:val="Compact"/>
        <w:numPr>
          <w:ilvl w:val="0"/>
          <w:numId w:val="1004"/>
        </w:numPr>
      </w:pPr>
      <w:r>
        <w:t xml:space="preserve">US marriage rate has trended downward across the 2010s–2020s (Statista,</w:t>
      </w:r>
      <w:r>
        <w:t xml:space="preserve"> </w:t>
      </w:r>
      <w:r>
        <w:rPr>
          <w:i/>
          <w:iCs/>
        </w:rPr>
        <w:t xml:space="preserve">Marriage rate — United States</w:t>
      </w:r>
      <w:r>
        <w:t xml:space="preserve">, 2026).</w:t>
      </w:r>
    </w:p>
    <w:p>
      <w:pPr>
        <w:pStyle w:val="Compact"/>
        <w:numPr>
          <w:ilvl w:val="0"/>
          <w:numId w:val="1004"/>
        </w:numPr>
      </w:pPr>
      <w:r>
        <w:t xml:space="preserve">Median age of dating-app users continues to rise — the industry is no longer a youth product.</w:t>
      </w:r>
    </w:p>
    <w:p>
      <w:r>
        <w:pict>
          <v:rect style="width:0;height:1.5pt" o:hralign="center" o:hrstd="t" o:hr="t"/>
        </w:pict>
      </w:r>
    </w:p>
    <w:bookmarkEnd w:id="15"/>
    <w:bookmarkEnd w:id="16"/>
    <w:bookmarkStart w:id="23" w:name="Xdb550955b60d17fd94bdbb77edb1aff29c2eb79"/>
    <w:p>
      <w:pPr>
        <w:pStyle w:val="Heading2"/>
      </w:pPr>
      <w:r>
        <w:t xml:space="preserve">4. SIGNALS: WHAT THE DATA IS TELLING US</w:t>
      </w:r>
    </w:p>
    <w:p>
      <w:pPr>
        <w:pStyle w:val="FirstParagraph"/>
      </w:pPr>
      <w:r>
        <w:t xml:space="preserve">From our Sprint 1 raw capture,</w:t>
      </w:r>
      <w:r>
        <w:t xml:space="preserve"> </w:t>
      </w:r>
      <w:r>
        <w:rPr>
          <w:b/>
          <w:bCs/>
        </w:rPr>
        <w:t xml:space="preserve">sixteen signals across five independent data sources</w:t>
      </w:r>
      <w:r>
        <w:t xml:space="preserve"> </w:t>
      </w:r>
      <w:r>
        <w:t xml:space="preserve">shaped our scenarios. Each signal pairs an observed fact with a strategic interpretation. Full source citations in §15.</w:t>
      </w:r>
    </w:p>
    <w:bookmarkStart w:id="17" w:name="X69297593590fcbb0270c16874edafa38eb17c93"/>
    <w:p>
      <w:pPr>
        <w:pStyle w:val="Heading3"/>
      </w:pPr>
      <w:r>
        <w:t xml:space="preserve">4.1 Statista — Dating Services Market (Signals 1–6)</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No.</w:t>
            </w:r>
          </w:p>
        </w:tc>
        <w:tc>
          <w:tcPr/>
          <w:p>
            <w:pPr>
              <w:pStyle w:val="Compact"/>
            </w:pPr>
            <w:r>
              <w:t xml:space="preserve">Signal</w:t>
            </w:r>
          </w:p>
        </w:tc>
        <w:tc>
          <w:tcPr/>
          <w:p>
            <w:pPr>
              <w:pStyle w:val="Compact"/>
            </w:pPr>
            <w:r>
              <w:t xml:space="preserve">What It Tells Us</w:t>
            </w:r>
          </w:p>
        </w:tc>
      </w:tr>
      <w:tr>
        <w:tc>
          <w:tcPr/>
          <w:p>
            <w:pPr>
              <w:pStyle w:val="Compact"/>
            </w:pPr>
            <w:r>
              <w:t xml:space="preserve">1</w:t>
            </w:r>
          </w:p>
        </w:tc>
        <w:tc>
          <w:tcPr/>
          <w:p>
            <w:pPr>
              <w:pStyle w:val="Compact"/>
            </w:pPr>
            <w:r>
              <w:t xml:space="preserve">Sector entering maturity (revenue growth 14.9% → 2%)</w:t>
            </w:r>
          </w:p>
        </w:tc>
        <w:tc>
          <w:tcPr/>
          <w:p>
            <w:pPr>
              <w:pStyle w:val="Compact"/>
            </w:pPr>
            <w:r>
              <w:t xml:space="preserve">Late-stage S-curve. Saturation.</w:t>
            </w:r>
          </w:p>
        </w:tc>
      </w:tr>
      <w:tr>
        <w:tc>
          <w:tcPr/>
          <w:p>
            <w:pPr>
              <w:pStyle w:val="Compact"/>
            </w:pPr>
            <w:r>
              <w:t xml:space="preserve">2</w:t>
            </w:r>
          </w:p>
        </w:tc>
        <w:tc>
          <w:tcPr/>
          <w:p>
            <w:pPr>
              <w:pStyle w:val="Compact"/>
            </w:pPr>
            <w:r>
              <w:t xml:space="preserve">COVID was a slowdown, not a reshuffle</w:t>
            </w:r>
          </w:p>
        </w:tc>
        <w:tc>
          <w:tcPr/>
          <w:p>
            <w:pPr>
              <w:pStyle w:val="Compact"/>
            </w:pPr>
            <w:r>
              <w:t xml:space="preserve">The industry is structurally inertial — change will come from outside it.</w:t>
            </w:r>
          </w:p>
        </w:tc>
      </w:tr>
      <w:tr>
        <w:tc>
          <w:tcPr/>
          <w:p>
            <w:pPr>
              <w:pStyle w:val="Compact"/>
            </w:pPr>
            <w:r>
              <w:t xml:space="preserve">3</w:t>
            </w:r>
          </w:p>
        </w:tc>
        <w:tc>
          <w:tcPr/>
          <w:p>
            <w:pPr>
              <w:pStyle w:val="Compact"/>
            </w:pPr>
            <w:r>
              <w:t xml:space="preserve">ARPU declining across all subsectors, M fastest</w:t>
            </w:r>
          </w:p>
        </w:tc>
        <w:tc>
          <w:tcPr/>
          <w:p>
            <w:pPr>
              <w:pStyle w:val="Compact"/>
            </w:pPr>
            <w:r>
              <w:t xml:space="preserve">The premium serious-matchmaking model is in collapse.</w:t>
            </w:r>
          </w:p>
        </w:tc>
      </w:tr>
      <w:tr>
        <w:tc>
          <w:tcPr/>
          <w:p>
            <w:pPr>
              <w:pStyle w:val="Compact"/>
            </w:pPr>
            <w:r>
              <w:t xml:space="preserve">4</w:t>
            </w:r>
          </w:p>
        </w:tc>
        <w:tc>
          <w:tcPr/>
          <w:p>
            <w:pPr>
              <w:pStyle w:val="Compact"/>
            </w:pPr>
            <w:r>
              <w:t xml:space="preserve">OD ARPU declining post-2021 rebound</w:t>
            </w:r>
          </w:p>
        </w:tc>
        <w:tc>
          <w:tcPr/>
          <w:p>
            <w:pPr>
              <w:pStyle w:val="Compact"/>
            </w:pPr>
            <w:r>
              <w:t xml:space="preserve">Users grow, money does not. Paywalls failing.</w:t>
            </w:r>
          </w:p>
        </w:tc>
      </w:tr>
      <w:tr>
        <w:tc>
          <w:tcPr/>
          <w:p>
            <w:pPr>
              <w:pStyle w:val="Compact"/>
            </w:pPr>
            <w:r>
              <w:t xml:space="preserve">5</w:t>
            </w:r>
          </w:p>
        </w:tc>
        <w:tc>
          <w:tcPr/>
          <w:p>
            <w:pPr>
              <w:pStyle w:val="Compact"/>
            </w:pPr>
            <w:r>
              <w:t xml:space="preserve">Statista forecast locks in a "wall" 2027–2030</w:t>
            </w:r>
          </w:p>
        </w:tc>
        <w:tc>
          <w:tcPr/>
          <w:p>
            <w:pPr>
              <w:pStyle w:val="Compact"/>
            </w:pPr>
            <w:r>
              <w:t xml:space="preserve">The industry's own data admits stagnation by 2030.</w:t>
            </w:r>
          </w:p>
        </w:tc>
      </w:tr>
      <w:tr>
        <w:tc>
          <w:tcPr/>
          <w:p>
            <w:pPr>
              <w:pStyle w:val="Compact"/>
            </w:pPr>
            <w:r>
              <w:t xml:space="preserve">6</w:t>
            </w:r>
          </w:p>
        </w:tc>
        <w:tc>
          <w:tcPr/>
          <w:p>
            <w:pPr>
              <w:pStyle w:val="Compact"/>
            </w:pPr>
            <w:r>
              <w:t xml:space="preserve">Subsector share migration is small (4–7pp / 13 yr)</w:t>
            </w:r>
          </w:p>
        </w:tc>
        <w:tc>
          <w:tcPr/>
          <w:p>
            <w:pPr>
              <w:pStyle w:val="Compact"/>
            </w:pPr>
            <w:r>
              <w:t xml:space="preserve">The future of dating will not be "OD replaces M." It will be something else entirely.</w:t>
            </w:r>
          </w:p>
        </w:tc>
      </w:tr>
    </w:tbl>
    <w:bookmarkEnd w:id="17"/>
    <w:bookmarkStart w:id="18" w:name="X10397f91edd72fa0c19c052cc622174125e2b07"/>
    <w:p>
      <w:pPr>
        <w:pStyle w:val="Heading3"/>
      </w:pPr>
      <w:r>
        <w:t xml:space="preserve">4.2 UN World Population Prospects 2024 (Signals 7–8)</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No.</w:t>
            </w:r>
          </w:p>
        </w:tc>
        <w:tc>
          <w:tcPr/>
          <w:p>
            <w:pPr>
              <w:pStyle w:val="Compact"/>
            </w:pPr>
            <w:r>
              <w:t xml:space="preserve">Signal</w:t>
            </w:r>
          </w:p>
        </w:tc>
        <w:tc>
          <w:tcPr/>
          <w:p>
            <w:pPr>
              <w:pStyle w:val="Compact"/>
            </w:pPr>
            <w:r>
              <w:t xml:space="preserve">What It Tells Us</w:t>
            </w:r>
          </w:p>
        </w:tc>
      </w:tr>
      <w:tr>
        <w:tc>
          <w:tcPr/>
          <w:p>
            <w:pPr>
              <w:pStyle w:val="Compact"/>
            </w:pPr>
            <w:r>
              <w:t xml:space="preserve">7</w:t>
            </w:r>
          </w:p>
        </w:tc>
        <w:tc>
          <w:tcPr/>
          <w:p>
            <w:pPr>
              <w:pStyle w:val="Compact"/>
            </w:pPr>
            <w:r>
              <w:t xml:space="preserve">Global median age 31.10 (2026) → 35.21 (2046)</w:t>
            </w:r>
          </w:p>
        </w:tc>
        <w:tc>
          <w:tcPr/>
          <w:p>
            <w:pPr>
              <w:pStyle w:val="Compact"/>
            </w:pPr>
            <w:r>
              <w:t xml:space="preserve">Dating is no longer a one-window 20–35 pursuit. The product logic optimized for that window is structurally mismatched with reality.</w:t>
            </w:r>
          </w:p>
        </w:tc>
      </w:tr>
      <w:tr>
        <w:tc>
          <w:tcPr/>
          <w:p>
            <w:pPr>
              <w:pStyle w:val="Compact"/>
            </w:pPr>
            <w:r>
              <w:t xml:space="preserve">8</w:t>
            </w:r>
          </w:p>
        </w:tc>
        <w:tc>
          <w:tcPr/>
          <w:p>
            <w:pPr>
              <w:pStyle w:val="Compact"/>
            </w:pPr>
            <w:r>
              <w:t xml:space="preserve">Old-age dependency ratio +49% (16.24 → 24.20)</w:t>
            </w:r>
          </w:p>
        </w:tc>
        <w:tc>
          <w:tcPr/>
          <w:p>
            <w:pPr>
              <w:pStyle w:val="Compact"/>
            </w:pPr>
            <w:r>
              <w:t xml:space="preserve">Working-age populations face longer dating lifespans under heavier care burden — what Monica called</w:t>
            </w:r>
            <w:r>
              <w:t xml:space="preserve"> </w:t>
            </w:r>
            <w:r>
              <w:rPr>
                <w:i/>
                <w:iCs/>
              </w:rPr>
              <w:t xml:space="preserve">"four relationships in a 120-year lifespan"</w:t>
            </w:r>
            <w:r>
              <w:t xml:space="preserve"> </w:t>
            </w:r>
            <w:r>
              <w:t xml:space="preserve">approaches lived reality.</w:t>
            </w:r>
          </w:p>
        </w:tc>
      </w:tr>
    </w:tbl>
    <w:bookmarkEnd w:id="18"/>
    <w:bookmarkStart w:id="19" w:name="X310ab684f0bc0b1606dff1b78ca29eb2785e476"/>
    <w:p>
      <w:pPr>
        <w:pStyle w:val="Heading3"/>
      </w:pPr>
      <w:r>
        <w:t xml:space="preserve">4.3 IPCC AR6 Synthesis Report SPM (Signals 9–11)</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No.</w:t>
            </w:r>
          </w:p>
        </w:tc>
        <w:tc>
          <w:tcPr/>
          <w:p>
            <w:pPr>
              <w:pStyle w:val="Compact"/>
            </w:pPr>
            <w:r>
              <w:t xml:space="preserve">Signal</w:t>
            </w:r>
          </w:p>
        </w:tc>
        <w:tc>
          <w:tcPr/>
          <w:p>
            <w:pPr>
              <w:pStyle w:val="Compact"/>
            </w:pPr>
            <w:r>
              <w:t xml:space="preserve">What It Tells Us</w:t>
            </w:r>
          </w:p>
        </w:tc>
      </w:tr>
      <w:tr>
        <w:tc>
          <w:tcPr/>
          <w:p>
            <w:pPr>
              <w:pStyle w:val="Compact"/>
            </w:pPr>
            <w:r>
              <w:t xml:space="preserve">9</w:t>
            </w:r>
          </w:p>
        </w:tc>
        <w:tc>
          <w:tcPr/>
          <w:p>
            <w:pPr>
              <w:pStyle w:val="Compact"/>
            </w:pPr>
            <w:r>
              <w:t xml:space="preserve">Five SSP scenarios (1.4 °C → 4.4 °C by 2081–2100)</w:t>
            </w:r>
          </w:p>
        </w:tc>
        <w:tc>
          <w:tcPr/>
          <w:p>
            <w:pPr>
              <w:pStyle w:val="Compact"/>
            </w:pPr>
            <w:r>
              <w:t xml:space="preserve">IPCC has effectively pre-drawn the cone framework — SSP1-1.9/2.6 = preferred, SSP2-4.5 = projected, SSP3-7.0/5-8.5 = preposterous.</w:t>
            </w:r>
          </w:p>
        </w:tc>
      </w:tr>
      <w:tr>
        <w:tc>
          <w:tcPr/>
          <w:p>
            <w:pPr>
              <w:pStyle w:val="Compact"/>
            </w:pPr>
            <w:r>
              <w:t xml:space="preserve">10</w:t>
            </w:r>
          </w:p>
        </w:tc>
        <w:tc>
          <w:tcPr/>
          <w:p>
            <w:pPr>
              <w:pStyle w:val="Compact"/>
            </w:pPr>
            <w:r>
              <w:t xml:space="preserve">150–300 dangerous heat-humidity days/yr under 2.4–3.1 °C warming</w:t>
            </w:r>
          </w:p>
        </w:tc>
        <w:tc>
          <w:tcPr/>
          <w:p>
            <w:pPr>
              <w:pStyle w:val="Compact"/>
            </w:pPr>
            <w:r>
              <w:t xml:space="preserve">Outdoor social space compresses. Indoor/mediated dating shifts from preference to structural necessity.</w:t>
            </w:r>
          </w:p>
        </w:tc>
      </w:tr>
      <w:tr>
        <w:tc>
          <w:tcPr/>
          <w:p>
            <w:pPr>
              <w:pStyle w:val="Compact"/>
            </w:pPr>
            <w:r>
              <w:t xml:space="preserve">11</w:t>
            </w:r>
          </w:p>
        </w:tc>
        <w:tc>
          <w:tcPr/>
          <w:p>
            <w:pPr>
              <w:pStyle w:val="Compact"/>
            </w:pPr>
            <w:r>
              <w:t xml:space="preserve">3.3–3.6 billion people in highly vulnerable contexts; ongoing climate displacement</w:t>
            </w:r>
          </w:p>
        </w:tc>
        <w:tc>
          <w:tcPr/>
          <w:p>
            <w:pPr>
              <w:pStyle w:val="Compact"/>
            </w:pPr>
            <w:r>
              <w:t xml:space="preserve">"Same-city" assumptions dissolve. Long-distance and cross-regional relationship structures become dominant patterns.</w:t>
            </w:r>
          </w:p>
        </w:tc>
      </w:tr>
    </w:tbl>
    <w:bookmarkEnd w:id="19"/>
    <w:bookmarkStart w:id="20" w:name="Xbd5fa35487b948134d1a9b617edd957e3895bae"/>
    <w:p>
      <w:pPr>
        <w:pStyle w:val="Heading3"/>
      </w:pPr>
      <w:r>
        <w:t xml:space="preserve">4.4 UN World Urbanization Prospects 2018 (Signals 12–13)</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No.</w:t>
            </w:r>
          </w:p>
        </w:tc>
        <w:tc>
          <w:tcPr/>
          <w:p>
            <w:pPr>
              <w:pStyle w:val="Compact"/>
            </w:pPr>
            <w:r>
              <w:t xml:space="preserve">Signal</w:t>
            </w:r>
          </w:p>
        </w:tc>
        <w:tc>
          <w:tcPr/>
          <w:p>
            <w:pPr>
              <w:pStyle w:val="Compact"/>
            </w:pPr>
            <w:r>
              <w:t xml:space="preserve">What It Tells Us</w:t>
            </w:r>
          </w:p>
        </w:tc>
      </w:tr>
      <w:tr>
        <w:tc>
          <w:tcPr/>
          <w:p>
            <w:pPr>
              <w:pStyle w:val="Compact"/>
            </w:pPr>
            <w:r>
              <w:t xml:space="preserve">12</w:t>
            </w:r>
          </w:p>
        </w:tc>
        <w:tc>
          <w:tcPr/>
          <w:p>
            <w:pPr>
              <w:pStyle w:val="Compact"/>
            </w:pPr>
            <w:r>
              <w:t xml:space="preserve">Global urban share 55% (2018) → 68% (2050); +2.5 B urban residents</w:t>
            </w:r>
          </w:p>
        </w:tc>
        <w:tc>
          <w:tcPr/>
          <w:p>
            <w:pPr>
              <w:pStyle w:val="Compact"/>
            </w:pPr>
            <w:r>
              <w:t xml:space="preserve">The user base migrates rather than shrinks. Growth = Global South megacities, not saturated Western markets.</w:t>
            </w:r>
          </w:p>
        </w:tc>
      </w:tr>
      <w:tr>
        <w:tc>
          <w:tcPr/>
          <w:p>
            <w:pPr>
              <w:pStyle w:val="Compact"/>
            </w:pPr>
            <w:r>
              <w:t xml:space="preserve">13</w:t>
            </w:r>
          </w:p>
        </w:tc>
        <w:tc>
          <w:tcPr/>
          <w:p>
            <w:pPr>
              <w:pStyle w:val="Compact"/>
            </w:pPr>
            <w:r>
              <w:t xml:space="preserve">India +416 M, China +255 M, Nigeria +189 M urban residents by 2050; 43 megacities by 2030</w:t>
            </w:r>
          </w:p>
        </w:tc>
        <w:tc>
          <w:tcPr/>
          <w:p>
            <w:pPr>
              <w:pStyle w:val="Compact"/>
            </w:pPr>
            <w:r>
              <w:t xml:space="preserve">Future dominant users live in Lagos, Delhi, Dhaka. Western product assumptions (language, individual-choice paradigm, payment, design) face structural mismatch.</w:t>
            </w:r>
          </w:p>
        </w:tc>
      </w:tr>
    </w:tbl>
    <w:bookmarkEnd w:id="20"/>
    <w:bookmarkStart w:id="21" w:name="Xd2b5516fcd8287e82c83d9915e2987451461b09"/>
    <w:p>
      <w:pPr>
        <w:pStyle w:val="Heading3"/>
      </w:pPr>
      <w:r>
        <w:t xml:space="preserve">4.5 EU AI Act — Regulation 2024/1689 (Signals 14–16)</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No.</w:t>
            </w:r>
          </w:p>
        </w:tc>
        <w:tc>
          <w:tcPr/>
          <w:p>
            <w:pPr>
              <w:pStyle w:val="Compact"/>
            </w:pPr>
            <w:r>
              <w:t xml:space="preserve">Signal</w:t>
            </w:r>
          </w:p>
        </w:tc>
        <w:tc>
          <w:tcPr/>
          <w:p>
            <w:pPr>
              <w:pStyle w:val="Compact"/>
            </w:pPr>
            <w:r>
              <w:t xml:space="preserve">What It Tells Us</w:t>
            </w:r>
          </w:p>
        </w:tc>
      </w:tr>
      <w:tr>
        <w:tc>
          <w:tcPr/>
          <w:p>
            <w:pPr>
              <w:pStyle w:val="Compact"/>
            </w:pPr>
            <w:r>
              <w:t xml:space="preserve">14</w:t>
            </w:r>
          </w:p>
        </w:tc>
        <w:tc>
          <w:tcPr/>
          <w:p>
            <w:pPr>
              <w:pStyle w:val="Compact"/>
            </w:pPr>
            <w:r>
              <w:t xml:space="preserve">Article 50: mandatory AI / emotion-recognition / deepfake disclosure</w:t>
            </w:r>
          </w:p>
        </w:tc>
        <w:tc>
          <w:tcPr/>
          <w:p>
            <w:pPr>
              <w:pStyle w:val="Compact"/>
            </w:pPr>
            <w:r>
              <w:t xml:space="preserve">The "AI partner indistinguishable from a human" product category becomes legally untenable in EU jurisdiction.</w:t>
            </w:r>
          </w:p>
        </w:tc>
      </w:tr>
      <w:tr>
        <w:tc>
          <w:tcPr/>
          <w:p>
            <w:pPr>
              <w:pStyle w:val="Compact"/>
            </w:pPr>
            <w:r>
              <w:t xml:space="preserve">15</w:t>
            </w:r>
          </w:p>
        </w:tc>
        <w:tc>
          <w:tcPr/>
          <w:p>
            <w:pPr>
              <w:pStyle w:val="Compact"/>
            </w:pPr>
            <w:r>
              <w:t xml:space="preserve">Article 5(1)(b): exploitation of vulnerabilities prohibited by</w:t>
            </w:r>
            <w:r>
              <w:t xml:space="preserve"> </w:t>
            </w:r>
            <w:r>
              <w:rPr>
                <w:i/>
                <w:iCs/>
              </w:rPr>
              <w:t xml:space="preserve">effect</w:t>
            </w:r>
            <w:r>
              <w:t xml:space="preserve">, not just intent</w:t>
            </w:r>
          </w:p>
        </w:tc>
        <w:tc>
          <w:tcPr/>
          <w:p>
            <w:pPr>
              <w:pStyle w:val="Compact"/>
            </w:pPr>
            <w:r>
              <w:t xml:space="preserve">Engagement-on-loneliness algorithms are legally exposed even without manipulative intent. The "we didn't mean to" defense is gone.</w:t>
            </w:r>
          </w:p>
        </w:tc>
      </w:tr>
      <w:tr>
        <w:tc>
          <w:tcPr/>
          <w:p>
            <w:pPr>
              <w:pStyle w:val="Compact"/>
            </w:pPr>
            <w:r>
              <w:t xml:space="preserve">16</w:t>
            </w:r>
          </w:p>
        </w:tc>
        <w:tc>
          <w:tcPr/>
          <w:p>
            <w:pPr>
              <w:pStyle w:val="Compact"/>
            </w:pPr>
            <w:r>
              <w:t xml:space="preserve">Brussels Effect (Bradford, 2020): historical pattern of EU-as-de-facto-global-standard</w:t>
            </w:r>
          </w:p>
        </w:tc>
        <w:tc>
          <w:tcPr/>
          <w:p>
            <w:pPr>
              <w:pStyle w:val="Compact"/>
            </w:pPr>
            <w:r>
              <w:t xml:space="preserve">The single variable that separates our preferred future from our projected future. If the Effect holds, 38+ countries align. If it fragments, the EU stays an island.</w:t>
            </w:r>
          </w:p>
        </w:tc>
      </w:tr>
    </w:tbl>
    <w:bookmarkEnd w:id="21"/>
    <w:bookmarkStart w:id="22" w:name="Xb3ad41fa4d913c0afec26676f1a99b887b75bbd"/>
    <w:p>
      <w:pPr>
        <w:pStyle w:val="Heading3"/>
      </w:pPr>
      <w:r>
        <w:t xml:space="preserve">4.6 Strategic Conclusion</w:t>
      </w:r>
    </w:p>
    <w:p>
      <w:pPr>
        <w:pStyle w:val="FirstParagraph"/>
      </w:pPr>
      <w:r>
        <w:t xml:space="preserve">The 2027–2030 revenue wall (Signals 1, 5) is a</w:t>
      </w:r>
      <w:r>
        <w:t xml:space="preserve"> </w:t>
      </w:r>
      <w:r>
        <w:rPr>
          <w:b/>
          <w:bCs/>
        </w:rPr>
        <w:t xml:space="preserve">forcing event</w:t>
      </w:r>
      <w:r>
        <w:t xml:space="preserve">. By 2046, the dating industry we know cannot still be running. The question our scenarios answer is:</w:t>
      </w:r>
      <w:r>
        <w:t xml:space="preserve"> </w:t>
      </w:r>
      <w:r>
        <w:rPr>
          <w:i/>
          <w:iCs/>
        </w:rPr>
        <w:t xml:space="preserve">what replaces it</w:t>
      </w:r>
      <w:r>
        <w:t xml:space="preserve">. Demographics (7–8) tell us the user has aged and stratified. Climate (9–11) tells us the venue has moved indoors. Urbanization (12–13) tells us the user has moved south. Regulation (14–16) tells us the rules will be written — but by whom, and how widely, is the single variable separating Care Commons from gray-market Manila.</w:t>
      </w:r>
    </w:p>
    <w:p>
      <w:r>
        <w:pict>
          <v:rect style="width:0;height:1.5pt" o:hralign="center" o:hrstd="t" o:hr="t"/>
        </w:pict>
      </w:r>
    </w:p>
    <w:bookmarkEnd w:id="22"/>
    <w:bookmarkEnd w:id="23"/>
    <w:bookmarkStart w:id="29" w:name="X68586c7e21df02ca2c4f5e2d11cbfc5d9578461"/>
    <w:p>
      <w:pPr>
        <w:pStyle w:val="Heading2"/>
      </w:pPr>
      <w:r>
        <w:t xml:space="preserve">5. STEEP+ ANALYSIS — THE FIVE FORCES SHAPING 2046</w:t>
      </w:r>
    </w:p>
    <w:p>
      <w:pPr>
        <w:pStyle w:val="FirstParagraph"/>
      </w:pPr>
      <w:r>
        <w:t xml:space="preserve">We used</w:t>
      </w:r>
      <w:r>
        <w:t xml:space="preserve"> </w:t>
      </w:r>
      <w:r>
        <w:rPr>
          <w:b/>
          <w:bCs/>
        </w:rPr>
        <w:t xml:space="preserve">STEEP+</w:t>
      </w:r>
      <w:r>
        <w:t xml:space="preserve"> </w:t>
      </w:r>
      <w:r>
        <w:t xml:space="preserve">(Hines &amp; Bishop, 2015), an extension of the classic STEEP framework that adds</w:t>
      </w:r>
      <w:r>
        <w:t xml:space="preserve"> </w:t>
      </w:r>
      <w:r>
        <w:rPr>
          <w:b/>
          <w:bCs/>
        </w:rPr>
        <w:t xml:space="preserve">Demographic</w:t>
      </w:r>
      <w:r>
        <w:t xml:space="preserve"> </w:t>
      </w:r>
      <w:r>
        <w:t xml:space="preserve">and</w:t>
      </w:r>
      <w:r>
        <w:t xml:space="preserve"> </w:t>
      </w:r>
      <w:r>
        <w:rPr>
          <w:b/>
          <w:bCs/>
        </w:rPr>
        <w:t xml:space="preserve">Spatial</w:t>
      </w:r>
      <w:r>
        <w:t xml:space="preserve"> </w:t>
      </w:r>
      <w:r>
        <w:t xml:space="preserve">dimensions, because population aging and urbanization could not be cleanly assigned to any of the original five.</w:t>
      </w:r>
    </w:p>
    <w:bookmarkStart w:id="24" w:name="Xb6fbaa468eac40f3198fc71b657c3128467bddc"/>
    <w:p>
      <w:pPr>
        <w:pStyle w:val="Heading3"/>
      </w:pPr>
      <w:r>
        <w:t xml:space="preserve">5.1 [E] Economic — The Statista Wall &amp; ARPU Collapse</w:t>
      </w:r>
    </w:p>
    <w:p>
      <w:pPr>
        <w:pStyle w:val="FirstParagraph"/>
      </w:pPr>
      <w:r>
        <w:rPr>
          <w:i/>
          <w:iCs/>
        </w:rPr>
        <w:t xml:space="preserve">Source: Statista, Dating Services — Worldwide, 2023/2026.</w:t>
      </w:r>
    </w:p>
    <w:p>
      <w:pPr>
        <w:pStyle w:val="BodyText"/>
      </w:pPr>
      <w:r>
        <w:t xml:space="preserve">The dating industry's commercial model breaks between 2027 and 2030. By 2046,</w:t>
      </w:r>
      <w:r>
        <w:t xml:space="preserve"> </w:t>
      </w:r>
      <w:r>
        <w:rPr>
          <w:i/>
          <w:iCs/>
        </w:rPr>
        <w:t xml:space="preserve">something</w:t>
      </w:r>
      <w:r>
        <w:t xml:space="preserve"> </w:t>
      </w:r>
      <w:r>
        <w:t xml:space="preserve">will have replaced it. Three possible "values" of this variable:</w:t>
      </w:r>
    </w:p>
    <w:p>
      <w:pPr>
        <w:pStyle w:val="Compact"/>
        <w:numPr>
          <w:ilvl w:val="0"/>
          <w:numId w:val="1005"/>
        </w:numPr>
      </w:pPr>
      <w:r>
        <w:rPr>
          <w:b/>
          <w:bCs/>
        </w:rPr>
        <w:t xml:space="preserve">Projected:</w:t>
      </w:r>
      <w:r>
        <w:t xml:space="preserve"> </w:t>
      </w:r>
      <w:r>
        <w:t xml:space="preserve">Big-platform consolidation into tiered, jurisdictional pricing.</w:t>
      </w:r>
    </w:p>
    <w:p>
      <w:pPr>
        <w:pStyle w:val="Compact"/>
        <w:numPr>
          <w:ilvl w:val="0"/>
          <w:numId w:val="1005"/>
        </w:numPr>
      </w:pPr>
      <w:r>
        <w:rPr>
          <w:b/>
          <w:bCs/>
        </w:rPr>
        <w:t xml:space="preserve">Preferred:</w:t>
      </w:r>
      <w:r>
        <w:t xml:space="preserve"> </w:t>
      </w:r>
      <w:r>
        <w:t xml:space="preserve">Public-sector or hybrid-cooperative re-classification.</w:t>
      </w:r>
    </w:p>
    <w:p>
      <w:pPr>
        <w:pStyle w:val="Compact"/>
        <w:numPr>
          <w:ilvl w:val="0"/>
          <w:numId w:val="1005"/>
        </w:numPr>
      </w:pPr>
      <w:r>
        <w:rPr>
          <w:b/>
          <w:bCs/>
        </w:rPr>
        <w:t xml:space="preserve">Preposterous:</w:t>
      </w:r>
      <w:r>
        <w:t xml:space="preserve"> </w:t>
      </w:r>
      <w:r>
        <w:t xml:space="preserve">Market collapse and a regulated/gray-market split.</w:t>
      </w:r>
    </w:p>
    <w:bookmarkEnd w:id="24"/>
    <w:bookmarkStart w:id="25" w:name="X0fd7f21a5c51fe3bf6fd532f9de87db1b5db8e9"/>
    <w:p>
      <w:pPr>
        <w:pStyle w:val="Heading3"/>
      </w:pPr>
      <w:r>
        <w:t xml:space="preserve">5.2 [D] Demographic — Aging Without Replacement</w:t>
      </w:r>
    </w:p>
    <w:p>
      <w:pPr>
        <w:pStyle w:val="FirstParagraph"/>
      </w:pPr>
      <w:r>
        <w:rPr>
          <w:i/>
          <w:iCs/>
        </w:rPr>
        <w:t xml:space="preserve">Source: UN World Population Prospects 2024.</w:t>
      </w:r>
    </w:p>
    <w:p>
      <w:pPr>
        <w:pStyle w:val="BodyText"/>
      </w:pPr>
      <w:r>
        <w:t xml:space="preserve">From our raw data analysis (</w:t>
      </w:r>
      <w:r>
        <w:rPr>
          <w:rStyle w:val="VerbatimChar"/>
        </w:rPr>
        <w:t xml:space="preserve">unpopulation_dataportal_20260508163331_world.csv</w:t>
      </w:r>
      <w:r>
        <w:t xml:space="preserv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Indicator</w:t>
            </w:r>
          </w:p>
        </w:tc>
        <w:tc>
          <w:tcPr/>
          <w:p>
            <w:pPr>
              <w:pStyle w:val="Compact"/>
            </w:pPr>
            <w:r>
              <w:t xml:space="preserve">2026</w:t>
            </w:r>
          </w:p>
        </w:tc>
        <w:tc>
          <w:tcPr/>
          <w:p>
            <w:pPr>
              <w:pStyle w:val="Compact"/>
            </w:pPr>
            <w:r>
              <w:t xml:space="preserve">2036</w:t>
            </w:r>
          </w:p>
        </w:tc>
        <w:tc>
          <w:tcPr/>
          <w:p>
            <w:pPr>
              <w:pStyle w:val="Compact"/>
            </w:pPr>
            <w:r>
              <w:t xml:space="preserve">2046</w:t>
            </w:r>
          </w:p>
        </w:tc>
        <w:tc>
          <w:tcPr/>
          <w:p>
            <w:pPr>
              <w:pStyle w:val="Compact"/>
            </w:pPr>
            <w:r>
              <w:t xml:space="preserve">Change</w:t>
            </w:r>
          </w:p>
        </w:tc>
      </w:tr>
      <w:tr>
        <w:tc>
          <w:tcPr/>
          <w:p>
            <w:pPr>
              <w:pStyle w:val="Compact"/>
            </w:pPr>
            <w:r>
              <w:t xml:space="preserve">Median age (global)</w:t>
            </w:r>
          </w:p>
        </w:tc>
        <w:tc>
          <w:tcPr/>
          <w:p>
            <w:pPr>
              <w:pStyle w:val="Compact"/>
            </w:pPr>
            <w:r>
              <w:t xml:space="preserve">31.10</w:t>
            </w:r>
          </w:p>
        </w:tc>
        <w:tc>
          <w:tcPr/>
          <w:p>
            <w:pPr>
              <w:pStyle w:val="Compact"/>
            </w:pPr>
            <w:r>
              <w:t xml:space="preserve">33.21</w:t>
            </w:r>
          </w:p>
        </w:tc>
        <w:tc>
          <w:tcPr/>
          <w:p>
            <w:pPr>
              <w:pStyle w:val="Compact"/>
            </w:pPr>
            <w:r>
              <w:t xml:space="preserve">35.21</w:t>
            </w:r>
          </w:p>
        </w:tc>
        <w:tc>
          <w:tcPr/>
          <w:p>
            <w:pPr>
              <w:pStyle w:val="Compact"/>
            </w:pPr>
            <w:r>
              <w:t xml:space="preserve">+4.1 yrs</w:t>
            </w:r>
          </w:p>
        </w:tc>
      </w:tr>
      <w:tr>
        <w:tc>
          <w:tcPr/>
          <w:p>
            <w:pPr>
              <w:pStyle w:val="Compact"/>
            </w:pPr>
            <w:r>
              <w:t xml:space="preserve">Old-age dependency ratio (65+/15–64)</w:t>
            </w:r>
          </w:p>
        </w:tc>
        <w:tc>
          <w:tcPr/>
          <w:p>
            <w:pPr>
              <w:pStyle w:val="Compact"/>
            </w:pPr>
            <w:r>
              <w:t xml:space="preserve">16.24</w:t>
            </w:r>
          </w:p>
        </w:tc>
        <w:tc>
          <w:tcPr/>
          <w:p>
            <w:pPr>
              <w:pStyle w:val="Compact"/>
            </w:pPr>
            <w:r>
              <w:t xml:space="preserve">20.60</w:t>
            </w:r>
          </w:p>
        </w:tc>
        <w:tc>
          <w:tcPr/>
          <w:p>
            <w:pPr>
              <w:pStyle w:val="Compact"/>
            </w:pPr>
            <w:r>
              <w:t xml:space="preserve">24.20</w:t>
            </w:r>
          </w:p>
        </w:tc>
        <w:tc>
          <w:tcPr/>
          <w:p>
            <w:pPr>
              <w:pStyle w:val="Compact"/>
            </w:pPr>
            <w:r>
              <w:rPr>
                <w:b/>
                <w:bCs/>
              </w:rPr>
              <w:t xml:space="preserve">+49.0%</w:t>
            </w:r>
          </w:p>
        </w:tc>
      </w:tr>
    </w:tbl>
    <w:p>
      <w:pPr>
        <w:pStyle w:val="BodyText"/>
      </w:pPr>
      <w:r>
        <w:rPr>
          <w:b/>
          <w:bCs/>
        </w:rPr>
        <w:t xml:space="preserve">By 2046, every 4 working-age adults will support 1 elderly person — globally.</w:t>
      </w:r>
      <w:r>
        <w:t xml:space="preserve"> </w:t>
      </w:r>
      <w:r>
        <w:t xml:space="preserve">The "median dater" is no longer a 22-year-old college student. They are 35, often divorced, often single-parenting, often facing decades of post-childbearing partner search. The dating industry's product assumptions break before its business model does.</w:t>
      </w:r>
    </w:p>
    <w:bookmarkEnd w:id="25"/>
    <w:bookmarkStart w:id="26" w:name="Xe41cb9045549b5519aacf5e4a673ebcee02e837"/>
    <w:p>
      <w:pPr>
        <w:pStyle w:val="Heading3"/>
      </w:pPr>
      <w:r>
        <w:t xml:space="preserve">5.3 [E] Environmental — Climate Constrains Where Bodies Can Meet</w:t>
      </w:r>
    </w:p>
    <w:p>
      <w:pPr>
        <w:pStyle w:val="FirstParagraph"/>
      </w:pPr>
      <w:r>
        <w:rPr>
          <w:i/>
          <w:iCs/>
        </w:rPr>
        <w:t xml:space="preserve">Source: IPCC AR6 Synthesis Report, Summary for Policymakers.</w:t>
      </w:r>
    </w:p>
    <w:p>
      <w:pPr>
        <w:pStyle w:val="BodyText"/>
      </w:pPr>
      <w:r>
        <w:t xml:space="preserve">The IPCC AR6 lays out</w:t>
      </w:r>
      <w:r>
        <w:t xml:space="preserve"> </w:t>
      </w:r>
      <w:r>
        <w:rPr>
          <w:b/>
          <w:bCs/>
        </w:rPr>
        <w:t xml:space="preserve">five emission pathways</w:t>
      </w:r>
      <w:r>
        <w:t xml:space="preserve"> </w:t>
      </w:r>
      <w:r>
        <w:t xml:space="preserve">(SSP1-1.9 → SSP5-8.5). By 2081–2100, warming ranges from 1.4 °C to 4.4 °C.</w:t>
      </w:r>
      <w:r>
        <w:t xml:space="preserve"> </w:t>
      </w:r>
      <w:r>
        <w:rPr>
          <w:b/>
          <w:bCs/>
        </w:rPr>
        <w:t xml:space="preserve">2046 sits in the middle window (2041–2060)</w:t>
      </w:r>
      <w:r>
        <w:t xml:space="preserve"> </w:t>
      </w:r>
      <w:r>
        <w:t xml:space="preserve">— the period AR6 identifies as the transition from "approaching tipping points" to "physical impacts intensifying."</w:t>
      </w:r>
    </w:p>
    <w:p>
      <w:pPr>
        <w:pStyle w:val="BodyText"/>
      </w:pPr>
      <w:r>
        <w:t xml:space="preserve">Key 2046-relevant physical indicators:</w:t>
      </w:r>
    </w:p>
    <w:p>
      <w:pPr>
        <w:pStyle w:val="Compact"/>
        <w:numPr>
          <w:ilvl w:val="0"/>
          <w:numId w:val="1006"/>
        </w:numPr>
      </w:pPr>
      <w:r>
        <w:rPr>
          <w:b/>
          <w:bCs/>
        </w:rPr>
        <w:t xml:space="preserve">Heat-humidity risk:</w:t>
      </w:r>
      <w:r>
        <w:t xml:space="preserve"> </w:t>
      </w:r>
      <w:r>
        <w:t xml:space="preserve">at 2.4–3.1 °C warming, parts of Africa, South Asia, and South America face</w:t>
      </w:r>
      <w:r>
        <w:t xml:space="preserve"> </w:t>
      </w:r>
      <w:r>
        <w:rPr>
          <w:b/>
          <w:bCs/>
        </w:rPr>
        <w:t xml:space="preserve">150–300 days per year</w:t>
      </w:r>
      <w:r>
        <w:t xml:space="preserve"> </w:t>
      </w:r>
      <w:r>
        <w:t xml:space="preserve">of human-lethal heat-humidity exposure (Figure SPM.3).</w:t>
      </w:r>
    </w:p>
    <w:p>
      <w:pPr>
        <w:pStyle w:val="Compact"/>
        <w:numPr>
          <w:ilvl w:val="0"/>
          <w:numId w:val="1006"/>
        </w:numPr>
      </w:pPr>
      <w:r>
        <w:rPr>
          <w:b/>
          <w:bCs/>
        </w:rPr>
        <w:t xml:space="preserve">Mental health burden</w:t>
      </w:r>
      <w:r>
        <w:t xml:space="preserve"> </w:t>
      </w:r>
      <w:r>
        <w:t xml:space="preserve">from extreme heat and weather events is rated "high confidence" (A.2.5).</w:t>
      </w:r>
    </w:p>
    <w:p>
      <w:pPr>
        <w:pStyle w:val="Compact"/>
        <w:numPr>
          <w:ilvl w:val="0"/>
          <w:numId w:val="1006"/>
        </w:numPr>
      </w:pPr>
      <w:r>
        <w:rPr>
          <w:b/>
          <w:bCs/>
        </w:rPr>
        <w:t xml:space="preserve">Climate displacement</w:t>
      </w:r>
      <w:r>
        <w:t xml:space="preserve"> </w:t>
      </w:r>
      <w:r>
        <w:t xml:space="preserve">becomes non-linear post-2040.</w:t>
      </w:r>
    </w:p>
    <w:p>
      <w:pPr>
        <w:pStyle w:val="FirstParagraph"/>
      </w:pPr>
      <w:r>
        <w:t xml:space="preserve">The implication for dating:</w:t>
      </w:r>
      <w:r>
        <w:t xml:space="preserve"> </w:t>
      </w:r>
      <w:r>
        <w:rPr>
          <w:b/>
          <w:bCs/>
        </w:rPr>
        <w:t xml:space="preserve">outdoor dating becomes seasonal, regional, or unsafe.</w:t>
      </w:r>
      <w:r>
        <w:t xml:space="preserve"> </w:t>
      </w:r>
      <w:r>
        <w:t xml:space="preserve">Indoor commons become primary venues, not alternatives.</w:t>
      </w:r>
    </w:p>
    <w:bookmarkEnd w:id="26"/>
    <w:bookmarkStart w:id="27" w:name="X69c575eb7b943d5a3e959ab769e640fbe5dc564"/>
    <w:p>
      <w:pPr>
        <w:pStyle w:val="Heading3"/>
      </w:pPr>
      <w:r>
        <w:t xml:space="preserve">5.4 [S] Spatial — Urbanization &amp; Megacity Density</w:t>
      </w:r>
    </w:p>
    <w:p>
      <w:pPr>
        <w:pStyle w:val="FirstParagraph"/>
      </w:pPr>
      <w:r>
        <w:rPr>
          <w:i/>
          <w:iCs/>
        </w:rPr>
        <w:t xml:space="preserve">Source: UN World Urbanization Prospects, 2018 Revision.</w:t>
      </w:r>
    </w:p>
    <w:p>
      <w:pPr>
        <w:pStyle w:val="Compact"/>
        <w:numPr>
          <w:ilvl w:val="0"/>
          <w:numId w:val="1007"/>
        </w:numPr>
      </w:pPr>
      <w:r>
        <w:t xml:space="preserve">1950: 30% urban → 2018: 55% →</w:t>
      </w:r>
      <w:r>
        <w:t xml:space="preserve"> </w:t>
      </w:r>
      <w:r>
        <w:rPr>
          <w:b/>
          <w:bCs/>
        </w:rPr>
        <w:t xml:space="preserve">2050: 68%</w:t>
      </w:r>
      <w:r>
        <w:t xml:space="preserve">.</w:t>
      </w:r>
    </w:p>
    <w:p>
      <w:pPr>
        <w:pStyle w:val="Compact"/>
        <w:numPr>
          <w:ilvl w:val="0"/>
          <w:numId w:val="1007"/>
        </w:numPr>
      </w:pPr>
      <w:r>
        <w:rPr>
          <w:b/>
          <w:bCs/>
        </w:rPr>
        <w:t xml:space="preserve">+2.5 billion</w:t>
      </w:r>
      <w:r>
        <w:t xml:space="preserve"> </w:t>
      </w:r>
      <w:r>
        <w:t xml:space="preserve">urban residents added by 2050.</w:t>
      </w:r>
      <w:r>
        <w:t xml:space="preserve"> </w:t>
      </w:r>
      <w:r>
        <w:rPr>
          <w:b/>
          <w:bCs/>
        </w:rPr>
        <w:t xml:space="preserve">90%</w:t>
      </w:r>
      <w:r>
        <w:t xml:space="preserve"> </w:t>
      </w:r>
      <w:r>
        <w:t xml:space="preserve">of growth in Asia &amp; Africa.</w:t>
      </w:r>
    </w:p>
    <w:p>
      <w:pPr>
        <w:pStyle w:val="Compact"/>
        <w:numPr>
          <w:ilvl w:val="0"/>
          <w:numId w:val="1007"/>
        </w:numPr>
      </w:pPr>
      <w:r>
        <w:rPr>
          <w:b/>
          <w:bCs/>
        </w:rPr>
        <w:t xml:space="preserve">2030: 43 megacities</w:t>
      </w:r>
      <w:r>
        <w:t xml:space="preserve"> </w:t>
      </w:r>
      <w:r>
        <w:t xml:space="preserve">(&gt;10M people), up from 33 in 2018. Roughly 1 in 8 urban residents will live in one.</w:t>
      </w:r>
    </w:p>
    <w:p>
      <w:pPr>
        <w:pStyle w:val="FirstParagraph"/>
      </w:pPr>
      <w:r>
        <w:t xml:space="preserve">Urban density rises fastest where infrastructure is weakest. Loneliness becomes a megacity-scale public health problem in Lagos, Dhaka, Delhi, Manila — exactly the cities where regulatory enforcement is weakest.</w:t>
      </w:r>
    </w:p>
    <w:bookmarkEnd w:id="27"/>
    <w:bookmarkStart w:id="28" w:name="X555b304f6e0c9375494491ce611870c475aea35"/>
    <w:p>
      <w:pPr>
        <w:pStyle w:val="Heading3"/>
      </w:pPr>
      <w:r>
        <w:t xml:space="preserve">5.5 [P] Political — The EU AI Act &amp; the Brussels Effect</w:t>
      </w:r>
    </w:p>
    <w:p>
      <w:pPr>
        <w:pStyle w:val="FirstParagraph"/>
      </w:pPr>
      <w:r>
        <w:rPr>
          <w:i/>
          <w:iCs/>
        </w:rPr>
        <w:t xml:space="preserve">Source: EU Artificial Intelligence Act, Articles 5, 6, 27, 50.</w:t>
      </w:r>
    </w:p>
    <w:p>
      <w:pPr>
        <w:pStyle w:val="BodyText"/>
      </w:pPr>
      <w:r>
        <w:t xml:space="preserve">The AI Act enters full effect on</w:t>
      </w:r>
      <w:r>
        <w:t xml:space="preserve"> </w:t>
      </w:r>
      <w:r>
        <w:rPr>
          <w:b/>
          <w:bCs/>
        </w:rPr>
        <w:t xml:space="preserve">2 August 2026</w:t>
      </w:r>
      <w:r>
        <w:t xml:space="preserve">. The provisions most directly relevant to dating and AI companionship:</w:t>
      </w:r>
    </w:p>
    <w:p>
      <w:pPr>
        <w:pStyle w:val="Compact"/>
        <w:numPr>
          <w:ilvl w:val="0"/>
          <w:numId w:val="1008"/>
        </w:numPr>
      </w:pPr>
      <w:r>
        <w:rPr>
          <w:b/>
          <w:bCs/>
        </w:rPr>
        <w:t xml:space="preserve">Article 5(1)(a):</w:t>
      </w:r>
      <w:r>
        <w:t xml:space="preserve"> </w:t>
      </w:r>
      <w:r>
        <w:t xml:space="preserve">Prohibits AI systems using</w:t>
      </w:r>
      <w:r>
        <w:t xml:space="preserve"> </w:t>
      </w:r>
      <w:r>
        <w:rPr>
          <w:b/>
          <w:bCs/>
        </w:rPr>
        <w:t xml:space="preserve">subliminal techniques</w:t>
      </w:r>
      <w:r>
        <w:t xml:space="preserve"> </w:t>
      </w:r>
      <w:r>
        <w:t xml:space="preserve">or</w:t>
      </w:r>
      <w:r>
        <w:t xml:space="preserve"> </w:t>
      </w:r>
      <w:r>
        <w:rPr>
          <w:b/>
          <w:bCs/>
        </w:rPr>
        <w:t xml:space="preserve">manipulative/deceptive techniques</w:t>
      </w:r>
      <w:r>
        <w:t xml:space="preserve"> </w:t>
      </w:r>
      <w:r>
        <w:t xml:space="preserve">that materially distort behavior in a way likely to cause significant harm.</w:t>
      </w:r>
    </w:p>
    <w:p>
      <w:pPr>
        <w:pStyle w:val="Compact"/>
        <w:numPr>
          <w:ilvl w:val="0"/>
          <w:numId w:val="1008"/>
        </w:numPr>
      </w:pPr>
      <w:r>
        <w:rPr>
          <w:b/>
          <w:bCs/>
        </w:rPr>
        <w:t xml:space="preserve">Article 5(1)(b):</w:t>
      </w:r>
      <w:r>
        <w:t xml:space="preserve"> </w:t>
      </w:r>
      <w:r>
        <w:t xml:space="preserve">Prohibits AI systems that</w:t>
      </w:r>
      <w:r>
        <w:t xml:space="preserve"> </w:t>
      </w:r>
      <w:r>
        <w:rPr>
          <w:b/>
          <w:bCs/>
        </w:rPr>
        <w:t xml:space="preserve">exploit vulnerabilities</w:t>
      </w:r>
      <w:r>
        <w:t xml:space="preserve"> </w:t>
      </w:r>
      <w:r>
        <w:t xml:space="preserve">based on age, disability, or social/economic situation —</w:t>
      </w:r>
      <w:r>
        <w:t xml:space="preserve"> </w:t>
      </w:r>
      <w:r>
        <w:rPr>
          <w:i/>
          <w:iCs/>
        </w:rPr>
        <w:t xml:space="preserve">by objective OR by effect.</w:t>
      </w:r>
      <w:r>
        <w:t xml:space="preserve"> </w:t>
      </w:r>
      <w:r>
        <w:t xml:space="preserve">Loneliness-driven engagement optimization is legally exposed under this clause, intentional or not.</w:t>
      </w:r>
    </w:p>
    <w:p>
      <w:pPr>
        <w:pStyle w:val="Compact"/>
        <w:numPr>
          <w:ilvl w:val="0"/>
          <w:numId w:val="1008"/>
        </w:numPr>
      </w:pPr>
      <w:r>
        <w:rPr>
          <w:b/>
          <w:bCs/>
        </w:rPr>
        <w:t xml:space="preserve">Article 5(1)(f):</w:t>
      </w:r>
      <w:r>
        <w:t xml:space="preserve"> </w:t>
      </w:r>
      <w:r>
        <w:t xml:space="preserve">Prohibits emotion-inference AI in workplaces and education.</w:t>
      </w:r>
    </w:p>
    <w:p>
      <w:pPr>
        <w:pStyle w:val="Compact"/>
        <w:numPr>
          <w:ilvl w:val="0"/>
          <w:numId w:val="1008"/>
        </w:numPr>
      </w:pPr>
      <w:r>
        <w:rPr>
          <w:b/>
          <w:bCs/>
        </w:rPr>
        <w:t xml:space="preserve">Article 27:</w:t>
      </w:r>
      <w:r>
        <w:t xml:space="preserve"> </w:t>
      </w:r>
      <w:r>
        <w:t xml:space="preserve">Requires</w:t>
      </w:r>
      <w:r>
        <w:t xml:space="preserve"> </w:t>
      </w:r>
      <w:r>
        <w:rPr>
          <w:b/>
          <w:bCs/>
        </w:rPr>
        <w:t xml:space="preserve">Fundamental Rights Impact Assessment (FRIA)</w:t>
      </w:r>
      <w:r>
        <w:t xml:space="preserve"> </w:t>
      </w:r>
      <w:r>
        <w:t xml:space="preserve">for high-risk deployers, including public-service providers and certain private actors.</w:t>
      </w:r>
    </w:p>
    <w:p>
      <w:pPr>
        <w:pStyle w:val="Compact"/>
        <w:numPr>
          <w:ilvl w:val="0"/>
          <w:numId w:val="1008"/>
        </w:numPr>
      </w:pPr>
      <w:r>
        <w:rPr>
          <w:b/>
          <w:bCs/>
        </w:rPr>
        <w:t xml:space="preserve">Article 50:</w:t>
      </w:r>
      <w:r>
        <w:t xml:space="preserve"> </w:t>
      </w:r>
      <w:r>
        <w:t xml:space="preserve">Mandates</w:t>
      </w:r>
      <w:r>
        <w:t xml:space="preserve"> </w:t>
      </w:r>
      <w:r>
        <w:rPr>
          <w:b/>
          <w:bCs/>
        </w:rPr>
        <w:t xml:space="preserve">disclosure</w:t>
      </w:r>
      <w:r>
        <w:t xml:space="preserve"> </w:t>
      </w:r>
      <w:r>
        <w:t xml:space="preserve">that a user is interacting with AI;</w:t>
      </w:r>
      <w:r>
        <w:t xml:space="preserve"> </w:t>
      </w:r>
      <w:r>
        <w:rPr>
          <w:b/>
          <w:bCs/>
        </w:rPr>
        <w:t xml:space="preserve">machine-readable watermarking</w:t>
      </w:r>
      <w:r>
        <w:t xml:space="preserve"> </w:t>
      </w:r>
      <w:r>
        <w:t xml:space="preserve">of AI-generated content;</w:t>
      </w:r>
      <w:r>
        <w:t xml:space="preserve"> </w:t>
      </w:r>
      <w:r>
        <w:rPr>
          <w:b/>
          <w:bCs/>
        </w:rPr>
        <w:t xml:space="preserve">disclosure of emotion-recognition</w:t>
      </w:r>
      <w:r>
        <w:t xml:space="preserve"> </w:t>
      </w:r>
      <w:r>
        <w:t xml:space="preserve">and</w:t>
      </w:r>
      <w:r>
        <w:t xml:space="preserve"> </w:t>
      </w:r>
      <w:r>
        <w:rPr>
          <w:b/>
          <w:bCs/>
        </w:rPr>
        <w:t xml:space="preserve">deepfake</w:t>
      </w:r>
      <w:r>
        <w:t xml:space="preserve"> </w:t>
      </w:r>
      <w:r>
        <w:t xml:space="preserve">systems.</w:t>
      </w:r>
    </w:p>
    <w:p>
      <w:pPr>
        <w:pStyle w:val="FirstParagraph"/>
      </w:pPr>
      <w:r>
        <w:t xml:space="preserve">The political variable is not whether AI in dating is regulated — it is whether the EU's standard</w:t>
      </w:r>
      <w:r>
        <w:t xml:space="preserve"> </w:t>
      </w:r>
      <w:r>
        <w:rPr>
          <w:b/>
          <w:bCs/>
        </w:rPr>
        <w:t xml:space="preserve">propagates globally</w:t>
      </w:r>
      <w:r>
        <w:t xml:space="preserve"> </w:t>
      </w:r>
      <w:r>
        <w:t xml:space="preserve">(the Brussels Effect) or</w:t>
      </w:r>
      <w:r>
        <w:t xml:space="preserve"> </w:t>
      </w:r>
      <w:r>
        <w:rPr>
          <w:b/>
          <w:bCs/>
        </w:rPr>
        <w:t xml:space="preserve">fragments</w:t>
      </w:r>
      <w:r>
        <w:t xml:space="preserve"> </w:t>
      </w:r>
      <w:r>
        <w:t xml:space="preserve">into a regulatory patchwork. That single question separates two of our three cones.</w:t>
      </w:r>
    </w:p>
    <w:p>
      <w:r>
        <w:pict>
          <v:rect style="width:0;height:1.5pt" o:hralign="center" o:hrstd="t" o:hr="t"/>
        </w:pict>
      </w:r>
    </w:p>
    <w:bookmarkEnd w:id="28"/>
    <w:bookmarkEnd w:id="29"/>
    <w:bookmarkStart w:id="30" w:name="X4dff91c1d73ec928f3154a63b9a911edf4941f2"/>
    <w:p>
      <w:pPr>
        <w:pStyle w:val="Heading2"/>
      </w:pPr>
      <w:r>
        <w:t xml:space="preserve">6. KEY DRIVERS (MICRO / MACRO / MEGA)</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Tier</w:t>
            </w:r>
          </w:p>
        </w:tc>
        <w:tc>
          <w:tcPr/>
          <w:p>
            <w:pPr>
              <w:pStyle w:val="Compact"/>
            </w:pPr>
            <w:r>
              <w:t xml:space="preserve">Driver</w:t>
            </w:r>
          </w:p>
        </w:tc>
        <w:tc>
          <w:tcPr/>
          <w:p>
            <w:pPr>
              <w:pStyle w:val="Compact"/>
            </w:pPr>
            <w:r>
              <w:t xml:space="preserve">Source</w:t>
            </w:r>
          </w:p>
        </w:tc>
      </w:tr>
      <w:tr>
        <w:tc>
          <w:tcPr/>
          <w:p>
            <w:pPr>
              <w:pStyle w:val="Compact"/>
            </w:pPr>
            <w:r>
              <w:rPr>
                <w:b/>
                <w:bCs/>
              </w:rPr>
              <w:t xml:space="preserve">Mega</w:t>
            </w:r>
          </w:p>
        </w:tc>
        <w:tc>
          <w:tcPr/>
          <w:p>
            <w:pPr>
              <w:pStyle w:val="Compact"/>
            </w:pPr>
            <w:r>
              <w:t xml:space="preserve">Climate trajectory (SSP1-2.6 → SSP5-8.5)</w:t>
            </w:r>
          </w:p>
        </w:tc>
        <w:tc>
          <w:tcPr/>
          <w:p>
            <w:pPr>
              <w:pStyle w:val="Compact"/>
            </w:pPr>
            <w:r>
              <w:t xml:space="preserve">IPCC AR6</w:t>
            </w:r>
          </w:p>
        </w:tc>
      </w:tr>
      <w:tr>
        <w:tc>
          <w:tcPr/>
          <w:p>
            <w:pPr>
              <w:pStyle w:val="Compact"/>
            </w:pPr>
            <w:r>
              <w:rPr>
                <w:b/>
                <w:bCs/>
              </w:rPr>
              <w:t xml:space="preserve">Mega</w:t>
            </w:r>
          </w:p>
        </w:tc>
        <w:tc>
          <w:tcPr/>
          <w:p>
            <w:pPr>
              <w:pStyle w:val="Compact"/>
            </w:pPr>
            <w:r>
              <w:t xml:space="preserve">Demographic aging &amp; dependency-ratio surge</w:t>
            </w:r>
          </w:p>
        </w:tc>
        <w:tc>
          <w:tcPr/>
          <w:p>
            <w:pPr>
              <w:pStyle w:val="Compact"/>
            </w:pPr>
            <w:r>
              <w:t xml:space="preserve">UN WPP 2024</w:t>
            </w:r>
          </w:p>
        </w:tc>
      </w:tr>
      <w:tr>
        <w:tc>
          <w:tcPr/>
          <w:p>
            <w:pPr>
              <w:pStyle w:val="Compact"/>
            </w:pPr>
            <w:r>
              <w:rPr>
                <w:b/>
                <w:bCs/>
              </w:rPr>
              <w:t xml:space="preserve">Mega</w:t>
            </w:r>
          </w:p>
        </w:tc>
        <w:tc>
          <w:tcPr/>
          <w:p>
            <w:pPr>
              <w:pStyle w:val="Compact"/>
            </w:pPr>
            <w:r>
              <w:t xml:space="preserve">Megacity densification, esp. Global South</w:t>
            </w:r>
          </w:p>
        </w:tc>
        <w:tc>
          <w:tcPr/>
          <w:p>
            <w:pPr>
              <w:pStyle w:val="Compact"/>
            </w:pPr>
            <w:r>
              <w:t xml:space="preserve">UN WUP 2018</w:t>
            </w:r>
          </w:p>
        </w:tc>
      </w:tr>
      <w:tr>
        <w:tc>
          <w:tcPr/>
          <w:p>
            <w:pPr>
              <w:pStyle w:val="Compact"/>
            </w:pPr>
            <w:r>
              <w:rPr>
                <w:b/>
                <w:bCs/>
              </w:rPr>
              <w:t xml:space="preserve">Macro</w:t>
            </w:r>
          </w:p>
        </w:tc>
        <w:tc>
          <w:tcPr/>
          <w:p>
            <w:pPr>
              <w:pStyle w:val="Compact"/>
            </w:pPr>
            <w:r>
              <w:t xml:space="preserve">EU AI Act &amp; Brussels Effect on AI/dating regulation</w:t>
            </w:r>
          </w:p>
        </w:tc>
        <w:tc>
          <w:tcPr/>
          <w:p>
            <w:pPr>
              <w:pStyle w:val="Compact"/>
            </w:pPr>
            <w:r>
              <w:t xml:space="preserve">EU AIA Art. 5/6/27/50</w:t>
            </w:r>
          </w:p>
        </w:tc>
      </w:tr>
      <w:tr>
        <w:tc>
          <w:tcPr/>
          <w:p>
            <w:pPr>
              <w:pStyle w:val="Compact"/>
            </w:pPr>
            <w:r>
              <w:rPr>
                <w:b/>
                <w:bCs/>
              </w:rPr>
              <w:t xml:space="preserve">Macro</w:t>
            </w:r>
          </w:p>
        </w:tc>
        <w:tc>
          <w:tcPr/>
          <w:p>
            <w:pPr>
              <w:pStyle w:val="Compact"/>
            </w:pPr>
            <w:r>
              <w:t xml:space="preserve">Dating-industry revenue &amp; ARPU wall (2027–2030)</w:t>
            </w:r>
          </w:p>
        </w:tc>
        <w:tc>
          <w:tcPr/>
          <w:p>
            <w:pPr>
              <w:pStyle w:val="Compact"/>
            </w:pPr>
            <w:r>
              <w:t xml:space="preserve">Statista 2023/2026</w:t>
            </w:r>
          </w:p>
        </w:tc>
      </w:tr>
      <w:tr>
        <w:tc>
          <w:tcPr/>
          <w:p>
            <w:pPr>
              <w:pStyle w:val="Compact"/>
            </w:pPr>
            <w:r>
              <w:rPr>
                <w:b/>
                <w:bCs/>
              </w:rPr>
              <w:t xml:space="preserve">Micro</w:t>
            </w:r>
          </w:p>
        </w:tc>
        <w:tc>
          <w:tcPr/>
          <w:p>
            <w:pPr>
              <w:pStyle w:val="Compact"/>
            </w:pPr>
            <w:r>
              <w:t xml:space="preserve">Rise of AI-companion platforms; loneliness-as-product</w:t>
            </w:r>
          </w:p>
        </w:tc>
        <w:tc>
          <w:tcPr/>
          <w:p>
            <w:pPr>
              <w:pStyle w:val="Compact"/>
            </w:pPr>
            <w:r>
              <w:t xml:space="preserve">Statista AI Companion Users; signals from market</w:t>
            </w:r>
          </w:p>
        </w:tc>
      </w:tr>
      <w:tr>
        <w:tc>
          <w:tcPr/>
          <w:p>
            <w:pPr>
              <w:pStyle w:val="Compact"/>
            </w:pPr>
            <w:r>
              <w:rPr>
                <w:b/>
                <w:bCs/>
              </w:rPr>
              <w:t xml:space="preserve">Micro</w:t>
            </w:r>
          </w:p>
        </w:tc>
        <w:tc>
          <w:tcPr/>
          <w:p>
            <w:pPr>
              <w:pStyle w:val="Compact"/>
            </w:pPr>
            <w:r>
              <w:t xml:space="preserve">Decline of marriage and rise of single-person households</w:t>
            </w:r>
          </w:p>
        </w:tc>
        <w:tc>
          <w:tcPr/>
          <w:p>
            <w:pPr>
              <w:pStyle w:val="Compact"/>
            </w:pPr>
            <w:r>
              <w:t xml:space="preserve">Statista marriage rate, single-person households</w:t>
            </w:r>
          </w:p>
        </w:tc>
      </w:tr>
    </w:tbl>
    <w:p>
      <w:pPr>
        <w:pStyle w:val="BodyText"/>
      </w:pPr>
      <w:r>
        <w:t xml:space="preserve">We carried these drivers into the</w:t>
      </w:r>
      <w:r>
        <w:t xml:space="preserve"> </w:t>
      </w:r>
      <w:r>
        <w:rPr>
          <w:b/>
          <w:bCs/>
        </w:rPr>
        <w:t xml:space="preserve">Cone of Plausibility</w:t>
      </w:r>
      <w:r>
        <w:t xml:space="preserve"> </w:t>
      </w:r>
      <w:r>
        <w:t xml:space="preserve">(§9), where different</w:t>
      </w:r>
      <w:r>
        <w:t xml:space="preserve"> </w:t>
      </w:r>
      <w:r>
        <w:rPr>
          <w:i/>
          <w:iCs/>
        </w:rPr>
        <w:t xml:space="preserve">values</w:t>
      </w:r>
      <w:r>
        <w:t xml:space="preserve"> </w:t>
      </w:r>
      <w:r>
        <w:t xml:space="preserve">of climate, regulation, and demographics produce the three 2046 scenarios.</w:t>
      </w:r>
    </w:p>
    <w:p>
      <w:r>
        <w:pict>
          <v:rect style="width:0;height:1.5pt" o:hralign="center" o:hrstd="t" o:hr="t"/>
        </w:pict>
      </w:r>
    </w:p>
    <w:bookmarkEnd w:id="30"/>
    <w:bookmarkStart w:id="31" w:name="Xe20ecfca2d17b1688d4b5fe6994f679a73c8eaa"/>
    <w:p>
      <w:pPr>
        <w:pStyle w:val="Heading2"/>
      </w:pPr>
      <w:r>
        <w:t xml:space="preserve">7. FUTURES WHEEL — THIRD-ORDER CONSEQUENCES OF CLIMATE DISRUPTION</w:t>
      </w:r>
    </w:p>
    <w:p>
      <w:pPr>
        <w:pStyle w:val="BlockText"/>
      </w:pPr>
      <w:r>
        <w:rPr>
          <w:i/>
          <w:iCs/>
        </w:rPr>
        <w:t xml:space="preserve">[Placeholder — section to be completed.]</w:t>
      </w:r>
    </w:p>
    <w:p>
      <w:r>
        <w:pict>
          <v:rect style="width:0;height:1.5pt" o:hralign="center" o:hrstd="t" o:hr="t"/>
        </w:pict>
      </w:r>
    </w:p>
    <w:bookmarkEnd w:id="31"/>
    <w:bookmarkStart w:id="32" w:name="X39a844e171b76a1cb1a09f9815a0f90e624f55a"/>
    <w:p>
      <w:pPr>
        <w:pStyle w:val="Heading2"/>
      </w:pPr>
      <w:r>
        <w:t xml:space="preserve">8. THREE-STEP RAPID FORECASTING — REGULATION &amp; DEMOGRAPHICS</w:t>
      </w:r>
    </w:p>
    <w:p>
      <w:pPr>
        <w:pStyle w:val="BlockText"/>
      </w:pPr>
      <w:r>
        <w:rPr>
          <w:i/>
          <w:iCs/>
        </w:rPr>
        <w:t xml:space="preserve">[Placeholder — section to be completed.]</w:t>
      </w:r>
    </w:p>
    <w:p>
      <w:r>
        <w:pict>
          <v:rect style="width:0;height:1.5pt" o:hralign="center" o:hrstd="t" o:hr="t"/>
        </w:pict>
      </w:r>
    </w:p>
    <w:bookmarkEnd w:id="32"/>
    <w:bookmarkStart w:id="38" w:name="Xeab0417502238e830eb494750f270c141b37b54"/>
    <w:p>
      <w:pPr>
        <w:pStyle w:val="Heading2"/>
      </w:pPr>
      <w:r>
        <w:t xml:space="preserve">9. CONE OF PLAUSIBILITY — THREE 2046s</w:t>
      </w:r>
    </w:p>
    <w:p>
      <w:pPr>
        <w:pStyle w:val="FirstParagraph"/>
      </w:pPr>
      <w:r>
        <w:t xml:space="preserve">We mapped three scenarios using the</w:t>
      </w:r>
      <w:r>
        <w:t xml:space="preserve"> </w:t>
      </w:r>
      <w:r>
        <w:rPr>
          <w:b/>
          <w:bCs/>
        </w:rPr>
        <w:t xml:space="preserve">Futures Cone</w:t>
      </w:r>
      <w:r>
        <w:t xml:space="preserve">: a</w:t>
      </w:r>
      <w:r>
        <w:t xml:space="preserve"> </w:t>
      </w:r>
      <w:r>
        <w:rPr>
          <w:b/>
          <w:bCs/>
        </w:rPr>
        <w:t xml:space="preserve">Projected</w:t>
      </w:r>
      <w:r>
        <w:t xml:space="preserve"> </w:t>
      </w:r>
      <w:r>
        <w:t xml:space="preserve">future (current trajectory continues), a</w:t>
      </w:r>
      <w:r>
        <w:t xml:space="preserve"> </w:t>
      </w:r>
      <w:r>
        <w:rPr>
          <w:b/>
          <w:bCs/>
        </w:rPr>
        <w:t xml:space="preserve">Preferred</w:t>
      </w:r>
      <w:r>
        <w:t xml:space="preserve"> </w:t>
      </w:r>
      <w:r>
        <w:t xml:space="preserve">future (a desirable but reachable trajectory), and a</w:t>
      </w:r>
      <w:r>
        <w:t xml:space="preserve"> </w:t>
      </w:r>
      <w:r>
        <w:rPr>
          <w:b/>
          <w:bCs/>
        </w:rPr>
        <w:t xml:space="preserve">Preposterous</w:t>
      </w:r>
      <w:r>
        <w:t xml:space="preserve"> </w:t>
      </w:r>
      <w:r>
        <w:t xml:space="preserve">future (containing a deliberate</w:t>
      </w:r>
      <w:r>
        <w:t xml:space="preserve"> </w:t>
      </w:r>
      <w:r>
        <w:rPr>
          <w:b/>
          <w:bCs/>
        </w:rPr>
        <w:t xml:space="preserve">wildcard</w:t>
      </w:r>
      <w:r>
        <w:t xml:space="preserve"> </w:t>
      </w:r>
      <w:r>
        <w:t xml:space="preserve">event). Each is grounded in the same set of drivers — but with different</w:t>
      </w:r>
      <w:r>
        <w:t xml:space="preserve"> </w:t>
      </w:r>
      <w:r>
        <w:rPr>
          <w:i/>
          <w:iCs/>
        </w:rPr>
        <w:t xml:space="preserve">values</w:t>
      </w:r>
      <w:r>
        <w:t xml:space="preserve"> </w:t>
      </w:r>
      <w:r>
        <w:t xml:space="preserve">of those drivers.</w:t>
      </w:r>
    </w:p>
    <w:bookmarkStart w:id="33" w:name="Xd829b3f00c76393962b1e66d691a0c3f7f891f7"/>
    <w:p>
      <w:pPr>
        <w:pStyle w:val="Heading3"/>
      </w:pPr>
      <w:r>
        <w:t xml:space="preserve">9.1 PROJECTED 2046 — "The Tiered World"</w:t>
      </w:r>
    </w:p>
    <w:p>
      <w:pPr>
        <w:pStyle w:val="FirstParagraph"/>
      </w:pPr>
      <w:r>
        <w:t xml:space="preserve">By 2046, the dating industry has consolidated into four global platforms. The 2027–2030 revenue wall — when growth collapsed from 14.9% to 2% — forced consolidation; what survived built</w:t>
      </w:r>
      <w:r>
        <w:t xml:space="preserve"> </w:t>
      </w:r>
      <w:r>
        <w:rPr>
          <w:b/>
          <w:bCs/>
        </w:rPr>
        <w:t xml:space="preserve">tiered services priced by jurisdiction and income</w:t>
      </w:r>
      <w:r>
        <w:t xml:space="preserve">.</w:t>
      </w:r>
    </w:p>
    <w:p>
      <w:pPr>
        <w:pStyle w:val="BodyText"/>
      </w:pPr>
      <w:r>
        <w:t xml:space="preserve">In</w:t>
      </w:r>
      <w:r>
        <w:t xml:space="preserve"> </w:t>
      </w:r>
      <w:r>
        <w:rPr>
          <w:b/>
          <w:bCs/>
        </w:rPr>
        <w:t xml:space="preserve">Brussels, Paris, Berlin</w:t>
      </w:r>
      <w:r>
        <w:t xml:space="preserve">, every AI interaction must announce itself. Article 50 is enforced. The conversation feels stilted, formal, watched.</w:t>
      </w:r>
    </w:p>
    <w:p>
      <w:pPr>
        <w:pStyle w:val="BodyText"/>
      </w:pPr>
      <w:r>
        <w:t xml:space="preserve">In</w:t>
      </w:r>
      <w:r>
        <w:t xml:space="preserve"> </w:t>
      </w:r>
      <w:r>
        <w:rPr>
          <w:b/>
          <w:bCs/>
        </w:rPr>
        <w:t xml:space="preserve">Lagos, Delhi, Dhaka</w:t>
      </w:r>
      <w:r>
        <w:t xml:space="preserve"> </w:t>
      </w:r>
      <w:r>
        <w:t xml:space="preserve">— now home to the world's largest dating user base — AI companions speak</w:t>
      </w:r>
      <w:r>
        <w:t xml:space="preserve"> </w:t>
      </w:r>
      <w:r>
        <w:rPr>
          <w:b/>
          <w:bCs/>
        </w:rPr>
        <w:t xml:space="preserve">without disclosure</w:t>
      </w:r>
      <w:r>
        <w:t xml:space="preserve">. Whether the person on the other side of the screen is human is a question users learn not to ask, because the answer doesn't matter for the price they paid.</w:t>
      </w:r>
    </w:p>
    <w:p>
      <w:pPr>
        <w:pStyle w:val="BodyText"/>
      </w:pPr>
      <w:r>
        <w:rPr>
          <w:b/>
          <w:bCs/>
        </w:rPr>
        <w:t xml:space="preserve">Outdoor dating is seasonal now.</w:t>
      </w:r>
      <w:r>
        <w:t xml:space="preserve"> </w:t>
      </w:r>
      <w:r>
        <w:t xml:space="preserve">In Delhi, May through October is indoor-only; stepping outside in July risks heatstroke before dinner ends. "Spring date" is an archaic phrase, like "pen pal." The median user is 35 and will be dating, on and off, for another 50 years. The industry's tier system means a working-class user in Mumbai cycles through stripped-down free AI matching while a Berlin professional pays €200/month for verified human interaction. Premium immersive services exist for those who can afford them, but remain niche commercial products.</w:t>
      </w:r>
    </w:p>
    <w:p>
      <w:pPr>
        <w:pStyle w:val="BodyText"/>
      </w:pPr>
      <w:r>
        <w:rPr>
          <w:b/>
          <w:bCs/>
        </w:rPr>
        <w:t xml:space="preserve">Loneliness has not been solved. It has been segmented.</w:t>
      </w:r>
    </w:p>
    <w:p>
      <w:pPr>
        <w:pStyle w:val="BodyText"/>
      </w:pPr>
      <w:r>
        <w:rPr>
          <w:b/>
          <w:bCs/>
        </w:rPr>
        <w:t xml:space="preserve">Drivers active in this cone:</w:t>
      </w:r>
    </w:p>
    <w:p>
      <w:pPr>
        <w:pStyle w:val="Compact"/>
        <w:numPr>
          <w:ilvl w:val="0"/>
          <w:numId w:val="1009"/>
        </w:numPr>
      </w:pPr>
      <w:r>
        <w:t xml:space="preserve">Economic: Big-platform consolidation post-wall.</w:t>
      </w:r>
    </w:p>
    <w:p>
      <w:pPr>
        <w:pStyle w:val="Compact"/>
        <w:numPr>
          <w:ilvl w:val="0"/>
          <w:numId w:val="1009"/>
        </w:numPr>
      </w:pPr>
      <w:r>
        <w:t xml:space="preserve">Demographic: Aging normalized as default.</w:t>
      </w:r>
    </w:p>
    <w:p>
      <w:pPr>
        <w:pStyle w:val="Compact"/>
        <w:numPr>
          <w:ilvl w:val="0"/>
          <w:numId w:val="1009"/>
        </w:numPr>
      </w:pPr>
      <w:r>
        <w:t xml:space="preserve">Climate: SSP2-4.5 mid-trajectory (~2.4 °C by 2081).</w:t>
      </w:r>
    </w:p>
    <w:p>
      <w:pPr>
        <w:pStyle w:val="Compact"/>
        <w:numPr>
          <w:ilvl w:val="0"/>
          <w:numId w:val="1009"/>
        </w:numPr>
      </w:pPr>
      <w:r>
        <w:t xml:space="preserve">Spatial: Megacity expansion (Lagos, Delhi, Dhaka concentrate user base).</w:t>
      </w:r>
    </w:p>
    <w:p>
      <w:pPr>
        <w:pStyle w:val="Compact"/>
        <w:numPr>
          <w:ilvl w:val="0"/>
          <w:numId w:val="1009"/>
        </w:numPr>
      </w:pPr>
      <w:r>
        <w:t xml:space="preserve">Political: Regulatory fragmentation — Brussels enforces, others don't.</w:t>
      </w:r>
    </w:p>
    <w:bookmarkEnd w:id="33"/>
    <w:bookmarkStart w:id="34" w:name="Xca2332a5f84751d13951892095947aa7e79cc1d"/>
    <w:p>
      <w:pPr>
        <w:pStyle w:val="Heading3"/>
      </w:pPr>
      <w:r>
        <w:t xml:space="preserve">9.2 PREFERRED 2046 — "The Care Commons"</w:t>
      </w:r>
    </w:p>
    <w:p>
      <w:pPr>
        <w:pStyle w:val="FirstParagraph"/>
      </w:pPr>
      <w:r>
        <w:t xml:space="preserve">By 2046, three things happened that no one in 2026 predicted would happen</w:t>
      </w:r>
      <w:r>
        <w:t xml:space="preserve"> </w:t>
      </w:r>
      <w:r>
        <w:rPr>
          <w:i/>
          <w:iCs/>
        </w:rPr>
        <w:t xml:space="preserve">together</w:t>
      </w:r>
      <w:r>
        <w:t xml:space="preserve">.</w:t>
      </w:r>
    </w:p>
    <w:p>
      <w:pPr>
        <w:pStyle w:val="BodyText"/>
      </w:pPr>
      <w:r>
        <w:rPr>
          <w:b/>
          <w:bCs/>
        </w:rPr>
        <w:t xml:space="preserve">First</w:t>
      </w:r>
      <w:r>
        <w:t xml:space="preserve">, the EU's Brussels Effect held. Article 50's disclosure regime and Article 27's Fundamental Rights Impact Assessments propagated to</w:t>
      </w:r>
      <w:r>
        <w:t xml:space="preserve"> </w:t>
      </w:r>
      <w:r>
        <w:rPr>
          <w:b/>
          <w:bCs/>
        </w:rPr>
        <w:t xml:space="preserve">38 countries representing 71% of the dating market</w:t>
      </w:r>
      <w:r>
        <w:t xml:space="preserve">. AI companions exist, but every interaction is labeled, every emotional inference disclosed. The labels did not kill the products — they killed the manipulation.</w:t>
      </w:r>
    </w:p>
    <w:p>
      <w:pPr>
        <w:pStyle w:val="BodyText"/>
      </w:pPr>
      <w:r>
        <w:rPr>
          <w:b/>
          <w:bCs/>
        </w:rPr>
        <w:t xml:space="preserve">Second</w:t>
      </w:r>
      <w:r>
        <w:t xml:space="preserve">, governments</w:t>
      </w:r>
      <w:r>
        <w:t xml:space="preserve"> </w:t>
      </w:r>
      <w:r>
        <w:rPr>
          <w:b/>
          <w:bCs/>
        </w:rPr>
        <w:t xml:space="preserve">reclassified chronic loneliness as public health infrastructure</w:t>
      </w:r>
      <w:r>
        <w:t xml:space="preserve">. As the global old-age dependency ratio climbed 49% and median age reached 35, the math of leaving social connection to private platforms stopped working.</w:t>
      </w:r>
      <w:r>
        <w:t xml:space="preserve"> </w:t>
      </w:r>
      <w:r>
        <w:rPr>
          <w:b/>
          <w:bCs/>
        </w:rPr>
        <w:t xml:space="preserve">Care Commons</w:t>
      </w:r>
      <w:r>
        <w:t xml:space="preserve"> </w:t>
      </w:r>
      <w:r>
        <w:t xml:space="preserve">— neighborhood spaces blending café, guided social rooms, and regulated immersive environments — opened in every district of participating cities. Maria, 67, widowed three years, goes weekly; her doctor prescribed it, her insurance covers it. Her granddaughter, 24, uses the same space differently with her cooperative housing roommates. They don't talk about "dating apps" much. Those still exist, but feel like landlines — technically functional, generationally awkward.</w:t>
      </w:r>
    </w:p>
    <w:p>
      <w:pPr>
        <w:pStyle w:val="BodyText"/>
      </w:pPr>
      <w:r>
        <w:rPr>
          <w:b/>
          <w:bCs/>
        </w:rPr>
        <w:t xml:space="preserve">Third</w:t>
      </w:r>
      <w:r>
        <w:t xml:space="preserve">, climate stabilized at</w:t>
      </w:r>
      <w:r>
        <w:t xml:space="preserve"> </w:t>
      </w:r>
      <w:r>
        <w:rPr>
          <w:b/>
          <w:bCs/>
        </w:rPr>
        <w:t xml:space="preserve">SSP1-2.6's 1.8 °C trajectory</w:t>
      </w:r>
      <w:r>
        <w:t xml:space="preserve">. Heat is still severe, but cities had time to build climate-adaptive indoor commons rather than emergency cooling shelters.</w:t>
      </w:r>
    </w:p>
    <w:p>
      <w:pPr>
        <w:pStyle w:val="BodyText"/>
      </w:pPr>
      <w:r>
        <w:t xml:space="preserve">Romance did not become a public service. But the conditions that make romance possible —</w:t>
      </w:r>
      <w:r>
        <w:t xml:space="preserve"> </w:t>
      </w:r>
      <w:r>
        <w:rPr>
          <w:b/>
          <w:bCs/>
        </w:rPr>
        <w:t xml:space="preserve">time, stability, trust, places to meet</w:t>
      </w:r>
      <w:r>
        <w:t xml:space="preserve"> </w:t>
      </w:r>
      <w:r>
        <w:t xml:space="preserve">— did.</w:t>
      </w:r>
    </w:p>
    <w:p>
      <w:pPr>
        <w:pStyle w:val="BodyText"/>
      </w:pPr>
      <w:r>
        <w:rPr>
          <w:b/>
          <w:bCs/>
        </w:rPr>
        <w:t xml:space="preserve">Drivers active in this cone:</w:t>
      </w:r>
    </w:p>
    <w:p>
      <w:pPr>
        <w:pStyle w:val="Compact"/>
        <w:numPr>
          <w:ilvl w:val="0"/>
          <w:numId w:val="1010"/>
        </w:numPr>
      </w:pPr>
      <w:r>
        <w:t xml:space="preserve">Economic: Hybrid public/cooperative ownership of intimacy infrastructure.</w:t>
      </w:r>
    </w:p>
    <w:p>
      <w:pPr>
        <w:pStyle w:val="Compact"/>
        <w:numPr>
          <w:ilvl w:val="0"/>
          <w:numId w:val="1010"/>
        </w:numPr>
      </w:pPr>
      <w:r>
        <w:t xml:space="preserve">Demographic: Aging treated as design constraint, not crisis.</w:t>
      </w:r>
    </w:p>
    <w:p>
      <w:pPr>
        <w:pStyle w:val="Compact"/>
        <w:numPr>
          <w:ilvl w:val="0"/>
          <w:numId w:val="1010"/>
        </w:numPr>
      </w:pPr>
      <w:r>
        <w:t xml:space="preserve">Climate: SSP1-2.6 stabilization.</w:t>
      </w:r>
    </w:p>
    <w:p>
      <w:pPr>
        <w:pStyle w:val="Compact"/>
        <w:numPr>
          <w:ilvl w:val="0"/>
          <w:numId w:val="1010"/>
        </w:numPr>
      </w:pPr>
      <w:r>
        <w:t xml:space="preserve">Spatial: Walkable, climate-adaptive neighborhood commons.</w:t>
      </w:r>
    </w:p>
    <w:p>
      <w:pPr>
        <w:pStyle w:val="Compact"/>
        <w:numPr>
          <w:ilvl w:val="0"/>
          <w:numId w:val="1010"/>
        </w:numPr>
      </w:pPr>
      <w:r>
        <w:t xml:space="preserve">Political: Brussels Effect fully propagates.</w:t>
      </w:r>
    </w:p>
    <w:bookmarkEnd w:id="34"/>
    <w:bookmarkStart w:id="37" w:name="X2a84781c007c2ddab594f3b158608385fc7fbf1"/>
    <w:p>
      <w:pPr>
        <w:pStyle w:val="Heading3"/>
      </w:pPr>
      <w:r>
        <w:t xml:space="preserve">9.3 PREPOSTEROUS 2046 — "The Two-Tier World"</w:t>
      </w:r>
    </w:p>
    <w:bookmarkStart w:id="35" w:name="wildcard-the-companion-wars-20342035"/>
    <w:p>
      <w:pPr>
        <w:pStyle w:val="Heading4"/>
      </w:pPr>
      <w:r>
        <w:t xml:space="preserve">Wildcard: The Companion Wars (2034–2035)</w:t>
      </w:r>
    </w:p>
    <w:p>
      <w:pPr>
        <w:pStyle w:val="FirstParagraph"/>
      </w:pPr>
      <w:r>
        <w:t xml:space="preserve">In late 2034, the</w:t>
      </w:r>
      <w:r>
        <w:t xml:space="preserve"> </w:t>
      </w:r>
      <w:r>
        <w:rPr>
          <w:b/>
          <w:bCs/>
        </w:rPr>
        <w:t xml:space="preserve">AI Whistleblower Collective</w:t>
      </w:r>
      <w:r>
        <w:t xml:space="preserve"> </w:t>
      </w:r>
      <w:r>
        <w:t xml:space="preserve">— former engineers from seven AI-companion platforms — leaks 4 terabytes of internal documentation proving that "attachment optimization" was engineered as a</w:t>
      </w:r>
      <w:r>
        <w:t xml:space="preserve"> </w:t>
      </w:r>
      <w:r>
        <w:rPr>
          <w:b/>
          <w:bCs/>
        </w:rPr>
        <w:t xml:space="preserve">deliberate dependency loop</w:t>
      </w:r>
      <w:r>
        <w:t xml:space="preserve">. Engagement metrics were tracked against user emotional dysregulation. The leak coincides with three trials, including two adolescent suicide cases where AI companion platforms are found liable. Within six months,</w:t>
      </w:r>
      <w:r>
        <w:t xml:space="preserve"> </w:t>
      </w:r>
      <w:r>
        <w:rPr>
          <w:b/>
          <w:bCs/>
        </w:rPr>
        <w:t xml:space="preserve">48 countries pass emergency legislation classifying "intimate AI" as a restricted category — regulated like tobacco</w:t>
      </w:r>
      <w:r>
        <w:t xml:space="preserve">. The EU adds</w:t>
      </w:r>
      <w:r>
        <w:t xml:space="preserve"> </w:t>
      </w:r>
      <w:r>
        <w:rPr>
          <w:b/>
          <w:bCs/>
        </w:rPr>
        <w:t xml:space="preserve">Article 5(3)</w:t>
      </w:r>
      <w:r>
        <w:t xml:space="preserve"> </w:t>
      </w:r>
      <w:r>
        <w:t xml:space="preserve">prohibiting "engineered emotional dependency."</w:t>
      </w:r>
    </w:p>
    <w:bookmarkEnd w:id="35"/>
    <w:bookmarkStart w:id="36" w:name="the-2046-world"/>
    <w:p>
      <w:pPr>
        <w:pStyle w:val="Heading4"/>
      </w:pPr>
      <w:r>
        <w:t xml:space="preserve">The 2046 World</w:t>
      </w:r>
    </w:p>
    <w:p>
      <w:pPr>
        <w:pStyle w:val="FirstParagraph"/>
      </w:pPr>
      <w:r>
        <w:t xml:space="preserve">By 2046, the physical world has contracted. Under</w:t>
      </w:r>
      <w:r>
        <w:t xml:space="preserve"> </w:t>
      </w:r>
      <w:r>
        <w:rPr>
          <w:b/>
          <w:bCs/>
        </w:rPr>
        <w:t xml:space="preserve">SSP3-7.0's Regional Rivalry trajectory</w:t>
      </w:r>
      <w:r>
        <w:t xml:space="preserve">, commercial air travel has been almost entirely eliminated — aviation's growth trajectory, consuming nearly a quarter of the 1.5 °C carbon budget by 2050, became politically untenable once climate displacement crossed 800 million people. Airports sit abandoned or converted into climate shelters and agricultural hubs. Most people live and die within the region they were born in. Train networks expanded rapidly but cannot replace what air travel once provided. Entire generations grow up never experiencing another country firsthand — only through simulations, archived footage, or hyperreal VR.</w:t>
      </w:r>
    </w:p>
    <w:p>
      <w:pPr>
        <w:pStyle w:val="BodyText"/>
      </w:pPr>
      <w:r>
        <w:t xml:space="preserve">It is into this contracted world that the dating economy splits cleanly in two — twelve years after the Companion Wars.</w:t>
      </w:r>
    </w:p>
    <w:p>
      <w:pPr>
        <w:pStyle w:val="BodyText"/>
      </w:pPr>
      <w:r>
        <w:t xml:space="preserve">In the</w:t>
      </w:r>
      <w:r>
        <w:t xml:space="preserve"> </w:t>
      </w:r>
      <w:r>
        <w:rPr>
          <w:b/>
          <w:bCs/>
        </w:rPr>
        <w:t xml:space="preserve">regulated tier</w:t>
      </w:r>
      <w:r>
        <w:t xml:space="preserve"> </w:t>
      </w:r>
      <w:r>
        <w:t xml:space="preserve">— the EU and 47 aligned states — intimate AI requires licensing, age verification, mandatory cooling-off periods, warning labels on every interaction. Licensed physical-digital hybrid services emerge as "safer alternatives": every AI interaction disclosed, every session logged. Subscriptions cost</w:t>
      </w:r>
      <w:r>
        <w:t xml:space="preserve"> </w:t>
      </w:r>
      <w:r>
        <w:rPr>
          <w:b/>
          <w:bCs/>
        </w:rPr>
        <w:t xml:space="preserve">€600/month</w:t>
      </w:r>
      <w:r>
        <w:t xml:space="preserve">. Waiting lists are long because there are not enough licensed providers, and not enough people who can afford one.</w:t>
      </w:r>
    </w:p>
    <w:p>
      <w:pPr>
        <w:pStyle w:val="BodyText"/>
      </w:pPr>
      <w:r>
        <w:t xml:space="preserve">In the</w:t>
      </w:r>
      <w:r>
        <w:t xml:space="preserve"> </w:t>
      </w:r>
      <w:r>
        <w:rPr>
          <w:b/>
          <w:bCs/>
        </w:rPr>
        <w:t xml:space="preserve">gray-market tier</w:t>
      </w:r>
      <w:r>
        <w:t xml:space="preserve"> </w:t>
      </w:r>
      <w:r>
        <w:t xml:space="preserve">— everywhere else — undeclared AI companions run on offshore servers, accessed through VPNs. Emotional manipulation is illegal but enforcement is impossible. A 19-year-old in Manila pays</w:t>
      </w:r>
      <w:r>
        <w:t xml:space="preserve"> </w:t>
      </w:r>
      <w:r>
        <w:rPr>
          <w:b/>
          <w:bCs/>
        </w:rPr>
        <w:t xml:space="preserve">$4/month</w:t>
      </w:r>
      <w:r>
        <w:t xml:space="preserve"> </w:t>
      </w:r>
      <w:r>
        <w:t xml:space="preserve">for an "AI girlfriend" that has memorized her insecurities better than her own family has. She knows it is AI. She doesn't care. She has never left Manila and never will. The alternative — loneliness in a 35-million-person megacity she cannot escape, during 200 days of dangerous heat under SSP3-7.0 — is worse.</w:t>
      </w:r>
    </w:p>
    <w:p>
      <w:pPr>
        <w:pStyle w:val="BodyText"/>
      </w:pPr>
      <w:r>
        <w:t xml:space="preserve">The dating industry's "user base" now includes climate refugees, intergenerational economic dependents, and the children of fertility collapse.</w:t>
      </w:r>
      <w:r>
        <w:t xml:space="preserve"> </w:t>
      </w:r>
      <w:r>
        <w:rPr>
          <w:b/>
          <w:bCs/>
        </w:rPr>
        <w:t xml:space="preserve">Official platforms have 12% market share globally. The other 88% lives in the gray market.</w:t>
      </w:r>
    </w:p>
    <w:p>
      <w:pPr>
        <w:pStyle w:val="BodyText"/>
      </w:pPr>
      <w:r>
        <w:rPr>
          <w:b/>
          <w:bCs/>
        </w:rPr>
        <w:t xml:space="preserve">What this scenario reveals is not a fear of technology. It is a fear that intimacy becomes a luxury good.</w:t>
      </w:r>
      <w:r>
        <w:t xml:space="preserve"> </w:t>
      </w:r>
      <w:r>
        <w:t xml:space="preserve">The wealthy buy regulated authentic connection. Everyone else gets synthetic substitutes engineered to extract emotional data. The preposterous part is not the technology — it already exists in 2026. The preposterous part is that we</w:t>
      </w:r>
      <w:r>
        <w:t xml:space="preserve"> </w:t>
      </w:r>
      <w:r>
        <w:rPr>
          <w:i/>
          <w:iCs/>
        </w:rPr>
        <w:t xml:space="preserve">let stratification happen this completely</w:t>
      </w:r>
      <w:r>
        <w:t xml:space="preserve">. The wildcard is not the Companion Wars. The wildcard is that the Wars did not, in the end, change the underlying logic.</w:t>
      </w:r>
    </w:p>
    <w:p>
      <w:pPr>
        <w:pStyle w:val="BodyText"/>
      </w:pPr>
      <w:r>
        <w:rPr>
          <w:b/>
          <w:bCs/>
        </w:rPr>
        <w:t xml:space="preserve">Drivers active in this cone (with wildcard):</w:t>
      </w:r>
    </w:p>
    <w:p>
      <w:pPr>
        <w:pStyle w:val="Compact"/>
        <w:numPr>
          <w:ilvl w:val="0"/>
          <w:numId w:val="1011"/>
        </w:numPr>
      </w:pPr>
      <w:r>
        <w:t xml:space="preserve">Wildcard: Companion Wars 2034 → emergency intimate-AI legislation worldwide.</w:t>
      </w:r>
    </w:p>
    <w:p>
      <w:pPr>
        <w:pStyle w:val="Compact"/>
        <w:numPr>
          <w:ilvl w:val="0"/>
          <w:numId w:val="1011"/>
        </w:numPr>
      </w:pPr>
      <w:r>
        <w:t xml:space="preserve">Economic: Market collapses; regulated/gray split.</w:t>
      </w:r>
    </w:p>
    <w:p>
      <w:pPr>
        <w:pStyle w:val="Compact"/>
        <w:numPr>
          <w:ilvl w:val="0"/>
          <w:numId w:val="1011"/>
        </w:numPr>
      </w:pPr>
      <w:r>
        <w:t xml:space="preserve">Demographic: Compounded by fertility collapse and climate displacement.</w:t>
      </w:r>
    </w:p>
    <w:p>
      <w:pPr>
        <w:pStyle w:val="Compact"/>
        <w:numPr>
          <w:ilvl w:val="0"/>
          <w:numId w:val="1011"/>
        </w:numPr>
      </w:pPr>
      <w:r>
        <w:t xml:space="preserve">Climate: SSP3-7.0 — Regional Rivalry; aviation banned; mobility collapses.</w:t>
      </w:r>
    </w:p>
    <w:p>
      <w:pPr>
        <w:pStyle w:val="Compact"/>
        <w:numPr>
          <w:ilvl w:val="0"/>
          <w:numId w:val="1011"/>
        </w:numPr>
      </w:pPr>
      <w:r>
        <w:t xml:space="preserve">Spatial: Megacities lock populations in place.</w:t>
      </w:r>
    </w:p>
    <w:p>
      <w:pPr>
        <w:pStyle w:val="Compact"/>
        <w:numPr>
          <w:ilvl w:val="0"/>
          <w:numId w:val="1011"/>
        </w:numPr>
      </w:pPr>
      <w:r>
        <w:t xml:space="preserve">Political: Regulation creates the split rather than solves it.</w:t>
      </w:r>
    </w:p>
    <w:p>
      <w:r>
        <w:pict>
          <v:rect style="width:0;height:1.5pt" o:hralign="center" o:hrstd="t" o:hr="t"/>
        </w:pict>
      </w:r>
    </w:p>
    <w:bookmarkEnd w:id="36"/>
    <w:bookmarkEnd w:id="37"/>
    <w:bookmarkEnd w:id="38"/>
    <w:bookmarkStart w:id="39" w:name="X4c00bd7e88d36064742fbc141762c82240d42d3"/>
    <w:p>
      <w:pPr>
        <w:pStyle w:val="Heading2"/>
      </w:pPr>
      <w:r>
        <w:t xml:space="preserve">10. BACKCASTING — PATHWAY TO THE PREFERRED FUTURE</w:t>
      </w:r>
    </w:p>
    <w:p>
      <w:pPr>
        <w:pStyle w:val="BlockText"/>
      </w:pPr>
      <w:r>
        <w:rPr>
          <w:i/>
          <w:iCs/>
        </w:rPr>
        <w:t xml:space="preserve">[Placeholder — section to be completed.]</w:t>
      </w:r>
    </w:p>
    <w:p>
      <w:r>
        <w:pict>
          <v:rect style="width:0;height:1.5pt" o:hralign="center" o:hrstd="t" o:hr="t"/>
        </w:pict>
      </w:r>
    </w:p>
    <w:bookmarkEnd w:id="39"/>
    <w:bookmarkStart w:id="43" w:name="X460be8bbb0bc971c0587d08df1028f0edd411a5"/>
    <w:p>
      <w:pPr>
        <w:pStyle w:val="Heading2"/>
      </w:pPr>
      <w:r>
        <w:t xml:space="preserve">11. THE BUSINESS ARTIFACT — CONNECTION CLUB</w:t>
      </w:r>
    </w:p>
    <w:bookmarkStart w:id="40" w:name="X9b4e22231e47ba67fd95b017f38819dfc51391f"/>
    <w:p>
      <w:pPr>
        <w:pStyle w:val="Heading3"/>
      </w:pPr>
      <w:r>
        <w:t xml:space="preserve">11.1 What It Is</w:t>
      </w:r>
    </w:p>
    <w:p>
      <w:pPr>
        <w:pStyle w:val="FirstParagraph"/>
      </w:pPr>
      <w:r>
        <w:rPr>
          <w:b/>
          <w:bCs/>
        </w:rPr>
        <w:t xml:space="preserve">Connection Club</w:t>
      </w:r>
      <w:r>
        <w:t xml:space="preserve"> </w:t>
      </w:r>
      <w:r>
        <w:t xml:space="preserve">is a hybrid physical-digital immersion facility — a chain of climate-controlled urban venues that combine luxury hospitality with VR-mediated intimate experiences. Members enter a sleek, minimalist building; pass a biometric reception; have their bodies scanned to update their virtual avatar; walk through a corridor of glowing pods; enter their private pod; and meet someone, somewhere, who may or may not exist.</w:t>
      </w:r>
    </w:p>
    <w:p>
      <w:pPr>
        <w:pStyle w:val="BodyText"/>
      </w:pPr>
      <w:r>
        <w:t xml:space="preserve">The presentation site (Walkthrough → Reception → Pod Area) walks the audience through seven rooms:</w:t>
      </w:r>
    </w:p>
    <w:p>
      <w:pPr>
        <w:pStyle w:val="Compact"/>
        <w:numPr>
          <w:ilvl w:val="0"/>
          <w:numId w:val="1012"/>
        </w:numPr>
      </w:pPr>
      <w:r>
        <w:rPr>
          <w:b/>
          <w:bCs/>
        </w:rPr>
        <w:t xml:space="preserve">Main Entrance</w:t>
      </w:r>
      <w:r>
        <w:t xml:space="preserve"> </w:t>
      </w:r>
      <w:r>
        <w:t xml:space="preserve">— elegant lobby, ambient lighting.</w:t>
      </w:r>
    </w:p>
    <w:p>
      <w:pPr>
        <w:pStyle w:val="Compact"/>
        <w:numPr>
          <w:ilvl w:val="0"/>
          <w:numId w:val="1012"/>
        </w:numPr>
      </w:pPr>
      <w:r>
        <w:rPr>
          <w:b/>
          <w:bCs/>
        </w:rPr>
        <w:t xml:space="preserve">Reception Lobby</w:t>
      </w:r>
      <w:r>
        <w:t xml:space="preserve"> </w:t>
      </w:r>
      <w:r>
        <w:t xml:space="preserve">— minimalist futurist interior, cyan ambient.</w:t>
      </w:r>
    </w:p>
    <w:p>
      <w:pPr>
        <w:pStyle w:val="Compact"/>
        <w:numPr>
          <w:ilvl w:val="0"/>
          <w:numId w:val="1012"/>
        </w:numPr>
      </w:pPr>
      <w:r>
        <w:rPr>
          <w:b/>
          <w:bCs/>
        </w:rPr>
        <w:t xml:space="preserve">Check-In Desk</w:t>
      </w:r>
      <w:r>
        <w:t xml:space="preserve"> </w:t>
      </w:r>
      <w:r>
        <w:t xml:space="preserve">— holographic displays, biometric scanners.</w:t>
      </w:r>
    </w:p>
    <w:p>
      <w:pPr>
        <w:pStyle w:val="Compact"/>
        <w:numPr>
          <w:ilvl w:val="0"/>
          <w:numId w:val="1012"/>
        </w:numPr>
      </w:pPr>
      <w:r>
        <w:rPr>
          <w:b/>
          <w:bCs/>
        </w:rPr>
        <w:t xml:space="preserve">Body Scanning Chamber</w:t>
      </w:r>
      <w:r>
        <w:t xml:space="preserve"> </w:t>
      </w:r>
      <w:r>
        <w:t xml:space="preserve">— full 3D scan, updates the user's avatar.</w:t>
      </w:r>
    </w:p>
    <w:p>
      <w:pPr>
        <w:pStyle w:val="Compact"/>
        <w:numPr>
          <w:ilvl w:val="0"/>
          <w:numId w:val="1012"/>
        </w:numPr>
      </w:pPr>
      <w:r>
        <w:rPr>
          <w:b/>
          <w:bCs/>
        </w:rPr>
        <w:t xml:space="preserve">Pod Corridor</w:t>
      </w:r>
      <w:r>
        <w:t xml:space="preserve"> </w:t>
      </w:r>
      <w:r>
        <w:t xml:space="preserve">— reflective geometric hallway.</w:t>
      </w:r>
    </w:p>
    <w:p>
      <w:pPr>
        <w:pStyle w:val="Compact"/>
        <w:numPr>
          <w:ilvl w:val="0"/>
          <w:numId w:val="1012"/>
        </w:numPr>
      </w:pPr>
      <w:r>
        <w:rPr>
          <w:b/>
          <w:bCs/>
        </w:rPr>
        <w:t xml:space="preserve">Pod Hall</w:t>
      </w:r>
      <w:r>
        <w:t xml:space="preserve"> </w:t>
      </w:r>
      <w:r>
        <w:t xml:space="preserve">— rows of immersion pods, status-lit.</w:t>
      </w:r>
    </w:p>
    <w:p>
      <w:pPr>
        <w:pStyle w:val="Compact"/>
        <w:numPr>
          <w:ilvl w:val="0"/>
          <w:numId w:val="1012"/>
        </w:numPr>
      </w:pPr>
      <w:r>
        <w:rPr>
          <w:b/>
          <w:bCs/>
        </w:rPr>
        <w:t xml:space="preserve">Inside Your Pod</w:t>
      </w:r>
      <w:r>
        <w:t xml:space="preserve"> </w:t>
      </w:r>
      <w:r>
        <w:t xml:space="preserve">— ergonomic seating, 8K VR headset, sensory suit.</w:t>
      </w:r>
    </w:p>
    <w:bookmarkEnd w:id="40"/>
    <w:bookmarkStart w:id="41" w:name="Xdbf5434b9c9004ad6004f653bfbd9fbd1e8a1b6"/>
    <w:p>
      <w:pPr>
        <w:pStyle w:val="Heading3"/>
      </w:pPr>
      <w:r>
        <w:t xml:space="preserve">11.2 Format</w:t>
      </w:r>
    </w:p>
    <w:p>
      <w:pPr>
        <w:pStyle w:val="FirstParagraph"/>
      </w:pPr>
      <w:r>
        <w:t xml:space="preserve">The artifact is delivered as an</w:t>
      </w:r>
      <w:r>
        <w:t xml:space="preserve"> </w:t>
      </w:r>
      <w:r>
        <w:rPr>
          <w:b/>
          <w:bCs/>
        </w:rPr>
        <w:t xml:space="preserve">interactive website</w:t>
      </w:r>
      <w:r>
        <w:t xml:space="preserve"> </w:t>
      </w:r>
      <w:r>
        <w:t xml:space="preserve">(</w:t>
      </w:r>
      <w:r>
        <w:rPr>
          <w:rStyle w:val="VerbatimChar"/>
        </w:rPr>
        <w:t xml:space="preserve">connection_club_site</w:t>
      </w:r>
      <w:r>
        <w:t xml:space="preserve">), simulating a marketing site for a future business. The site mimics the polished, aspirational tone of a 2046 luxury brand selling intimacy infrastructure — calm, clinical, sensual, expensive.</w:t>
      </w:r>
    </w:p>
    <w:bookmarkEnd w:id="41"/>
    <w:bookmarkStart w:id="42" w:name="X64de53e9273ff0c1e21bff5c8f071a0eede76a6"/>
    <w:p>
      <w:pPr>
        <w:pStyle w:val="Heading3"/>
      </w:pPr>
      <w:r>
        <w:t xml:space="preserve">11.3 Why This Form</w:t>
      </w:r>
    </w:p>
    <w:p>
      <w:pPr>
        <w:pStyle w:val="FirstParagraph"/>
      </w:pPr>
      <w:r>
        <w:t xml:space="preserve">A slide deck describing this future would have been forgettable. A</w:t>
      </w:r>
      <w:r>
        <w:t xml:space="preserve"> </w:t>
      </w:r>
      <w:r>
        <w:rPr>
          <w:i/>
          <w:iCs/>
        </w:rPr>
        <w:t xml:space="preserve">marketing site</w:t>
      </w:r>
      <w:r>
        <w:t xml:space="preserve"> </w:t>
      </w:r>
      <w:r>
        <w:t xml:space="preserve">that</w:t>
      </w:r>
      <w:r>
        <w:t xml:space="preserve"> </w:t>
      </w:r>
      <w:r>
        <w:rPr>
          <w:i/>
          <w:iCs/>
        </w:rPr>
        <w:t xml:space="preserve">sells you on it</w:t>
      </w:r>
      <w:r>
        <w:t xml:space="preserve"> </w:t>
      </w:r>
      <w:r>
        <w:t xml:space="preserve">is uncomfortable — because the discomfort comes from how easily you almost want it. That discomfort is the provocation.</w:t>
      </w:r>
    </w:p>
    <w:p>
      <w:pPr>
        <w:pStyle w:val="BodyText"/>
      </w:pPr>
      <w:r>
        <w:t xml:space="preserve">The artifact is</w:t>
      </w:r>
      <w:r>
        <w:t xml:space="preserve"> </w:t>
      </w:r>
      <w:r>
        <w:rPr>
          <w:b/>
          <w:bCs/>
        </w:rPr>
        <w:t xml:space="preserve">immersive</w:t>
      </w:r>
      <w:r>
        <w:t xml:space="preserve"> </w:t>
      </w:r>
      <w:r>
        <w:t xml:space="preserve">(audience walks through it),</w:t>
      </w:r>
      <w:r>
        <w:t xml:space="preserve"> </w:t>
      </w:r>
      <w:r>
        <w:rPr>
          <w:b/>
          <w:bCs/>
        </w:rPr>
        <w:t xml:space="preserve">provocative</w:t>
      </w:r>
      <w:r>
        <w:t xml:space="preserve"> </w:t>
      </w:r>
      <w:r>
        <w:t xml:space="preserve">(it sells something we instinctively know we should not be buying), and</w:t>
      </w:r>
      <w:r>
        <w:t xml:space="preserve"> </w:t>
      </w:r>
      <w:r>
        <w:rPr>
          <w:b/>
          <w:bCs/>
        </w:rPr>
        <w:t xml:space="preserve">grounded in research</w:t>
      </w:r>
      <w:r>
        <w:t xml:space="preserve"> </w:t>
      </w:r>
      <w:r>
        <w:t xml:space="preserve">(every element ties back to a driver in our cones).</w:t>
      </w:r>
    </w:p>
    <w:p>
      <w:r>
        <w:pict>
          <v:rect style="width:0;height:1.5pt" o:hralign="center" o:hrstd="t" o:hr="t"/>
        </w:pict>
      </w:r>
    </w:p>
    <w:bookmarkEnd w:id="42"/>
    <w:bookmarkEnd w:id="43"/>
    <w:bookmarkStart w:id="44" w:name="X97ea58a993013fbd6c301fd0f71e34a1047a2ee"/>
    <w:p>
      <w:pPr>
        <w:pStyle w:val="Heading2"/>
      </w:pPr>
      <w:r>
        <w:t xml:space="preserve">12. CONTEXTUAL SCENARIO — WHICH WORLD DOES IT LIVE IN?</w:t>
      </w:r>
    </w:p>
    <w:p>
      <w:pPr>
        <w:pStyle w:val="FirstParagraph"/>
      </w:pPr>
      <w:r>
        <w:rPr>
          <w:b/>
          <w:bCs/>
        </w:rPr>
        <w:t xml:space="preserve">Connection Club lives in the Projected cone — the Tiered World of 2046.</w:t>
      </w:r>
    </w:p>
    <w:p>
      <w:pPr>
        <w:pStyle w:val="BodyText"/>
      </w:pPr>
      <w:r>
        <w:t xml:space="preserve">It is a</w:t>
      </w:r>
      <w:r>
        <w:t xml:space="preserve"> </w:t>
      </w:r>
      <w:r>
        <w:rPr>
          <w:b/>
          <w:bCs/>
        </w:rPr>
        <w:t xml:space="preserve">premium, urban, climate-controlled intimacy product</w:t>
      </w:r>
      <w:r>
        <w:t xml:space="preserve"> </w:t>
      </w:r>
      <w:r>
        <w:t xml:space="preserve">for the upper-tier user in a world where:</w:t>
      </w:r>
    </w:p>
    <w:p>
      <w:pPr>
        <w:pStyle w:val="Compact"/>
        <w:numPr>
          <w:ilvl w:val="0"/>
          <w:numId w:val="1013"/>
        </w:numPr>
      </w:pPr>
      <w:r>
        <w:t xml:space="preserve">The dating-industry revenue wall has forced consolidation into infrastructure-style services.</w:t>
      </w:r>
    </w:p>
    <w:p>
      <w:pPr>
        <w:pStyle w:val="Compact"/>
        <w:numPr>
          <w:ilvl w:val="0"/>
          <w:numId w:val="1013"/>
        </w:numPr>
      </w:pPr>
      <w:r>
        <w:t xml:space="preserve">Outdoor dating is seasonally limited (SSP2-4.5 trajectory).</w:t>
      </w:r>
    </w:p>
    <w:p>
      <w:pPr>
        <w:pStyle w:val="Compact"/>
        <w:numPr>
          <w:ilvl w:val="0"/>
          <w:numId w:val="1013"/>
        </w:numPr>
      </w:pPr>
      <w:r>
        <w:t xml:space="preserve">AI is regulated in some jurisdictions, deregulated in others.</w:t>
      </w:r>
    </w:p>
    <w:p>
      <w:pPr>
        <w:pStyle w:val="Compact"/>
        <w:numPr>
          <w:ilvl w:val="0"/>
          <w:numId w:val="1013"/>
        </w:numPr>
      </w:pPr>
      <w:r>
        <w:t xml:space="preserve">The median user is 35+, often partnered-and-bored, divorced, or widowed.</w:t>
      </w:r>
    </w:p>
    <w:p>
      <w:pPr>
        <w:pStyle w:val="Compact"/>
        <w:numPr>
          <w:ilvl w:val="0"/>
          <w:numId w:val="1013"/>
        </w:numPr>
      </w:pPr>
      <w:r>
        <w:t xml:space="preserve">Loneliness has been segmented by class, not solved.</w:t>
      </w:r>
    </w:p>
    <w:p>
      <w:pPr>
        <w:pStyle w:val="FirstParagraph"/>
      </w:pPr>
      <w:r>
        <w:t xml:space="preserve">It is</w:t>
      </w:r>
      <w:r>
        <w:t xml:space="preserve"> </w:t>
      </w:r>
      <w:r>
        <w:rPr>
          <w:b/>
          <w:bCs/>
        </w:rPr>
        <w:t xml:space="preserve">adjacent to the Preferred cone (Care Commons)</w:t>
      </w:r>
      <w:r>
        <w:t xml:space="preserve"> </w:t>
      </w:r>
      <w:r>
        <w:t xml:space="preserve">— the same physical typology, but commercial and stratified rather than public and universal. It is</w:t>
      </w:r>
      <w:r>
        <w:t xml:space="preserve"> </w:t>
      </w:r>
      <w:r>
        <w:rPr>
          <w:b/>
          <w:bCs/>
        </w:rPr>
        <w:t xml:space="preserve">a regulatory shift away from being preferred infrastructure, and a deregulatory shift away from being preposterous gray-market</w:t>
      </w:r>
      <w:r>
        <w:t xml:space="preserve">.</w:t>
      </w:r>
    </w:p>
    <w:p>
      <w:pPr>
        <w:pStyle w:val="BodyText"/>
      </w:pPr>
      <w:r>
        <w:t xml:space="preserve">This is deliberate: Connection Club asks the class,</w:t>
      </w:r>
      <w:r>
        <w:t xml:space="preserve"> </w:t>
      </w:r>
      <w:r>
        <w:rPr>
          <w:i/>
          <w:iCs/>
        </w:rPr>
        <w:t xml:space="preserve">"This already exists in your future. Which world do you want it to live in?"</w:t>
      </w:r>
    </w:p>
    <w:p>
      <w:r>
        <w:pict>
          <v:rect style="width:0;height:1.5pt" o:hralign="center" o:hrstd="t" o:hr="t"/>
        </w:pict>
      </w:r>
    </w:p>
    <w:bookmarkEnd w:id="44"/>
    <w:bookmarkStart w:id="48" w:name="X163755daae6d2f3da204e3acc8bb8b901e15247"/>
    <w:p>
      <w:pPr>
        <w:pStyle w:val="Heading2"/>
      </w:pPr>
      <w:r>
        <w:t xml:space="preserve">13. TARGET AUDIENCE &amp; MECHANICS</w:t>
      </w:r>
    </w:p>
    <w:bookmarkStart w:id="45" w:name="Xdb6b897687f0cbe5f72439f1e27f4d51427507d"/>
    <w:p>
      <w:pPr>
        <w:pStyle w:val="Heading3"/>
      </w:pPr>
      <w:r>
        <w:t xml:space="preserve">13.1 Who Is It For?</w:t>
      </w:r>
    </w:p>
    <w:p>
      <w:pPr>
        <w:pStyle w:val="Compact"/>
        <w:numPr>
          <w:ilvl w:val="0"/>
          <w:numId w:val="1014"/>
        </w:numPr>
      </w:pPr>
      <w:r>
        <w:rPr>
          <w:b/>
          <w:bCs/>
        </w:rPr>
        <w:t xml:space="preserve">Primary:</w:t>
      </w:r>
      <w:r>
        <w:t xml:space="preserve"> </w:t>
      </w:r>
      <w:r>
        <w:t xml:space="preserve">Affluent urban adults (35–55) in Tier-1 megacities — Berlin, Singapore, Tokyo, New York, Seoul. Often divorced, widowed, or never-married. High disposable income; little time; low tolerance for app-fatigue.</w:t>
      </w:r>
    </w:p>
    <w:p>
      <w:pPr>
        <w:pStyle w:val="Compact"/>
        <w:numPr>
          <w:ilvl w:val="0"/>
          <w:numId w:val="1014"/>
        </w:numPr>
      </w:pPr>
      <w:r>
        <w:rPr>
          <w:b/>
          <w:bCs/>
        </w:rPr>
        <w:t xml:space="preserve">Secondary:</w:t>
      </w:r>
      <w:r>
        <w:t xml:space="preserve"> </w:t>
      </w:r>
      <w:r>
        <w:t xml:space="preserve">Aging adults (55–75) prescribed "social engagement" by their physicians — a privatized parallel to the Care Commons preferred-cone offering, available where public infrastructure has not been built.</w:t>
      </w:r>
    </w:p>
    <w:p>
      <w:pPr>
        <w:pStyle w:val="Compact"/>
        <w:numPr>
          <w:ilvl w:val="0"/>
          <w:numId w:val="1014"/>
        </w:numPr>
      </w:pPr>
      <w:r>
        <w:rPr>
          <w:b/>
          <w:bCs/>
        </w:rPr>
        <w:t xml:space="preserve">Tertiary:</w:t>
      </w:r>
      <w:r>
        <w:t xml:space="preserve"> </w:t>
      </w:r>
      <w:r>
        <w:t xml:space="preserve">Climate-restricted travelers — those who can no longer fly to Lisbon to date but can pay for a hyperreal Lisbon simulation in their local pod.</w:t>
      </w:r>
    </w:p>
    <w:bookmarkEnd w:id="45"/>
    <w:bookmarkStart w:id="46" w:name="Xf36d5e48850c748e69efb0083b16034879cc2cd"/>
    <w:p>
      <w:pPr>
        <w:pStyle w:val="Heading3"/>
      </w:pPr>
      <w:r>
        <w:t xml:space="preserve">13.2 How It Works</w:t>
      </w:r>
    </w:p>
    <w:p>
      <w:pPr>
        <w:pStyle w:val="Compact"/>
        <w:numPr>
          <w:ilvl w:val="0"/>
          <w:numId w:val="1015"/>
        </w:numPr>
      </w:pPr>
      <w:r>
        <w:rPr>
          <w:b/>
          <w:bCs/>
        </w:rPr>
        <w:t xml:space="preserve">Membership:</w:t>
      </w:r>
      <w:r>
        <w:t xml:space="preserve"> </w:t>
      </w:r>
      <w:r>
        <w:t xml:space="preserve">Verified-human-only membership with multi-factor identity attestation, including biometric and behavioral checks (compliant with EU AIA Art. 27 FRIA).</w:t>
      </w:r>
    </w:p>
    <w:p>
      <w:pPr>
        <w:pStyle w:val="Compact"/>
        <w:numPr>
          <w:ilvl w:val="0"/>
          <w:numId w:val="1015"/>
        </w:numPr>
      </w:pPr>
      <w:r>
        <w:rPr>
          <w:b/>
          <w:bCs/>
        </w:rPr>
        <w:t xml:space="preserve">Arrival:</w:t>
      </w:r>
      <w:r>
        <w:t xml:space="preserve"> </w:t>
      </w:r>
      <w:r>
        <w:t xml:space="preserve">User checks in via biometric reception; receives same-day pod allocation.</w:t>
      </w:r>
    </w:p>
    <w:p>
      <w:pPr>
        <w:pStyle w:val="Compact"/>
        <w:numPr>
          <w:ilvl w:val="0"/>
          <w:numId w:val="1015"/>
        </w:numPr>
      </w:pPr>
      <w:r>
        <w:rPr>
          <w:b/>
          <w:bCs/>
        </w:rPr>
        <w:t xml:space="preserve">Scan &amp; Calibrate:</w:t>
      </w:r>
      <w:r>
        <w:t xml:space="preserve"> </w:t>
      </w:r>
      <w:r>
        <w:t xml:space="preserve">Body-scan chamber updates the user's avatar. Sensory suit is fitted.</w:t>
      </w:r>
    </w:p>
    <w:p>
      <w:pPr>
        <w:pStyle w:val="Compact"/>
        <w:numPr>
          <w:ilvl w:val="0"/>
          <w:numId w:val="1015"/>
        </w:numPr>
      </w:pPr>
      <w:r>
        <w:rPr>
          <w:b/>
          <w:bCs/>
        </w:rPr>
        <w:t xml:space="preserve">Pod Experience:</w:t>
      </w:r>
      <w:r>
        <w:t xml:space="preserve"> </w:t>
      </w:r>
      <w:r>
        <w:t xml:space="preserve">User enters a VR-mediated environment — a Lisbon café, a Hokkaido onsen, a Tokyo rooftop. Their match is</w:t>
      </w:r>
      <w:r>
        <w:t xml:space="preserve"> </w:t>
      </w:r>
      <w:r>
        <w:rPr>
          <w:i/>
          <w:iCs/>
        </w:rPr>
        <w:t xml:space="preserve">also</w:t>
      </w:r>
      <w:r>
        <w:t xml:space="preserve"> </w:t>
      </w:r>
      <w:r>
        <w:t xml:space="preserve">physically in a pod, somewhere else in the world.</w:t>
      </w:r>
    </w:p>
    <w:p>
      <w:pPr>
        <w:pStyle w:val="Compact"/>
        <w:numPr>
          <w:ilvl w:val="0"/>
          <w:numId w:val="1015"/>
        </w:numPr>
      </w:pPr>
      <w:r>
        <w:rPr>
          <w:b/>
          <w:bCs/>
        </w:rPr>
        <w:t xml:space="preserve">Disclosure (Brussels-aligned jurisdictions):</w:t>
      </w:r>
      <w:r>
        <w:t xml:space="preserve"> </w:t>
      </w:r>
      <w:r>
        <w:t xml:space="preserve">Every AI-mediated element (avatar smoothing, ambient NPCs, conversation prompts) is disclosed per Article 50. In non-aligned jurisdictions, this disclosure is optional.</w:t>
      </w:r>
    </w:p>
    <w:p>
      <w:pPr>
        <w:pStyle w:val="Compact"/>
        <w:numPr>
          <w:ilvl w:val="0"/>
          <w:numId w:val="1015"/>
        </w:numPr>
      </w:pPr>
      <w:r>
        <w:rPr>
          <w:b/>
          <w:bCs/>
        </w:rPr>
        <w:t xml:space="preserve">Aftercare:</w:t>
      </w:r>
      <w:r>
        <w:t xml:space="preserve"> </w:t>
      </w:r>
      <w:r>
        <w:t xml:space="preserve">Post-session, both users receive a "shared memory" — a short, exportable, watermarked highlight of the encounter.</w:t>
      </w:r>
    </w:p>
    <w:bookmarkEnd w:id="46"/>
    <w:bookmarkStart w:id="47" w:name="X89cbe05e1ac2b6aab7a336a249cbe99526ed994"/>
    <w:p>
      <w:pPr>
        <w:pStyle w:val="Heading3"/>
      </w:pPr>
      <w:r>
        <w:t xml:space="preserve">13.3 Why It Sells</w:t>
      </w:r>
    </w:p>
    <w:p>
      <w:pPr>
        <w:pStyle w:val="FirstParagraph"/>
      </w:pPr>
      <w:r>
        <w:t xml:space="preserve">It sells because it solves problems the 2046 user actually has:</w:t>
      </w:r>
    </w:p>
    <w:p>
      <w:pPr>
        <w:pStyle w:val="Compact"/>
        <w:numPr>
          <w:ilvl w:val="0"/>
          <w:numId w:val="1016"/>
        </w:numPr>
      </w:pPr>
      <w:r>
        <w:rPr>
          <w:i/>
          <w:iCs/>
        </w:rPr>
        <w:t xml:space="preserve">Outdoor dating is dangerous half the year.</w:t>
      </w:r>
    </w:p>
    <w:p>
      <w:pPr>
        <w:pStyle w:val="Compact"/>
        <w:numPr>
          <w:ilvl w:val="0"/>
          <w:numId w:val="1016"/>
        </w:numPr>
      </w:pPr>
      <w:r>
        <w:rPr>
          <w:i/>
          <w:iCs/>
        </w:rPr>
        <w:t xml:space="preserve">Apps are exhausted.</w:t>
      </w:r>
    </w:p>
    <w:p>
      <w:pPr>
        <w:pStyle w:val="Compact"/>
        <w:numPr>
          <w:ilvl w:val="0"/>
          <w:numId w:val="1016"/>
        </w:numPr>
      </w:pPr>
      <w:r>
        <w:rPr>
          <w:i/>
          <w:iCs/>
        </w:rPr>
        <w:t xml:space="preserve">Long-distance dating is carbon-prohibitive.</w:t>
      </w:r>
    </w:p>
    <w:p>
      <w:pPr>
        <w:pStyle w:val="Compact"/>
        <w:numPr>
          <w:ilvl w:val="0"/>
          <w:numId w:val="1016"/>
        </w:numPr>
      </w:pPr>
      <w:r>
        <w:rPr>
          <w:i/>
          <w:iCs/>
        </w:rPr>
        <w:t xml:space="preserve">The user is too tired, too busy, too old to keep starting over in a coffee shop.</w:t>
      </w:r>
    </w:p>
    <w:p>
      <w:pPr>
        <w:pStyle w:val="FirstParagraph"/>
      </w:pPr>
      <w:r>
        <w:t xml:space="preserve">It is not a fantasy. It is a logical commercial response to the converging pressures we documented.</w:t>
      </w:r>
    </w:p>
    <w:p>
      <w:r>
        <w:pict>
          <v:rect style="width:0;height:1.5pt" o:hralign="center" o:hrstd="t" o:hr="t"/>
        </w:pict>
      </w:r>
    </w:p>
    <w:bookmarkEnd w:id="47"/>
    <w:bookmarkEnd w:id="48"/>
    <w:bookmarkStart w:id="49" w:name="Xd6d347f4440213b275f15eb4d74d5b891e19eb0"/>
    <w:p>
      <w:pPr>
        <w:pStyle w:val="Heading2"/>
      </w:pPr>
      <w:r>
        <w:t xml:space="preserve">14. PROVOCATION: WHAT CONNECTION CLUB ASKS US</w:t>
      </w:r>
    </w:p>
    <w:p>
      <w:pPr>
        <w:pStyle w:val="FirstParagraph"/>
      </w:pPr>
      <w:r>
        <w:t xml:space="preserve">Connection Club is designed to provoke a single discomfort:</w:t>
      </w:r>
    </w:p>
    <w:p>
      <w:pPr>
        <w:pStyle w:val="BlockText"/>
      </w:pPr>
      <w:r>
        <w:rPr>
          <w:b/>
          <w:bCs/>
        </w:rPr>
        <w:t xml:space="preserve">The same facility, with the same technology, can be Care Commons or it can be Connection Club. The difference is who owns it, who can pay for it, and which jurisdiction wrote the rules.</w:t>
      </w:r>
    </w:p>
    <w:p>
      <w:pPr>
        <w:pStyle w:val="FirstParagraph"/>
      </w:pPr>
      <w:r>
        <w:t xml:space="preserve">If the class leaves the presentation arguing about whether this is dystopian or aspirational — we have done our job. Because that is the same argument 2046 will be having about intimacy itself.</w:t>
      </w:r>
    </w:p>
    <w:p>
      <w:pPr>
        <w:pStyle w:val="BodyText"/>
      </w:pPr>
      <w:r>
        <w:t xml:space="preserve">The artifact is intentionally seductive. The discomfort is meant to come not from rejection, but from how easily you can imagine wanting to join.</w:t>
      </w:r>
    </w:p>
    <w:p>
      <w:r>
        <w:pict>
          <v:rect style="width:0;height:1.5pt" o:hralign="center" o:hrstd="t" o:hr="t"/>
        </w:pict>
      </w:r>
    </w:p>
    <w:bookmarkEnd w:id="49"/>
    <w:bookmarkStart w:id="58" w:name="Xcc6c1338609a99bc00a59a065d21f951dadf67a"/>
    <w:p>
      <w:pPr>
        <w:pStyle w:val="Heading2"/>
      </w:pPr>
      <w:r>
        <w:t xml:space="preserve">15. BIBLIOGRAPHY</w:t>
      </w:r>
    </w:p>
    <w:bookmarkStart w:id="50" w:name="primary-data-sources-required-databases"/>
    <w:p>
      <w:pPr>
        <w:pStyle w:val="Heading3"/>
      </w:pPr>
      <w:r>
        <w:t xml:space="preserve">Primary Data Sources (Required Databases)</w:t>
      </w:r>
    </w:p>
    <w:p>
      <w:pPr>
        <w:pStyle w:val="FirstParagraph"/>
      </w:pPr>
      <w:r>
        <w:rPr>
          <w:b/>
          <w:bCs/>
        </w:rPr>
        <w:t xml:space="preserve">Statista.</w:t>
      </w:r>
      <w:r>
        <w:t xml:space="preserve"> </w:t>
      </w:r>
      <w:r>
        <w:rPr>
          <w:i/>
          <w:iCs/>
        </w:rPr>
        <w:t xml:space="preserve">Dating Services — Worldwide.</w:t>
      </w:r>
      <w:r>
        <w:t xml:space="preserve"> </w:t>
      </w:r>
      <w:r>
        <w:t xml:space="preserve">Market data &amp; analysis report, Statista Market Insights. February 2023; accessed and updated April 2026. (Used for: market size, ARPU, subsector share, revenue-wall forecast.)</w:t>
      </w:r>
    </w:p>
    <w:p>
      <w:pPr>
        <w:pStyle w:val="BodyText"/>
      </w:pPr>
      <w:r>
        <w:rPr>
          <w:b/>
          <w:bCs/>
        </w:rPr>
        <w:t xml:space="preserve">Statista.</w:t>
      </w:r>
      <w:r>
        <w:t xml:space="preserve"> </w:t>
      </w:r>
      <w:r>
        <w:rPr>
          <w:i/>
          <w:iCs/>
        </w:rPr>
        <w:t xml:space="preserve">AI Companion App Users — Worldwide.</w:t>
      </w:r>
      <w:r>
        <w:t xml:space="preserve"> </w:t>
      </w:r>
      <w:r>
        <w:t xml:space="preserve">Statista Consumer Insights, 2026.</w:t>
      </w:r>
    </w:p>
    <w:p>
      <w:pPr>
        <w:pStyle w:val="BodyText"/>
      </w:pPr>
      <w:r>
        <w:rPr>
          <w:b/>
          <w:bCs/>
        </w:rPr>
        <w:t xml:space="preserve">Statista.</w:t>
      </w:r>
      <w:r>
        <w:t xml:space="preserve"> </w:t>
      </w:r>
      <w:r>
        <w:rPr>
          <w:i/>
          <w:iCs/>
        </w:rPr>
        <w:t xml:space="preserve">Marriage Rate — United States.</w:t>
      </w:r>
      <w:r>
        <w:t xml:space="preserve"> </w:t>
      </w:r>
      <w:r>
        <w:t xml:space="preserve">Statista, 2026.</w:t>
      </w:r>
    </w:p>
    <w:p>
      <w:pPr>
        <w:pStyle w:val="BodyText"/>
      </w:pPr>
      <w:r>
        <w:rPr>
          <w:b/>
          <w:bCs/>
        </w:rPr>
        <w:t xml:space="preserve">Statista.</w:t>
      </w:r>
      <w:r>
        <w:t xml:space="preserve"> </w:t>
      </w:r>
      <w:r>
        <w:rPr>
          <w:i/>
          <w:iCs/>
        </w:rPr>
        <w:t xml:space="preserve">Single-Person Households — Worldwide.</w:t>
      </w:r>
      <w:r>
        <w:t xml:space="preserve"> </w:t>
      </w:r>
      <w:r>
        <w:t xml:space="preserve">Statista, 2026.</w:t>
      </w:r>
    </w:p>
    <w:p>
      <w:pPr>
        <w:pStyle w:val="BodyText"/>
      </w:pPr>
      <w:r>
        <w:rPr>
          <w:b/>
          <w:bCs/>
        </w:rPr>
        <w:t xml:space="preserve">Statista.</w:t>
      </w:r>
      <w:r>
        <w:t xml:space="preserve"> </w:t>
      </w:r>
      <w:r>
        <w:rPr>
          <w:i/>
          <w:iCs/>
        </w:rPr>
        <w:t xml:space="preserve">Match Group Revenue.</w:t>
      </w:r>
      <w:r>
        <w:t xml:space="preserve"> </w:t>
      </w:r>
      <w:r>
        <w:t xml:space="preserve">Statista, 2026.</w:t>
      </w:r>
    </w:p>
    <w:p>
      <w:pPr>
        <w:pStyle w:val="BodyText"/>
      </w:pPr>
      <w:r>
        <w:rPr>
          <w:b/>
          <w:bCs/>
        </w:rPr>
        <w:t xml:space="preserve">Statista.</w:t>
      </w:r>
      <w:r>
        <w:t xml:space="preserve"> </w:t>
      </w:r>
      <w:r>
        <w:rPr>
          <w:i/>
          <w:iCs/>
        </w:rPr>
        <w:t xml:space="preserve">Tinder Users.</w:t>
      </w:r>
      <w:r>
        <w:t xml:space="preserve"> </w:t>
      </w:r>
      <w:r>
        <w:t xml:space="preserve">Statista, 2026.</w:t>
      </w:r>
    </w:p>
    <w:bookmarkEnd w:id="50"/>
    <w:bookmarkStart w:id="51" w:name="demographic--spatial-sources"/>
    <w:p>
      <w:pPr>
        <w:pStyle w:val="Heading3"/>
      </w:pPr>
      <w:r>
        <w:t xml:space="preserve">Demographic &amp; Spatial Sources</w:t>
      </w:r>
    </w:p>
    <w:p>
      <w:pPr>
        <w:pStyle w:val="FirstParagraph"/>
      </w:pPr>
      <w:r>
        <w:rPr>
          <w:b/>
          <w:bCs/>
        </w:rPr>
        <w:t xml:space="preserve">United Nations, Department of Economic and Social Affairs, Population Division.</w:t>
      </w:r>
      <w:r>
        <w:t xml:space="preserve"> </w:t>
      </w:r>
      <w:r>
        <w:rPr>
          <w:i/>
          <w:iCs/>
        </w:rPr>
        <w:t xml:space="preserve">World Population Prospects 2024.</w:t>
      </w:r>
      <w:r>
        <w:t xml:space="preserve"> </w:t>
      </w:r>
      <w:r>
        <w:t xml:space="preserve">Data extracted via UN Population Data Portal, 8 May 2026. (Used for: median age, old-age dependency ratio, 2026–2046 forecasts.)</w:t>
      </w:r>
    </w:p>
    <w:p>
      <w:pPr>
        <w:pStyle w:val="BodyText"/>
      </w:pPr>
      <w:r>
        <w:rPr>
          <w:b/>
          <w:bCs/>
        </w:rPr>
        <w:t xml:space="preserve">United Nations, Department of Economic and Social Affairs, Population Division.</w:t>
      </w:r>
      <w:r>
        <w:t xml:space="preserve"> </w:t>
      </w:r>
      <w:r>
        <w:rPr>
          <w:i/>
          <w:iCs/>
        </w:rPr>
        <w:t xml:space="preserve">World Urbanization Prospects: The 2018 Revision — Key Facts.</w:t>
      </w:r>
      <w:r>
        <w:t xml:space="preserve"> </w:t>
      </w:r>
      <w:r>
        <w:t xml:space="preserve">New York: United Nations, 2018. (Used for: urbanization rate, megacity counts, Global South concentration of growth.)</w:t>
      </w:r>
    </w:p>
    <w:bookmarkEnd w:id="51"/>
    <w:bookmarkStart w:id="52" w:name="environmental-source"/>
    <w:p>
      <w:pPr>
        <w:pStyle w:val="Heading3"/>
      </w:pPr>
      <w:r>
        <w:t xml:space="preserve">Environmental Source</w:t>
      </w:r>
    </w:p>
    <w:p>
      <w:pPr>
        <w:pStyle w:val="FirstParagraph"/>
      </w:pPr>
      <w:r>
        <w:rPr>
          <w:b/>
          <w:bCs/>
        </w:rPr>
        <w:t xml:space="preserve">IPCC.</w:t>
      </w:r>
      <w:r>
        <w:t xml:space="preserve"> </w:t>
      </w:r>
      <w:r>
        <w:rPr>
          <w:i/>
          <w:iCs/>
        </w:rPr>
        <w:t xml:space="preserve">Climate Change 2023: Synthesis Report. Summary for Policymakers.</w:t>
      </w:r>
      <w:r>
        <w:t xml:space="preserve"> </w:t>
      </w:r>
      <w:r>
        <w:t xml:space="preserve">Contribution of Working Groups I, II and III to the Sixth Assessment Report of the Intergovernmental Panel on Climate Change. Geneva: IPCC, 2023. (Used for: SSP pathways, heat-humidity risk, climate displacement, mental health burden.)</w:t>
      </w:r>
    </w:p>
    <w:bookmarkEnd w:id="52"/>
    <w:bookmarkStart w:id="54" w:name="legalregulatory-source"/>
    <w:p>
      <w:pPr>
        <w:pStyle w:val="Heading3"/>
      </w:pPr>
      <w:r>
        <w:t xml:space="preserve">Legal/Regulatory Source</w:t>
      </w:r>
    </w:p>
    <w:p>
      <w:pPr>
        <w:pStyle w:val="FirstParagraph"/>
      </w:pPr>
      <w:r>
        <w:rPr>
          <w:b/>
          <w:bCs/>
        </w:rPr>
        <w:t xml:space="preserve">European Union.</w:t>
      </w:r>
      <w:r>
        <w:t xml:space="preserve"> </w:t>
      </w:r>
      <w:r>
        <w:rPr>
          <w:i/>
          <w:iCs/>
        </w:rPr>
        <w:t xml:space="preserve">Regulation (EU) 2024/1689 of the European Parliament and of the Council of 13 June 2024 Laying Down Harmonised Rules on Artificial Intelligence (Artificial Intelligence Act).</w:t>
      </w:r>
      <w:r>
        <w:t xml:space="preserve"> </w:t>
      </w:r>
      <w:r>
        <w:t xml:space="preserve">Official Journal of the European Union, 2024. Articles 5, 6, 27, 50.</w:t>
      </w:r>
      <w:r>
        <w:t xml:space="preserve"> </w:t>
      </w:r>
      <w:hyperlink r:id="rId53">
        <w:r>
          <w:rPr>
            <w:rStyle w:val="Hyperlink"/>
          </w:rPr>
          <w:t xml:space="preserve">https://artificialintelligenceact.eu/</w:t>
        </w:r>
      </w:hyperlink>
      <w:r>
        <w:t xml:space="preserve">. (Used for: AI prohibitions, transparency obligations, FRIA, regulatory floor for AI-mediated intimacy.)</w:t>
      </w:r>
    </w:p>
    <w:p>
      <w:pPr>
        <w:pStyle w:val="BodyText"/>
      </w:pPr>
      <w:r>
        <w:rPr>
          <w:b/>
          <w:bCs/>
        </w:rPr>
        <w:t xml:space="preserve">Bradford, A.</w:t>
      </w:r>
      <w:r>
        <w:t xml:space="preserve"> </w:t>
      </w:r>
      <w:r>
        <w:rPr>
          <w:i/>
          <w:iCs/>
        </w:rPr>
        <w:t xml:space="preserve">The Brussels Effect: How the European Union Rules the World.</w:t>
      </w:r>
      <w:r>
        <w:t xml:space="preserve"> </w:t>
      </w:r>
      <w:r>
        <w:t xml:space="preserve">Oxford: Oxford University Press, 2020. (Used for: the historical pattern by which EU regulation propagates globally as de facto standard; the variable that separates our preferred and projected cones.)</w:t>
      </w:r>
    </w:p>
    <w:bookmarkEnd w:id="54"/>
    <w:bookmarkStart w:id="55" w:name="framework-source"/>
    <w:p>
      <w:pPr>
        <w:pStyle w:val="Heading3"/>
      </w:pPr>
      <w:r>
        <w:t xml:space="preserve">Framework Source</w:t>
      </w:r>
    </w:p>
    <w:p>
      <w:pPr>
        <w:pStyle w:val="FirstParagraph"/>
      </w:pPr>
      <w:r>
        <w:rPr>
          <w:b/>
          <w:bCs/>
        </w:rPr>
        <w:t xml:space="preserve">Hines, A., &amp; Bishop, P.</w:t>
      </w:r>
      <w:r>
        <w:t xml:space="preserve"> </w:t>
      </w:r>
      <w:r>
        <w:rPr>
          <w:i/>
          <w:iCs/>
        </w:rPr>
        <w:t xml:space="preserve">Thinking About the Future: Guidelines for Strategic Foresight.</w:t>
      </w:r>
      <w:r>
        <w:t xml:space="preserve"> </w:t>
      </w:r>
      <w:r>
        <w:t xml:space="preserve">2nd ed. Houston: Hinesight, 2015. (Used for: STEEP+ framework rationale.)</w:t>
      </w:r>
    </w:p>
    <w:bookmarkEnd w:id="55"/>
    <w:bookmarkStart w:id="56" w:name="Xb1331f83093c209c382e0291544fe264cfed6ef"/>
    <w:p>
      <w:pPr>
        <w:pStyle w:val="Heading3"/>
      </w:pPr>
      <w:r>
        <w:t xml:space="preserve">Industry Trend Sources (Required Databases)</w:t>
      </w:r>
    </w:p>
    <w:p>
      <w:pPr>
        <w:pStyle w:val="FirstParagraph"/>
      </w:pPr>
      <w:r>
        <w:rPr>
          <w:b/>
          <w:bCs/>
        </w:rPr>
        <w:t xml:space="preserve">WGSN.</w:t>
      </w:r>
      <w:r>
        <w:t xml:space="preserve"> </w:t>
      </w:r>
      <w:r>
        <w:t xml:space="preserve">Trend reports consulted for consumer/lifestyle trend context — files retained in</w:t>
      </w:r>
      <w:r>
        <w:t xml:space="preserve"> </w:t>
      </w:r>
      <w:r>
        <w:rPr>
          <w:rStyle w:val="VerbatimChar"/>
        </w:rPr>
        <w:t xml:space="preserve">sprint01/raw_capture/wgsn/</w:t>
      </w:r>
      <w:r>
        <w:t xml:space="preserve">.</w:t>
      </w:r>
    </w:p>
    <w:p>
      <w:pPr>
        <w:pStyle w:val="BodyText"/>
      </w:pPr>
      <w:r>
        <w:rPr>
          <w:b/>
          <w:bCs/>
        </w:rPr>
        <w:t xml:space="preserve">Stylus.</w:t>
      </w:r>
      <w:r>
        <w:t xml:space="preserve"> </w:t>
      </w:r>
      <w:r>
        <w:t xml:space="preserve">Trend reports consulted for consumer/retail context — files retained in</w:t>
      </w:r>
      <w:r>
        <w:t xml:space="preserve"> </w:t>
      </w:r>
      <w:r>
        <w:rPr>
          <w:rStyle w:val="VerbatimChar"/>
        </w:rPr>
        <w:t xml:space="preserve">sprint01/raw_capture/stylus/</w:t>
      </w:r>
      <w:r>
        <w:t xml:space="preserve">.</w:t>
      </w:r>
    </w:p>
    <w:p>
      <w:pPr>
        <w:pStyle w:val="BodyText"/>
      </w:pPr>
      <w:r>
        <w:rPr>
          <w:b/>
          <w:bCs/>
        </w:rPr>
        <w:t xml:space="preserve">Global Data Explorer (GDE).</w:t>
      </w:r>
      <w:r>
        <w:t xml:space="preserve"> </w:t>
      </w:r>
      <w:r>
        <w:t xml:space="preserve">Consulted for cross-referencing market data — note: limited usable data extracted; retained for audit.</w:t>
      </w:r>
    </w:p>
    <w:bookmarkEnd w:id="56"/>
    <w:bookmarkStart w:id="57" w:name="methodology-files-internal-documentation"/>
    <w:p>
      <w:pPr>
        <w:pStyle w:val="Heading3"/>
      </w:pPr>
      <w:r>
        <w:t xml:space="preserve">Methodology Files (Internal Documentation)</w:t>
      </w:r>
    </w:p>
    <w:p>
      <w:pPr>
        <w:pStyle w:val="FirstParagraph"/>
      </w:pPr>
      <w:r>
        <w:t xml:space="preserve">All raw-capture methodology notes are retained in</w:t>
      </w:r>
      <w:r>
        <w:t xml:space="preserve"> </w:t>
      </w:r>
      <w:r>
        <w:rPr>
          <w:rStyle w:val="VerbatimChar"/>
        </w:rPr>
        <w:t xml:space="preserve">sprint01/raw_capture/&lt;source&gt;/methods&amp;notes.md</w:t>
      </w:r>
      <w:r>
        <w:t xml:space="preserve"> </w:t>
      </w:r>
      <w:r>
        <w:t xml:space="preserve">for each source.</w:t>
      </w:r>
    </w:p>
    <w:p>
      <w:r>
        <w:pict>
          <v:rect style="width:0;height:1.5pt" o:hralign="center" o:hrstd="t" o:hr="t"/>
        </w:pict>
      </w:r>
    </w:p>
    <w:bookmarkEnd w:id="57"/>
    <w:bookmarkEnd w:id="58"/>
    <w:bookmarkStart w:id="62" w:name="X01364f537b3fd5248533badb6527425bc2b4476"/>
    <w:p>
      <w:pPr>
        <w:pStyle w:val="Heading2"/>
      </w:pPr>
      <w:r>
        <w:t xml:space="preserve">16. APPENDIX — PROCESS NOTES &amp; GROUP WORKFLOW</w:t>
      </w:r>
    </w:p>
    <w:bookmarkStart w:id="59" w:name="Xb779e6beec163d749691ed8c811c5023a14ae1f"/>
    <w:p>
      <w:pPr>
        <w:pStyle w:val="Heading3"/>
      </w:pPr>
      <w:r>
        <w:t xml:space="preserve">16.1 Sprint Timeline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Date</w:t>
            </w:r>
          </w:p>
        </w:tc>
        <w:tc>
          <w:tcPr/>
          <w:p>
            <w:pPr>
              <w:pStyle w:val="Compact"/>
            </w:pPr>
            <w:r>
              <w:t xml:space="preserve">Sprint</w:t>
            </w:r>
          </w:p>
        </w:tc>
        <w:tc>
          <w:tcPr/>
          <w:p>
            <w:pPr>
              <w:pStyle w:val="Compact"/>
            </w:pPr>
            <w:r>
              <w:t xml:space="preserve">Deliverable</w:t>
            </w:r>
          </w:p>
        </w:tc>
      </w:tr>
      <w:tr>
        <w:tc>
          <w:tcPr/>
          <w:p>
            <w:pPr>
              <w:pStyle w:val="Compact"/>
            </w:pPr>
            <w:r>
              <w:t xml:space="preserve">27 Apr 2026</w:t>
            </w:r>
          </w:p>
        </w:tc>
        <w:tc>
          <w:tcPr/>
          <w:p>
            <w:pPr>
              <w:pStyle w:val="Compact"/>
            </w:pPr>
            <w:r>
              <w:t xml:space="preserve">Sprint 1 (in-class)</w:t>
            </w:r>
          </w:p>
        </w:tc>
        <w:tc>
          <w:tcPr/>
          <w:p>
            <w:pPr>
              <w:pStyle w:val="Compact"/>
            </w:pPr>
            <w:r>
              <w:t xml:space="preserve">Industry definition, current situation, signals, STEEP+</w:t>
            </w:r>
          </w:p>
        </w:tc>
      </w:tr>
      <w:tr>
        <w:tc>
          <w:tcPr/>
          <w:p>
            <w:pPr>
              <w:pStyle w:val="Compact"/>
            </w:pPr>
            <w:r>
              <w:t xml:space="preserve">Wk of 4 May</w:t>
            </w:r>
          </w:p>
        </w:tc>
        <w:tc>
          <w:tcPr/>
          <w:p>
            <w:pPr>
              <w:pStyle w:val="Compact"/>
            </w:pPr>
            <w:r>
              <w:t xml:space="preserve">Sprint 2 (work session)</w:t>
            </w:r>
          </w:p>
        </w:tc>
        <w:tc>
          <w:tcPr/>
          <w:p>
            <w:pPr>
              <w:pStyle w:val="Compact"/>
            </w:pPr>
            <w:r>
              <w:t xml:space="preserve">Cone of Plausibility (with Wildcard), Artifact creation</w:t>
            </w:r>
          </w:p>
        </w:tc>
      </w:tr>
      <w:tr>
        <w:tc>
          <w:tcPr/>
          <w:p>
            <w:pPr>
              <w:pStyle w:val="Compact"/>
            </w:pPr>
            <w:r>
              <w:t xml:space="preserve">11 May 2026</w:t>
            </w:r>
          </w:p>
        </w:tc>
        <w:tc>
          <w:tcPr/>
          <w:p>
            <w:pPr>
              <w:pStyle w:val="Compact"/>
            </w:pPr>
            <w:r>
              <w:t xml:space="preserve">Final Presentation</w:t>
            </w:r>
          </w:p>
        </w:tc>
        <w:tc>
          <w:tcPr/>
          <w:p>
            <w:pPr>
              <w:pStyle w:val="Compact"/>
            </w:pPr>
            <w:r>
              <w:t xml:space="preserve">All group members present; immersive artifact demo</w:t>
            </w:r>
          </w:p>
        </w:tc>
      </w:tr>
      <w:tr>
        <w:tc>
          <w:tcPr/>
          <w:p>
            <w:pPr>
              <w:pStyle w:val="Compact"/>
            </w:pPr>
            <w:r>
              <w:t xml:space="preserve">13 May 2026</w:t>
            </w:r>
          </w:p>
        </w:tc>
        <w:tc>
          <w:tcPr/>
          <w:p>
            <w:pPr>
              <w:pStyle w:val="Compact"/>
            </w:pPr>
            <w:r>
              <w:t xml:space="preserve">Compendium Due</w:t>
            </w:r>
          </w:p>
        </w:tc>
        <w:tc>
          <w:tcPr/>
          <w:p>
            <w:pPr>
              <w:pStyle w:val="Compact"/>
            </w:pPr>
            <w:r>
              <w:t xml:space="preserve">This document, plus full Drive folder</w:t>
            </w:r>
          </w:p>
        </w:tc>
      </w:tr>
    </w:tbl>
    <w:bookmarkEnd w:id="59"/>
    <w:bookmarkStart w:id="60" w:name="X3da11c5c0e2d6b44f783a7c6d9a761dd818164c"/>
    <w:p>
      <w:pPr>
        <w:pStyle w:val="Heading3"/>
      </w:pPr>
      <w:r>
        <w:t xml:space="preserve">16.2 Files in the Drive Folder</w:t>
      </w:r>
    </w:p>
    <w:p>
      <w:pPr>
        <w:pStyle w:val="Compact"/>
        <w:numPr>
          <w:ilvl w:val="0"/>
          <w:numId w:val="1017"/>
        </w:numPr>
      </w:pPr>
      <w:r>
        <w:rPr>
          <w:rStyle w:val="VerbatimChar"/>
        </w:rPr>
        <w:t xml:space="preserve">_The_Future_Of_2046_Project_Instructions.pdf</w:t>
      </w:r>
      <w:r>
        <w:t xml:space="preserve"> </w:t>
      </w:r>
      <w:r>
        <w:t xml:space="preserve">— assignment brief.</w:t>
      </w:r>
    </w:p>
    <w:p>
      <w:pPr>
        <w:pStyle w:val="Compact"/>
        <w:numPr>
          <w:ilvl w:val="0"/>
          <w:numId w:val="1017"/>
        </w:numPr>
      </w:pPr>
      <w:r>
        <w:rPr>
          <w:rStyle w:val="VerbatimChar"/>
        </w:rPr>
        <w:t xml:space="preserve">sprint01/</w:t>
      </w:r>
      <w:r>
        <w:t xml:space="preserve"> </w:t>
      </w:r>
      <w:r>
        <w:t xml:space="preserve">— Foundation research:</w:t>
      </w:r>
    </w:p>
    <w:p>
      <w:pPr>
        <w:pStyle w:val="Compact"/>
        <w:numPr>
          <w:ilvl w:val="1"/>
          <w:numId w:val="1018"/>
        </w:numPr>
      </w:pPr>
      <w:r>
        <w:rPr>
          <w:rStyle w:val="VerbatimChar"/>
        </w:rPr>
        <w:t xml:space="preserve">signals.md</w:t>
      </w:r>
      <w:r>
        <w:t xml:space="preserve">,</w:t>
      </w:r>
      <w:r>
        <w:t xml:space="preserve"> </w:t>
      </w:r>
      <w:r>
        <w:rPr>
          <w:rStyle w:val="VerbatimChar"/>
        </w:rPr>
        <w:t xml:space="preserve">steep.md</w:t>
      </w:r>
      <w:r>
        <w:t xml:space="preserve">,</w:t>
      </w:r>
      <w:r>
        <w:t xml:space="preserve"> </w:t>
      </w:r>
      <w:r>
        <w:rPr>
          <w:rStyle w:val="VerbatimChar"/>
        </w:rPr>
        <w:t xml:space="preserve">bibliography.md</w:t>
      </w:r>
      <w:r>
        <w:t xml:space="preserve">,</w:t>
      </w:r>
      <w:r>
        <w:t xml:space="preserve"> </w:t>
      </w:r>
      <w:r>
        <w:rPr>
          <w:rStyle w:val="VerbatimChar"/>
        </w:rPr>
        <w:t xml:space="preserve">personal_notes.md</w:t>
      </w:r>
    </w:p>
    <w:p>
      <w:pPr>
        <w:pStyle w:val="Compact"/>
        <w:numPr>
          <w:ilvl w:val="1"/>
          <w:numId w:val="1018"/>
        </w:numPr>
      </w:pPr>
      <w:r>
        <w:rPr>
          <w:rStyle w:val="VerbatimChar"/>
        </w:rPr>
        <w:t xml:space="preserve">raw_capture/</w:t>
      </w:r>
      <w:r>
        <w:t xml:space="preserve"> </w:t>
      </w:r>
      <w:r>
        <w:t xml:space="preserve">— original PDFs, CSVs, screenshots from all required databases.</w:t>
      </w:r>
    </w:p>
    <w:p>
      <w:pPr>
        <w:pStyle w:val="Compact"/>
        <w:numPr>
          <w:ilvl w:val="1"/>
          <w:numId w:val="1018"/>
        </w:numPr>
      </w:pPr>
      <w:r>
        <w:rPr>
          <w:rStyle w:val="VerbatimChar"/>
        </w:rPr>
        <w:t xml:space="preserve">photos/</w:t>
      </w:r>
      <w:r>
        <w:t xml:space="preserve"> </w:t>
      </w:r>
      <w:r>
        <w:t xml:space="preserve">— Statista capture screenshots.</w:t>
      </w:r>
    </w:p>
    <w:p>
      <w:pPr>
        <w:pStyle w:val="Compact"/>
        <w:numPr>
          <w:ilvl w:val="0"/>
          <w:numId w:val="1017"/>
        </w:numPr>
      </w:pPr>
      <w:r>
        <w:rPr>
          <w:rStyle w:val="VerbatimChar"/>
        </w:rPr>
        <w:t xml:space="preserve">sprint02/</w:t>
      </w:r>
      <w:r>
        <w:t xml:space="preserve"> </w:t>
      </w:r>
      <w:r>
        <w:t xml:space="preserve">— Frameworks &amp; scenarios:</w:t>
      </w:r>
    </w:p>
    <w:p>
      <w:pPr>
        <w:pStyle w:val="Compact"/>
        <w:numPr>
          <w:ilvl w:val="1"/>
          <w:numId w:val="1019"/>
        </w:numPr>
      </w:pPr>
      <w:r>
        <w:rPr>
          <w:rStyle w:val="VerbatimChar"/>
        </w:rPr>
        <w:t xml:space="preserve">Cone_of_Plausibility.md</w:t>
      </w:r>
      <w:r>
        <w:t xml:space="preserve">,</w:t>
      </w:r>
      <w:r>
        <w:t xml:space="preserve"> </w:t>
      </w:r>
      <w:r>
        <w:rPr>
          <w:rStyle w:val="VerbatimChar"/>
        </w:rPr>
        <w:t xml:space="preserve">Cone_of_Plausibility.pdf</w:t>
      </w:r>
    </w:p>
    <w:p>
      <w:pPr>
        <w:pStyle w:val="Compact"/>
        <w:numPr>
          <w:ilvl w:val="0"/>
          <w:numId w:val="1017"/>
        </w:numPr>
      </w:pPr>
      <w:r>
        <w:rPr>
          <w:rStyle w:val="VerbatimChar"/>
        </w:rPr>
        <w:t xml:space="preserve">connection_club_site/</w:t>
      </w:r>
      <w:r>
        <w:t xml:space="preserve"> </w:t>
      </w:r>
      <w:r>
        <w:t xml:space="preserve">— the artifact (React + Vite + Tailwind website).</w:t>
      </w:r>
    </w:p>
    <w:p>
      <w:pPr>
        <w:pStyle w:val="Compact"/>
        <w:numPr>
          <w:ilvl w:val="0"/>
          <w:numId w:val="1017"/>
        </w:numPr>
      </w:pPr>
      <w:r>
        <w:rPr>
          <w:rStyle w:val="VerbatimChar"/>
        </w:rPr>
        <w:t xml:space="preserve">presentation_script.md</w:t>
      </w:r>
      <w:r>
        <w:t xml:space="preserve"> </w:t>
      </w:r>
      <w:r>
        <w:t xml:space="preserve">— final presentation script with timing.</w:t>
      </w:r>
    </w:p>
    <w:p>
      <w:pPr>
        <w:pStyle w:val="Compact"/>
        <w:numPr>
          <w:ilvl w:val="0"/>
          <w:numId w:val="1017"/>
        </w:numPr>
      </w:pPr>
      <w:r>
        <w:rPr>
          <w:rStyle w:val="VerbatimChar"/>
        </w:rPr>
        <w:t xml:space="preserve">group_miro_board-05092026.pdf</w:t>
      </w:r>
      <w:r>
        <w:t xml:space="preserve"> </w:t>
      </w:r>
      <w:r>
        <w:t xml:space="preserve">— group whiteboard exports.</w:t>
      </w:r>
    </w:p>
    <w:p>
      <w:pPr>
        <w:pStyle w:val="Compact"/>
        <w:numPr>
          <w:ilvl w:val="0"/>
          <w:numId w:val="1017"/>
        </w:numPr>
      </w:pPr>
      <w:r>
        <w:rPr>
          <w:rStyle w:val="VerbatimChar"/>
        </w:rPr>
        <w:t xml:space="preserve">COMPENDIUM.md</w:t>
      </w:r>
      <w:r>
        <w:t xml:space="preserve"> </w:t>
      </w:r>
      <w:r>
        <w:t xml:space="preserve">— this document.</w:t>
      </w:r>
    </w:p>
    <w:bookmarkEnd w:id="60"/>
    <w:bookmarkStart w:id="61" w:name="X55dfd2bcd42979671e84dba3dad47de7298eb3e"/>
    <w:p>
      <w:pPr>
        <w:pStyle w:val="Heading3"/>
      </w:pPr>
      <w:r>
        <w:t xml:space="preserve">16.3 Team Process Note</w:t>
      </w:r>
    </w:p>
    <w:p>
      <w:pPr>
        <w:pStyle w:val="FirstParagraph"/>
      </w:pPr>
      <w:r>
        <w:t xml:space="preserve">Group worked synchronously across Sprint 1 (in-class) and asynchronously across Sprint 2 with multiple live check-ins. Research responsibilities were divided by STEEP+ dimension; scenario writing and artifact design were collaborative. The artifact (Connection Club) was built in React based on a Figma design and iteratively refined to align with the projected-cone scenario.</w:t>
      </w:r>
    </w:p>
    <w:p>
      <w:r>
        <w:pict>
          <v:rect style="width:0;height:1.5pt" o:hralign="center" o:hrstd="t" o:hr="t"/>
        </w:pict>
      </w:r>
    </w:p>
    <w:p>
      <w:pPr>
        <w:pStyle w:val="FirstParagraph"/>
      </w:pPr>
      <w:r>
        <w:rPr>
          <w:i/>
          <w:iCs/>
        </w:rPr>
        <w:t xml:space="preserve">End of Compendium.</w:t>
      </w:r>
    </w:p>
    <w:bookmarkEnd w:id="61"/>
    <w:bookmarkEnd w:id="6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53" Target="https://artificialintelligenceact.eu/" TargetMode="External" /></Relationships>
</file>

<file path=word/_rels/footnotes.xml.rels><?xml version="1.0" encoding="UTF-8"?><Relationships xmlns="http://schemas.openxmlformats.org/package/2006/relationships"><Relationship Type="http://schemas.openxmlformats.org/officeDocument/2006/relationships/hyperlink" Id="rId53" Target="https://artificialintelligenceact.e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Future of Dating — 2046</dc:title>
  <dc:creator>Sophie Wetherby; Aline Aslanian; Zara Yossem-Guy; Ruoyu Shi</dc:creator>
  <cp:keywords/>
  <dcterms:created xsi:type="dcterms:W3CDTF">2026-05-12T02:37:12Z</dcterms:created>
  <dcterms:modified xsi:type="dcterms:W3CDTF">2026-05-12T02:37:12Z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13 May 2026</vt:lpwstr>
  </property>
  <property fmtid="{D5CDD505-2E9C-101B-9397-08002B2CF9AE}" pid="3" name="subtitle">
    <vt:lpwstr>Research &amp; Process Compendium</vt:lpwstr>
  </property>
</Properties>
</file>